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
        <w:jc w:val="center"/>
      </w:pPr>
      <w:r>
        <w:rPr>
          <w:rFonts w:ascii="Arial" w:cs="Arial" w:eastAsia="Arial" w:hAnsi="Arial"/>
          <w:b/>
          <w:bCs/>
          <w:color w:val="1A2B4A"/>
          <w:sz w:val="52"/>
          <w:szCs w:val="52"/>
        </w:rPr>
        <w:t xml:space="preserve">ALEJANDRO GARCIA</w:t>
      </w:r>
    </w:p>
    <w:p>
      <w:pPr>
        <w:spacing w:before="0" w:after="40"/>
        <w:jc w:val="center"/>
      </w:pPr>
      <w:r>
        <w:rPr>
          <w:rFonts w:ascii="Arial" w:cs="Arial" w:eastAsia="Arial" w:hAnsi="Arial"/>
          <w:color w:val="0D7377"/>
          <w:sz w:val="22"/>
          <w:szCs w:val="22"/>
        </w:rPr>
        <w:t xml:space="preserve">Threat Hunting  ·  Detection Engineering  ·  DFIR  ·  Cloud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400"/>
        <w:gridCol w:w="1800"/>
        <w:gridCol w:w="1800"/>
        <w:gridCol w:w="1800"/>
      </w:tblGrid>
      <w:tr>
        <w:tc>
          <w:tcPr>
            <w:tcBorders>
              <w:top w:val="none" w:color="FFFFFF" w:sz="0"/>
              <w:left w:val="none" w:color="FFFFFF" w:sz="0"/>
              <w:bottom w:val="none" w:color="FFFFFF" w:sz="0"/>
              <w:right w:val="none" w:color="FFFFFF" w:sz="0"/>
            </w:tcBorders>
            <w:shd w:fill="1A2B4A" w:val="clear"/>
            <w:tcMar>
              <w:top w:type="dxa" w:w="80"/>
              <w:left w:type="dxa" w:w="60"/>
              <w:bottom w:type="dxa" w:w="80"/>
              <w:right w:type="dxa" w:w="60"/>
            </w:tcMar>
          </w:tcPr>
          <w:p>
            <w:pPr>
              <w:jc w:val="center"/>
            </w:pPr>
            <w:r>
              <w:rPr>
                <w:rFonts w:ascii="Arial" w:cs="Arial" w:eastAsia="Arial" w:hAnsi="Arial"/>
                <w:color w:val="FFFFFF"/>
                <w:sz w:val="17"/>
                <w:szCs w:val="17"/>
              </w:rPr>
              <w:t xml:space="preserve">Forsyth, GA</w:t>
            </w:r>
          </w:p>
        </w:tc>
        <w:tc>
          <w:tcPr>
            <w:tcBorders>
              <w:top w:val="none" w:color="FFFFFF" w:sz="0"/>
              <w:left w:val="none" w:color="FFFFFF" w:sz="0"/>
              <w:bottom w:val="none" w:color="FFFFFF" w:sz="0"/>
              <w:right w:val="none" w:color="FFFFFF" w:sz="0"/>
            </w:tcBorders>
            <w:shd w:fill="1A2B4A" w:val="clear"/>
            <w:tcMar>
              <w:top w:type="dxa" w:w="80"/>
              <w:left w:type="dxa" w:w="60"/>
              <w:bottom w:type="dxa" w:w="80"/>
              <w:right w:type="dxa" w:w="60"/>
            </w:tcMar>
          </w:tcPr>
          <w:p>
            <w:pPr>
              <w:jc w:val="center"/>
            </w:pPr>
            <w:r>
              <w:rPr>
                <w:rFonts w:ascii="Arial" w:cs="Arial" w:eastAsia="Arial" w:hAnsi="Arial"/>
                <w:color w:val="FFFFFF"/>
                <w:sz w:val="17"/>
                <w:szCs w:val="17"/>
              </w:rPr>
              <w:t xml:space="preserve">CyberJudoSec@gmail.com</w:t>
            </w:r>
          </w:p>
        </w:tc>
        <w:tc>
          <w:tcPr>
            <w:tcBorders>
              <w:top w:val="none" w:color="FFFFFF" w:sz="0"/>
              <w:left w:val="none" w:color="FFFFFF" w:sz="0"/>
              <w:bottom w:val="none" w:color="FFFFFF" w:sz="0"/>
              <w:right w:val="none" w:color="FFFFFF" w:sz="0"/>
            </w:tcBorders>
            <w:shd w:fill="1A2B4A" w:val="clear"/>
            <w:tcMar>
              <w:top w:type="dxa" w:w="80"/>
              <w:left w:type="dxa" w:w="60"/>
              <w:bottom w:type="dxa" w:w="80"/>
              <w:right w:type="dxa" w:w="60"/>
            </w:tcMar>
          </w:tcPr>
          <w:p>
            <w:pPr>
              <w:jc w:val="center"/>
            </w:pPr>
            <w:hyperlink w:history="1" r:id="rIdyaxycnqojextuudvm7wip">
              <w:r>
                <w:rPr>
                  <w:rFonts w:ascii="Arial" w:cs="Arial" w:eastAsia="Arial" w:hAnsi="Arial"/>
                  <w:color w:val="00C9D4"/>
                  <w:sz w:val="17"/>
                  <w:szCs w:val="17"/>
                </w:rPr>
                <w:t xml:space="preserve">LinkedIn</w:t>
              </w:r>
            </w:hyperlink>
          </w:p>
        </w:tc>
        <w:tc>
          <w:tcPr>
            <w:tcBorders>
              <w:top w:val="none" w:color="FFFFFF" w:sz="0"/>
              <w:left w:val="none" w:color="FFFFFF" w:sz="0"/>
              <w:bottom w:val="none" w:color="FFFFFF" w:sz="0"/>
              <w:right w:val="none" w:color="FFFFFF" w:sz="0"/>
            </w:tcBorders>
            <w:shd w:fill="1A2B4A" w:val="clear"/>
            <w:tcMar>
              <w:top w:type="dxa" w:w="80"/>
              <w:left w:type="dxa" w:w="60"/>
              <w:bottom w:type="dxa" w:w="80"/>
              <w:right w:type="dxa" w:w="60"/>
            </w:tcMar>
          </w:tcPr>
          <w:p>
            <w:pPr>
              <w:jc w:val="center"/>
            </w:pPr>
            <w:hyperlink w:history="1" r:id="rIdwwb9wotifnmsclu3s7rvz">
              <w:r>
                <w:rPr>
                  <w:rFonts w:ascii="Arial" w:cs="Arial" w:eastAsia="Arial" w:hAnsi="Arial"/>
                  <w:color w:val="00C9D4"/>
                  <w:sz w:val="17"/>
                  <w:szCs w:val="17"/>
                </w:rPr>
                <w:t xml:space="preserve">Portfolio</w:t>
              </w:r>
            </w:hyperlink>
          </w:p>
        </w:tc>
        <w:tc>
          <w:tcPr>
            <w:tcBorders>
              <w:top w:val="none" w:color="FFFFFF" w:sz="0"/>
              <w:left w:val="none" w:color="FFFFFF" w:sz="0"/>
              <w:bottom w:val="none" w:color="FFFFFF" w:sz="0"/>
              <w:right w:val="none" w:color="FFFFFF" w:sz="0"/>
            </w:tcBorders>
            <w:shd w:fill="1A2B4A" w:val="clear"/>
            <w:tcMar>
              <w:top w:type="dxa" w:w="80"/>
              <w:left w:type="dxa" w:w="60"/>
              <w:bottom w:type="dxa" w:w="80"/>
              <w:right w:type="dxa" w:w="60"/>
            </w:tcMar>
          </w:tcPr>
          <w:p>
            <w:pPr>
              <w:jc w:val="center"/>
            </w:pPr>
            <w:hyperlink w:history="1" r:id="rIdizkuzvbfyzigwwkwx3677">
              <w:r>
                <w:rPr>
                  <w:rFonts w:ascii="Arial" w:cs="Arial" w:eastAsia="Arial" w:hAnsi="Arial"/>
                  <w:color w:val="00C9D4"/>
                  <w:sz w:val="17"/>
                  <w:szCs w:val="17"/>
                </w:rPr>
                <w:t xml:space="preserve">GitHub</w:t>
              </w:r>
            </w:hyperlink>
          </w:p>
        </w:tc>
      </w:tr>
    </w:tbl>
    <w:p>
      <w:pPr>
        <w:spacing w:before="2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2F5" w:val="clear"/>
            <w:tcMar>
              <w:top w:type="dxa" w:w="60"/>
              <w:left w:type="dxa" w:w="120"/>
              <w:bottom w:type="dxa" w:w="60"/>
              <w:right w:type="dxa" w:w="120"/>
            </w:tcMar>
          </w:tcPr>
          <w:p>
            <w:r>
              <w:rPr>
                <w:rFonts w:ascii="Arial" w:cs="Arial" w:eastAsia="Arial" w:hAnsi="Arial"/>
                <w:b/>
                <w:bCs/>
                <w:color w:val="1A2B4A"/>
                <w:sz w:val="20"/>
                <w:szCs w:val="20"/>
              </w:rPr>
              <w:t xml:space="preserve">PROFESSIONAL SUMMARY</w:t>
            </w:r>
          </w:p>
        </w:tc>
      </w:tr>
    </w:tbl>
    <w:p>
      <w:pPr>
        <w:spacing w:before="80" w:after="0"/>
      </w:pPr>
      <w:r>
        <w:t xml:space="preserve"/>
      </w:r>
    </w:p>
    <w:p>
      <w:pPr>
        <w:spacing w:before="0" w:after="0"/>
      </w:pPr>
      <w:r>
        <w:rPr>
          <w:rFonts w:ascii="Arial" w:cs="Arial" w:eastAsia="Arial" w:hAnsi="Arial"/>
          <w:color w:val="444444"/>
          <w:sz w:val="20"/>
          <w:szCs w:val="20"/>
        </w:rPr>
        <w:t xml:space="preserve">Threat Hunting and DFIR professional with 8+ years of combined IT and cybersecurity experience specializing in hypothesis-driven investigations, detection engineering, and adversary behavior analysis across enterprise and cloud environments. Experienced identifying sophisticated threats across endpoint, identity, network, and cloud telemetry using Microsoft Sentinel, Splunk, and Defender XDR. Strong expertise uncovering attacker techniques such as lateral movement, credential abuse, persistence, and C2 through observation-driven and behavior-based hunting methodologies. Proficient in KQL, SPL, Python, and PowerShell for detection development and deep log analysis. Skilled in leveraging OSINT and threat intelligence platforms to enrich investigations and map adversary activity to MITRE ATT&amp;CK.</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2F5" w:val="clear"/>
            <w:tcMar>
              <w:top w:type="dxa" w:w="60"/>
              <w:left w:type="dxa" w:w="120"/>
              <w:bottom w:type="dxa" w:w="60"/>
              <w:right w:type="dxa" w:w="120"/>
            </w:tcMar>
          </w:tcPr>
          <w:p>
            <w:r>
              <w:rPr>
                <w:rFonts w:ascii="Arial" w:cs="Arial" w:eastAsia="Arial" w:hAnsi="Arial"/>
                <w:b/>
                <w:bCs/>
                <w:color w:val="1A2B4A"/>
                <w:sz w:val="20"/>
                <w:szCs w:val="20"/>
              </w:rPr>
              <w:t xml:space="preserve">CORE SECURITY SKILLS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none" w:color="FFFFFF" w:sz="0"/>
              <w:left w:val="none" w:color="FFFFFF" w:sz="0"/>
              <w:bottom w:val="none" w:color="FFFFFF" w:sz="0"/>
              <w:right w:val="none" w:color="FFFFFF" w:sz="0"/>
            </w:tcBorders>
          </w:tcPr>
          <w:p>
            <w:pPr>
              <w:pStyle w:val="ListParagraph"/>
              <w:numPr>
                <w:ilvl w:val="0"/>
                <w:numId w:val="2"/>
              </w:numPr>
              <w:spacing w:before="20" w:after="20"/>
            </w:pPr>
            <w:r>
              <w:rPr>
                <w:rFonts w:ascii="Arial" w:cs="Arial" w:eastAsia="Arial" w:hAnsi="Arial"/>
                <w:color w:val="444444"/>
                <w:sz w:val="20"/>
                <w:szCs w:val="20"/>
              </w:rPr>
              <w:t xml:space="preserve">Threat Hunting &amp; Detection Engineering</w:t>
            </w:r>
          </w:p>
          <w:p>
            <w:pPr>
              <w:pStyle w:val="ListParagraph"/>
              <w:numPr>
                <w:ilvl w:val="0"/>
                <w:numId w:val="2"/>
              </w:numPr>
              <w:spacing w:before="20" w:after="20"/>
            </w:pPr>
            <w:r>
              <w:rPr>
                <w:rFonts w:ascii="Arial" w:cs="Arial" w:eastAsia="Arial" w:hAnsi="Arial"/>
                <w:color w:val="444444"/>
                <w:sz w:val="20"/>
                <w:szCs w:val="20"/>
              </w:rPr>
              <w:t xml:space="preserve">Incident Response &amp; Digital Forensics</w:t>
            </w:r>
          </w:p>
          <w:p>
            <w:pPr>
              <w:pStyle w:val="ListParagraph"/>
              <w:numPr>
                <w:ilvl w:val="0"/>
                <w:numId w:val="2"/>
              </w:numPr>
              <w:spacing w:before="20" w:after="20"/>
            </w:pPr>
            <w:r>
              <w:rPr>
                <w:rFonts w:ascii="Arial" w:cs="Arial" w:eastAsia="Arial" w:hAnsi="Arial"/>
                <w:color w:val="444444"/>
                <w:sz w:val="20"/>
                <w:szCs w:val="20"/>
              </w:rPr>
              <w:t xml:space="preserve">MITRE ATT&amp;CK Mapping</w:t>
            </w:r>
          </w:p>
        </w:tc>
        <w:tc>
          <w:tcPr>
            <w:tcBorders>
              <w:top w:val="none" w:color="FFFFFF" w:sz="0"/>
              <w:left w:val="none" w:color="FFFFFF" w:sz="0"/>
              <w:bottom w:val="none" w:color="FFFFFF" w:sz="0"/>
              <w:right w:val="none" w:color="FFFFFF" w:sz="0"/>
            </w:tcBorders>
          </w:tcPr>
          <w:p>
            <w:pPr>
              <w:pStyle w:val="ListParagraph"/>
              <w:numPr>
                <w:ilvl w:val="0"/>
                <w:numId w:val="2"/>
              </w:numPr>
              <w:spacing w:before="20" w:after="20"/>
            </w:pPr>
            <w:r>
              <w:rPr>
                <w:rFonts w:ascii="Arial" w:cs="Arial" w:eastAsia="Arial" w:hAnsi="Arial"/>
                <w:color w:val="444444"/>
                <w:sz w:val="20"/>
                <w:szCs w:val="20"/>
              </w:rPr>
              <w:t xml:space="preserve">Threat Intelligence Analysis</w:t>
            </w:r>
          </w:p>
          <w:p>
            <w:pPr>
              <w:pStyle w:val="ListParagraph"/>
              <w:numPr>
                <w:ilvl w:val="0"/>
                <w:numId w:val="2"/>
              </w:numPr>
              <w:spacing w:before="20" w:after="20"/>
            </w:pPr>
            <w:r>
              <w:rPr>
                <w:rFonts w:ascii="Arial" w:cs="Arial" w:eastAsia="Arial" w:hAnsi="Arial"/>
                <w:color w:val="444444"/>
                <w:sz w:val="20"/>
                <w:szCs w:val="20"/>
              </w:rPr>
              <w:t xml:space="preserve">Log Analysis &amp; Correlation</w:t>
            </w:r>
          </w:p>
          <w:p>
            <w:pPr>
              <w:pStyle w:val="ListParagraph"/>
              <w:numPr>
                <w:ilvl w:val="0"/>
                <w:numId w:val="2"/>
              </w:numPr>
              <w:spacing w:before="20" w:after="20"/>
            </w:pPr>
            <w:r>
              <w:rPr>
                <w:rFonts w:ascii="Arial" w:cs="Arial" w:eastAsia="Arial" w:hAnsi="Arial"/>
                <w:color w:val="444444"/>
                <w:sz w:val="20"/>
                <w:szCs w:val="20"/>
              </w:rPr>
              <w:t xml:space="preserve">Identity Threat Detection</w:t>
            </w:r>
          </w:p>
        </w:tc>
        <w:tc>
          <w:tcPr>
            <w:tcBorders>
              <w:top w:val="none" w:color="FFFFFF" w:sz="0"/>
              <w:left w:val="none" w:color="FFFFFF" w:sz="0"/>
              <w:bottom w:val="none" w:color="FFFFFF" w:sz="0"/>
              <w:right w:val="none" w:color="FFFFFF" w:sz="0"/>
            </w:tcBorders>
          </w:tcPr>
          <w:p>
            <w:pPr>
              <w:pStyle w:val="ListParagraph"/>
              <w:numPr>
                <w:ilvl w:val="0"/>
                <w:numId w:val="2"/>
              </w:numPr>
              <w:spacing w:before="20" w:after="20"/>
            </w:pPr>
            <w:r>
              <w:rPr>
                <w:rFonts w:ascii="Arial" w:cs="Arial" w:eastAsia="Arial" w:hAnsi="Arial"/>
                <w:color w:val="444444"/>
                <w:sz w:val="20"/>
                <w:szCs w:val="20"/>
              </w:rPr>
              <w:t xml:space="preserve">Cloud Security Monitoring</w:t>
            </w:r>
          </w:p>
          <w:p>
            <w:pPr>
              <w:pStyle w:val="ListParagraph"/>
              <w:numPr>
                <w:ilvl w:val="0"/>
                <w:numId w:val="2"/>
              </w:numPr>
              <w:spacing w:before="20" w:after="20"/>
            </w:pPr>
            <w:r>
              <w:rPr>
                <w:rFonts w:ascii="Arial" w:cs="Arial" w:eastAsia="Arial" w:hAnsi="Arial"/>
                <w:color w:val="444444"/>
                <w:sz w:val="20"/>
                <w:szCs w:val="20"/>
              </w:rPr>
              <w:t xml:space="preserve">Observation-Driven Hunting</w:t>
            </w:r>
          </w:p>
          <w:p>
            <w:pPr>
              <w:pStyle w:val="ListParagraph"/>
              <w:numPr>
                <w:ilvl w:val="0"/>
                <w:numId w:val="2"/>
              </w:numPr>
              <w:spacing w:before="20" w:after="20"/>
            </w:pPr>
            <w:r>
              <w:rPr>
                <w:rFonts w:ascii="Arial" w:cs="Arial" w:eastAsia="Arial" w:hAnsi="Arial"/>
                <w:color w:val="444444"/>
                <w:sz w:val="20"/>
                <w:szCs w:val="20"/>
              </w:rPr>
              <w:t xml:space="preserve">Hypothesis-Based Detection</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2F5" w:val="clear"/>
            <w:tcMar>
              <w:top w:type="dxa" w:w="60"/>
              <w:left w:type="dxa" w:w="120"/>
              <w:bottom w:type="dxa" w:w="60"/>
              <w:right w:type="dxa" w:w="120"/>
            </w:tcMar>
          </w:tcPr>
          <w:p>
            <w:r>
              <w:rPr>
                <w:rFonts w:ascii="Arial" w:cs="Arial" w:eastAsia="Arial" w:hAnsi="Arial"/>
                <w:b/>
                <w:bCs/>
                <w:color w:val="1A2B4A"/>
                <w:sz w:val="20"/>
                <w:szCs w:val="20"/>
              </w:rPr>
              <w:t xml:space="preserve">SECURITY PLATFORMS &amp; TOOLS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tcMar>
              <w:top w:type="dxa" w:w="40"/>
              <w:bottom w:type="dxa" w:w="40"/>
              <w:right w:type="dxa" w:w="120"/>
            </w:tcMar>
          </w:tcPr>
          <w:p>
            <w:r>
              <w:rPr>
                <w:rFonts w:ascii="Arial" w:cs="Arial" w:eastAsia="Arial" w:hAnsi="Arial"/>
                <w:b/>
                <w:bCs/>
                <w:color w:val="1A2B4A"/>
                <w:sz w:val="19"/>
                <w:szCs w:val="19"/>
              </w:rPr>
              <w:t xml:space="preserve">SIEM</w:t>
            </w:r>
          </w:p>
        </w:tc>
        <w:tc>
          <w:tcPr>
            <w:tcW w:type="dxa" w:w="7560"/>
            <w:tcBorders>
              <w:top w:val="none" w:color="FFFFFF" w:sz="0"/>
              <w:left w:val="none" w:color="FFFFFF" w:sz="0"/>
              <w:bottom w:val="none" w:color="FFFFFF" w:sz="0"/>
              <w:right w:val="none" w:color="FFFFFF" w:sz="0"/>
            </w:tcBorders>
            <w:tcMar>
              <w:top w:type="dxa" w:w="40"/>
              <w:bottom w:type="dxa" w:w="40"/>
            </w:tcMar>
          </w:tcPr>
          <w:p>
            <w:r>
              <w:rPr>
                <w:rFonts w:ascii="Arial" w:cs="Arial" w:eastAsia="Arial" w:hAnsi="Arial"/>
                <w:color w:val="444444"/>
                <w:sz w:val="19"/>
                <w:szCs w:val="19"/>
              </w:rPr>
              <w:t xml:space="preserve">Microsoft Sentinel  ·  Splunk  ·  Elastic SIEM</w:t>
            </w:r>
          </w:p>
        </w:tc>
      </w:tr>
      <w:tr>
        <w:tc>
          <w:tcPr>
            <w:tcW w:type="dxa" w:w="1800"/>
            <w:tcBorders>
              <w:top w:val="none" w:color="FFFFFF" w:sz="0"/>
              <w:left w:val="none" w:color="FFFFFF" w:sz="0"/>
              <w:bottom w:val="none" w:color="FFFFFF" w:sz="0"/>
              <w:right w:val="none" w:color="FFFFFF" w:sz="0"/>
            </w:tcBorders>
            <w:tcMar>
              <w:top w:type="dxa" w:w="40"/>
              <w:bottom w:type="dxa" w:w="40"/>
              <w:right w:type="dxa" w:w="120"/>
            </w:tcMar>
          </w:tcPr>
          <w:p>
            <w:r>
              <w:rPr>
                <w:rFonts w:ascii="Arial" w:cs="Arial" w:eastAsia="Arial" w:hAnsi="Arial"/>
                <w:b/>
                <w:bCs/>
                <w:color w:val="1A2B4A"/>
                <w:sz w:val="19"/>
                <w:szCs w:val="19"/>
              </w:rPr>
              <w:t xml:space="preserve">Endpoint</w:t>
            </w:r>
          </w:p>
        </w:tc>
        <w:tc>
          <w:tcPr>
            <w:tcW w:type="dxa" w:w="7560"/>
            <w:tcBorders>
              <w:top w:val="none" w:color="FFFFFF" w:sz="0"/>
              <w:left w:val="none" w:color="FFFFFF" w:sz="0"/>
              <w:bottom w:val="none" w:color="FFFFFF" w:sz="0"/>
              <w:right w:val="none" w:color="FFFFFF" w:sz="0"/>
            </w:tcBorders>
            <w:tcMar>
              <w:top w:type="dxa" w:w="40"/>
              <w:bottom w:type="dxa" w:w="40"/>
            </w:tcMar>
          </w:tcPr>
          <w:p>
            <w:r>
              <w:rPr>
                <w:rFonts w:ascii="Arial" w:cs="Arial" w:eastAsia="Arial" w:hAnsi="Arial"/>
                <w:color w:val="444444"/>
                <w:sz w:val="19"/>
                <w:szCs w:val="19"/>
              </w:rPr>
              <w:t xml:space="preserve">Defender XDR  ·  Defender for Endpoint  ·  Defender for Identity  ·  Defender for Office 365</w:t>
            </w:r>
          </w:p>
        </w:tc>
      </w:tr>
      <w:tr>
        <w:tc>
          <w:tcPr>
            <w:tcW w:type="dxa" w:w="1800"/>
            <w:tcBorders>
              <w:top w:val="none" w:color="FFFFFF" w:sz="0"/>
              <w:left w:val="none" w:color="FFFFFF" w:sz="0"/>
              <w:bottom w:val="none" w:color="FFFFFF" w:sz="0"/>
              <w:right w:val="none" w:color="FFFFFF" w:sz="0"/>
            </w:tcBorders>
            <w:tcMar>
              <w:top w:type="dxa" w:w="40"/>
              <w:bottom w:type="dxa" w:w="40"/>
              <w:right w:type="dxa" w:w="120"/>
            </w:tcMar>
          </w:tcPr>
          <w:p>
            <w:r>
              <w:rPr>
                <w:rFonts w:ascii="Arial" w:cs="Arial" w:eastAsia="Arial" w:hAnsi="Arial"/>
                <w:b/>
                <w:bCs/>
                <w:color w:val="1A2B4A"/>
                <w:sz w:val="19"/>
                <w:szCs w:val="19"/>
              </w:rPr>
              <w:t xml:space="preserve">Identity</w:t>
            </w:r>
          </w:p>
        </w:tc>
        <w:tc>
          <w:tcPr>
            <w:tcW w:type="dxa" w:w="7560"/>
            <w:tcBorders>
              <w:top w:val="none" w:color="FFFFFF" w:sz="0"/>
              <w:left w:val="none" w:color="FFFFFF" w:sz="0"/>
              <w:bottom w:val="none" w:color="FFFFFF" w:sz="0"/>
              <w:right w:val="none" w:color="FFFFFF" w:sz="0"/>
            </w:tcBorders>
            <w:tcMar>
              <w:top w:type="dxa" w:w="40"/>
              <w:bottom w:type="dxa" w:w="40"/>
            </w:tcMar>
          </w:tcPr>
          <w:p>
            <w:r>
              <w:rPr>
                <w:rFonts w:ascii="Arial" w:cs="Arial" w:eastAsia="Arial" w:hAnsi="Arial"/>
                <w:color w:val="444444"/>
                <w:sz w:val="19"/>
                <w:szCs w:val="19"/>
              </w:rPr>
              <w:t xml:space="preserve">Microsoft Entra ID  ·  Active Directory  ·  Okta  ·  Wiz  ·  Forcepoint</w:t>
            </w:r>
          </w:p>
        </w:tc>
      </w:tr>
      <w:tr>
        <w:tc>
          <w:tcPr>
            <w:tcW w:type="dxa" w:w="1800"/>
            <w:tcBorders>
              <w:top w:val="none" w:color="FFFFFF" w:sz="0"/>
              <w:left w:val="none" w:color="FFFFFF" w:sz="0"/>
              <w:bottom w:val="none" w:color="FFFFFF" w:sz="0"/>
              <w:right w:val="none" w:color="FFFFFF" w:sz="0"/>
            </w:tcBorders>
            <w:tcMar>
              <w:top w:type="dxa" w:w="40"/>
              <w:bottom w:type="dxa" w:w="40"/>
              <w:right w:type="dxa" w:w="120"/>
            </w:tcMar>
          </w:tcPr>
          <w:p>
            <w:r>
              <w:rPr>
                <w:rFonts w:ascii="Arial" w:cs="Arial" w:eastAsia="Arial" w:hAnsi="Arial"/>
                <w:b/>
                <w:bCs/>
                <w:color w:val="1A2B4A"/>
                <w:sz w:val="19"/>
                <w:szCs w:val="19"/>
              </w:rPr>
              <w:t xml:space="preserve">Cloud</w:t>
            </w:r>
          </w:p>
        </w:tc>
        <w:tc>
          <w:tcPr>
            <w:tcW w:type="dxa" w:w="7560"/>
            <w:tcBorders>
              <w:top w:val="none" w:color="FFFFFF" w:sz="0"/>
              <w:left w:val="none" w:color="FFFFFF" w:sz="0"/>
              <w:bottom w:val="none" w:color="FFFFFF" w:sz="0"/>
              <w:right w:val="none" w:color="FFFFFF" w:sz="0"/>
            </w:tcBorders>
            <w:tcMar>
              <w:top w:type="dxa" w:w="40"/>
              <w:bottom w:type="dxa" w:w="40"/>
            </w:tcMar>
          </w:tcPr>
          <w:p>
            <w:r>
              <w:rPr>
                <w:rFonts w:ascii="Arial" w:cs="Arial" w:eastAsia="Arial" w:hAnsi="Arial"/>
                <w:color w:val="444444"/>
                <w:sz w:val="19"/>
                <w:szCs w:val="19"/>
              </w:rPr>
              <w:t xml:space="preserve">AWS  ·  Microsoft Azure  ·  Google Cloud Platform  ·  IAM  ·  CloudTrail  ·  Azure Monitor</w:t>
            </w:r>
          </w:p>
        </w:tc>
      </w:tr>
      <w:tr>
        <w:tc>
          <w:tcPr>
            <w:tcW w:type="dxa" w:w="1800"/>
            <w:tcBorders>
              <w:top w:val="none" w:color="FFFFFF" w:sz="0"/>
              <w:left w:val="none" w:color="FFFFFF" w:sz="0"/>
              <w:bottom w:val="none" w:color="FFFFFF" w:sz="0"/>
              <w:right w:val="none" w:color="FFFFFF" w:sz="0"/>
            </w:tcBorders>
            <w:tcMar>
              <w:top w:type="dxa" w:w="40"/>
              <w:bottom w:type="dxa" w:w="40"/>
              <w:right w:type="dxa" w:w="120"/>
            </w:tcMar>
          </w:tcPr>
          <w:p>
            <w:r>
              <w:rPr>
                <w:rFonts w:ascii="Arial" w:cs="Arial" w:eastAsia="Arial" w:hAnsi="Arial"/>
                <w:b/>
                <w:bCs/>
                <w:color w:val="1A2B4A"/>
                <w:sz w:val="19"/>
                <w:szCs w:val="19"/>
              </w:rPr>
              <w:t xml:space="preserve">OSINT / Intel</w:t>
            </w:r>
          </w:p>
        </w:tc>
        <w:tc>
          <w:tcPr>
            <w:tcW w:type="dxa" w:w="7560"/>
            <w:tcBorders>
              <w:top w:val="none" w:color="FFFFFF" w:sz="0"/>
              <w:left w:val="none" w:color="FFFFFF" w:sz="0"/>
              <w:bottom w:val="none" w:color="FFFFFF" w:sz="0"/>
              <w:right w:val="none" w:color="FFFFFF" w:sz="0"/>
            </w:tcBorders>
            <w:tcMar>
              <w:top w:type="dxa" w:w="40"/>
              <w:bottom w:type="dxa" w:w="40"/>
            </w:tcMar>
          </w:tcPr>
          <w:p>
            <w:r>
              <w:rPr>
                <w:rFonts w:ascii="Arial" w:cs="Arial" w:eastAsia="Arial" w:hAnsi="Arial"/>
                <w:color w:val="444444"/>
                <w:sz w:val="19"/>
                <w:szCs w:val="19"/>
              </w:rPr>
              <w:t xml:space="preserve">Maltego  ·  Shodan  ·  VirusTotal  ·  Censys  ·  SpiderFoot  ·  ZeroFox  ·  SecurityTrails</w:t>
            </w:r>
          </w:p>
        </w:tc>
      </w:tr>
      <w:tr>
        <w:tc>
          <w:tcPr>
            <w:tcW w:type="dxa" w:w="1800"/>
            <w:tcBorders>
              <w:top w:val="none" w:color="FFFFFF" w:sz="0"/>
              <w:left w:val="none" w:color="FFFFFF" w:sz="0"/>
              <w:bottom w:val="none" w:color="FFFFFF" w:sz="0"/>
              <w:right w:val="none" w:color="FFFFFF" w:sz="0"/>
            </w:tcBorders>
            <w:tcMar>
              <w:top w:type="dxa" w:w="40"/>
              <w:bottom w:type="dxa" w:w="40"/>
              <w:right w:type="dxa" w:w="120"/>
            </w:tcMar>
          </w:tcPr>
          <w:p>
            <w:r>
              <w:rPr>
                <w:rFonts w:ascii="Arial" w:cs="Arial" w:eastAsia="Arial" w:hAnsi="Arial"/>
                <w:b/>
                <w:bCs/>
                <w:color w:val="1A2B4A"/>
                <w:sz w:val="19"/>
                <w:szCs w:val="19"/>
              </w:rPr>
              <w:t xml:space="preserve">Scripting</w:t>
            </w:r>
          </w:p>
        </w:tc>
        <w:tc>
          <w:tcPr>
            <w:tcW w:type="dxa" w:w="7560"/>
            <w:tcBorders>
              <w:top w:val="none" w:color="FFFFFF" w:sz="0"/>
              <w:left w:val="none" w:color="FFFFFF" w:sz="0"/>
              <w:bottom w:val="none" w:color="FFFFFF" w:sz="0"/>
              <w:right w:val="none" w:color="FFFFFF" w:sz="0"/>
            </w:tcBorders>
            <w:tcMar>
              <w:top w:type="dxa" w:w="40"/>
              <w:bottom w:type="dxa" w:w="40"/>
            </w:tcMar>
          </w:tcPr>
          <w:p>
            <w:r>
              <w:rPr>
                <w:rFonts w:ascii="Arial" w:cs="Arial" w:eastAsia="Arial" w:hAnsi="Arial"/>
                <w:color w:val="444444"/>
                <w:sz w:val="19"/>
                <w:szCs w:val="19"/>
              </w:rPr>
              <w:t xml:space="preserve">KQL  ·  Splunk SPL  ·  Python  ·  PowerShell  ·  Bash  ·  Regex  ·  JSON Parsing</w:t>
            </w:r>
          </w:p>
        </w:tc>
      </w:tr>
      <w:tr>
        <w:tc>
          <w:tcPr>
            <w:tcW w:type="dxa" w:w="1800"/>
            <w:tcBorders>
              <w:top w:val="none" w:color="FFFFFF" w:sz="0"/>
              <w:left w:val="none" w:color="FFFFFF" w:sz="0"/>
              <w:bottom w:val="none" w:color="FFFFFF" w:sz="0"/>
              <w:right w:val="none" w:color="FFFFFF" w:sz="0"/>
            </w:tcBorders>
            <w:tcMar>
              <w:top w:type="dxa" w:w="40"/>
              <w:bottom w:type="dxa" w:w="40"/>
              <w:right w:type="dxa" w:w="120"/>
            </w:tcMar>
          </w:tcPr>
          <w:p>
            <w:r>
              <w:rPr>
                <w:rFonts w:ascii="Arial" w:cs="Arial" w:eastAsia="Arial" w:hAnsi="Arial"/>
                <w:b/>
                <w:bCs/>
                <w:color w:val="1A2B4A"/>
                <w:sz w:val="19"/>
                <w:szCs w:val="19"/>
              </w:rPr>
              <w:t xml:space="preserve">Network</w:t>
            </w:r>
          </w:p>
        </w:tc>
        <w:tc>
          <w:tcPr>
            <w:tcW w:type="dxa" w:w="7560"/>
            <w:tcBorders>
              <w:top w:val="none" w:color="FFFFFF" w:sz="0"/>
              <w:left w:val="none" w:color="FFFFFF" w:sz="0"/>
              <w:bottom w:val="none" w:color="FFFFFF" w:sz="0"/>
              <w:right w:val="none" w:color="FFFFFF" w:sz="0"/>
            </w:tcBorders>
            <w:tcMar>
              <w:top w:type="dxa" w:w="40"/>
              <w:bottom w:type="dxa" w:w="40"/>
            </w:tcMar>
          </w:tcPr>
          <w:p>
            <w:r>
              <w:rPr>
                <w:rFonts w:ascii="Arial" w:cs="Arial" w:eastAsia="Arial" w:hAnsi="Arial"/>
                <w:color w:val="444444"/>
                <w:sz w:val="19"/>
                <w:szCs w:val="19"/>
              </w:rPr>
              <w:t xml:space="preserve">Wireshark  ·  tcpdump  ·  DNS Analysis  ·  HTTP/S Analysis  ·  nmap  ·  pfSense</w:t>
            </w:r>
          </w:p>
        </w:tc>
      </w:tr>
      <w:tr>
        <w:tc>
          <w:tcPr>
            <w:tcW w:type="dxa" w:w="1800"/>
            <w:tcBorders>
              <w:top w:val="none" w:color="FFFFFF" w:sz="0"/>
              <w:left w:val="none" w:color="FFFFFF" w:sz="0"/>
              <w:bottom w:val="none" w:color="FFFFFF" w:sz="0"/>
              <w:right w:val="none" w:color="FFFFFF" w:sz="0"/>
            </w:tcBorders>
            <w:tcMar>
              <w:top w:type="dxa" w:w="40"/>
              <w:bottom w:type="dxa" w:w="40"/>
              <w:right w:type="dxa" w:w="120"/>
            </w:tcMar>
          </w:tcPr>
          <w:p>
            <w:r>
              <w:rPr>
                <w:rFonts w:ascii="Arial" w:cs="Arial" w:eastAsia="Arial" w:hAnsi="Arial"/>
                <w:b/>
                <w:bCs/>
                <w:color w:val="1A2B4A"/>
                <w:sz w:val="19"/>
                <w:szCs w:val="19"/>
              </w:rPr>
              <w:t xml:space="preserve">OS</w:t>
            </w:r>
          </w:p>
        </w:tc>
        <w:tc>
          <w:tcPr>
            <w:tcW w:type="dxa" w:w="7560"/>
            <w:tcBorders>
              <w:top w:val="none" w:color="FFFFFF" w:sz="0"/>
              <w:left w:val="none" w:color="FFFFFF" w:sz="0"/>
              <w:bottom w:val="none" w:color="FFFFFF" w:sz="0"/>
              <w:right w:val="none" w:color="FFFFFF" w:sz="0"/>
            </w:tcBorders>
            <w:tcMar>
              <w:top w:type="dxa" w:w="40"/>
              <w:bottom w:type="dxa" w:w="40"/>
            </w:tcMar>
          </w:tcPr>
          <w:p>
            <w:r>
              <w:rPr>
                <w:rFonts w:ascii="Arial" w:cs="Arial" w:eastAsia="Arial" w:hAnsi="Arial"/>
                <w:color w:val="444444"/>
                <w:sz w:val="19"/>
                <w:szCs w:val="19"/>
              </w:rPr>
              <w:t xml:space="preserve">Kali Linux  ·  Ubuntu  ·  Windows Server  ·  REMnux  ·  macOS</w:t>
            </w:r>
          </w:p>
        </w:tc>
      </w:tr>
      <w:tr>
        <w:tc>
          <w:tcPr>
            <w:tcW w:type="dxa" w:w="1800"/>
            <w:tcBorders>
              <w:top w:val="none" w:color="FFFFFF" w:sz="0"/>
              <w:left w:val="none" w:color="FFFFFF" w:sz="0"/>
              <w:bottom w:val="none" w:color="FFFFFF" w:sz="0"/>
              <w:right w:val="none" w:color="FFFFFF" w:sz="0"/>
            </w:tcBorders>
            <w:tcMar>
              <w:top w:type="dxa" w:w="40"/>
              <w:bottom w:type="dxa" w:w="40"/>
              <w:right w:type="dxa" w:w="120"/>
            </w:tcMar>
          </w:tcPr>
          <w:p>
            <w:r>
              <w:rPr>
                <w:rFonts w:ascii="Arial" w:cs="Arial" w:eastAsia="Arial" w:hAnsi="Arial"/>
                <w:b/>
                <w:bCs/>
                <w:color w:val="1A2B4A"/>
                <w:sz w:val="19"/>
                <w:szCs w:val="19"/>
              </w:rPr>
              <w:t xml:space="preserve">Frameworks</w:t>
            </w:r>
          </w:p>
        </w:tc>
        <w:tc>
          <w:tcPr>
            <w:tcW w:type="dxa" w:w="7560"/>
            <w:tcBorders>
              <w:top w:val="none" w:color="FFFFFF" w:sz="0"/>
              <w:left w:val="none" w:color="FFFFFF" w:sz="0"/>
              <w:bottom w:val="none" w:color="FFFFFF" w:sz="0"/>
              <w:right w:val="none" w:color="FFFFFF" w:sz="0"/>
            </w:tcBorders>
            <w:tcMar>
              <w:top w:type="dxa" w:w="40"/>
              <w:bottom w:type="dxa" w:w="40"/>
            </w:tcMar>
          </w:tcPr>
          <w:p>
            <w:r>
              <w:rPr>
                <w:rFonts w:ascii="Arial" w:cs="Arial" w:eastAsia="Arial" w:hAnsi="Arial"/>
                <w:color w:val="444444"/>
                <w:sz w:val="19"/>
                <w:szCs w:val="19"/>
              </w:rPr>
              <w:t xml:space="preserve">MITRE ATT&amp;CK  ·  NIST CSF  ·  NIST SP 800-53</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2F5" w:val="clear"/>
            <w:tcMar>
              <w:top w:type="dxa" w:w="60"/>
              <w:left w:type="dxa" w:w="120"/>
              <w:bottom w:type="dxa" w:w="60"/>
              <w:right w:type="dxa" w:w="120"/>
            </w:tcMar>
          </w:tcPr>
          <w:p>
            <w:r>
              <w:rPr>
                <w:rFonts w:ascii="Arial" w:cs="Arial" w:eastAsia="Arial" w:hAnsi="Arial"/>
                <w:b/>
                <w:bCs/>
                <w:color w:val="1A2B4A"/>
                <w:sz w:val="20"/>
                <w:szCs w:val="20"/>
              </w:rPr>
              <w:t xml:space="preserve">PROFESSIONAL EXPERIENCE</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Borders>
              <w:top w:val="none" w:color="FFFFFF" w:sz="0"/>
              <w:left w:val="none" w:color="FFFFFF" w:sz="0"/>
              <w:bottom w:val="none" w:color="FFFFFF" w:sz="0"/>
              <w:right w:val="none" w:color="FFFFFF" w:sz="0"/>
            </w:tcBorders>
          </w:tcPr>
          <w:p>
            <w:pPr>
              <w:spacing w:before="80" w:after="0"/>
            </w:pPr>
            <w:r>
              <w:rPr>
                <w:rFonts w:ascii="Arial" w:cs="Arial" w:eastAsia="Arial" w:hAnsi="Arial"/>
                <w:b/>
                <w:bCs/>
                <w:color w:val="0D7377"/>
                <w:sz w:val="22"/>
                <w:szCs w:val="22"/>
              </w:rPr>
              <w:t xml:space="preserve">Threat Hunting &amp; Forensics Analyst</w:t>
            </w:r>
          </w:p>
          <w:p>
            <w:pPr>
              <w:spacing w:before="0" w:after="30"/>
            </w:pPr>
            <w:r>
              <w:rPr>
                <w:rFonts w:ascii="Arial" w:cs="Arial" w:eastAsia="Arial" w:hAnsi="Arial"/>
                <w:b/>
                <w:bCs/>
                <w:color w:val="1A2B4A"/>
                <w:sz w:val="20"/>
                <w:szCs w:val="20"/>
              </w:rPr>
              <w:t xml:space="preserve">Business Operational Concepts</w:t>
            </w:r>
            <w:r>
              <w:rPr>
                <w:rFonts w:ascii="Arial" w:cs="Arial" w:eastAsia="Arial" w:hAnsi="Arial"/>
                <w:color w:val="888888"/>
                <w:sz w:val="18"/>
                <w:szCs w:val="18"/>
              </w:rPr>
              <w:t xml:space="preserve">  ·  Remote</w:t>
            </w:r>
          </w:p>
        </w:tc>
        <w:tc>
          <w:tcPr>
            <w:tcBorders>
              <w:top w:val="none" w:color="FFFFFF" w:sz="0"/>
              <w:left w:val="none" w:color="FFFFFF" w:sz="0"/>
              <w:bottom w:val="none" w:color="FFFFFF" w:sz="0"/>
              <w:right w:val="none" w:color="FFFFFF" w:sz="0"/>
            </w:tcBorders>
            <w:vAlign w:val="center"/>
          </w:tcPr>
          <w:p>
            <w:pPr>
              <w:jc w:val="right"/>
            </w:pPr>
            <w:r>
              <w:rPr>
                <w:rFonts w:ascii="Arial" w:cs="Arial" w:eastAsia="Arial" w:hAnsi="Arial"/>
                <w:i/>
                <w:iCs/>
                <w:color w:val="888888"/>
                <w:sz w:val="18"/>
                <w:szCs w:val="18"/>
              </w:rPr>
              <w:t xml:space="preserve">2026 – Present</w:t>
            </w:r>
          </w:p>
        </w:tc>
      </w:tr>
    </w:tbl>
    <w:p>
      <w:pPr>
        <w:pStyle w:val="ListParagraph"/>
        <w:numPr>
          <w:ilvl w:val="0"/>
          <w:numId w:val="2"/>
        </w:numPr>
        <w:spacing w:before="20" w:after="20"/>
      </w:pPr>
      <w:r>
        <w:rPr>
          <w:rFonts w:ascii="Arial" w:cs="Arial" w:eastAsia="Arial" w:hAnsi="Arial"/>
          <w:color w:val="444444"/>
          <w:sz w:val="20"/>
          <w:szCs w:val="20"/>
        </w:rPr>
        <w:t xml:space="preserve">Conduct proactive, hypothesis-driven threat hunts across endpoint, identity, and cloud telemetry using Sentinel, Splunk, and Defender XDR to identify adversary behavior and lateral movement</w:t>
      </w:r>
    </w:p>
    <w:p>
      <w:pPr>
        <w:pStyle w:val="ListParagraph"/>
        <w:numPr>
          <w:ilvl w:val="0"/>
          <w:numId w:val="2"/>
        </w:numPr>
        <w:spacing w:before="20" w:after="20"/>
      </w:pPr>
      <w:r>
        <w:rPr>
          <w:rFonts w:ascii="Arial" w:cs="Arial" w:eastAsia="Arial" w:hAnsi="Arial"/>
          <w:color w:val="444444"/>
          <w:sz w:val="20"/>
          <w:szCs w:val="20"/>
        </w:rPr>
        <w:t xml:space="preserve">Develop and optimize detection logic using KQL, SPL, Python, and PowerShell, improving visibility into credential abuse, persistence mechanisms, and C2 activity</w:t>
      </w:r>
    </w:p>
    <w:p>
      <w:pPr>
        <w:pStyle w:val="ListParagraph"/>
        <w:numPr>
          <w:ilvl w:val="0"/>
          <w:numId w:val="2"/>
        </w:numPr>
        <w:spacing w:before="20" w:after="20"/>
      </w:pPr>
      <w:r>
        <w:rPr>
          <w:rFonts w:ascii="Arial" w:cs="Arial" w:eastAsia="Arial" w:hAnsi="Arial"/>
          <w:color w:val="444444"/>
          <w:sz w:val="20"/>
          <w:szCs w:val="20"/>
        </w:rPr>
        <w:t xml:space="preserve">Investigate complex incidents including phishing, C2 beaconing, privilege escalation, and identity compromise through multi-source log correlation</w:t>
      </w:r>
    </w:p>
    <w:p>
      <w:pPr>
        <w:pStyle w:val="ListParagraph"/>
        <w:numPr>
          <w:ilvl w:val="0"/>
          <w:numId w:val="2"/>
        </w:numPr>
        <w:spacing w:before="20" w:after="20"/>
      </w:pPr>
      <w:r>
        <w:rPr>
          <w:rFonts w:ascii="Arial" w:cs="Arial" w:eastAsia="Arial" w:hAnsi="Arial"/>
          <w:color w:val="444444"/>
          <w:sz w:val="20"/>
          <w:szCs w:val="20"/>
        </w:rPr>
        <w:t xml:space="preserve">Enrich investigations using OSINT tools (Maltego, SpiderFoot, Shodan, VirusTotal) to identify malicious infrastructure and threat actor patterns</w:t>
      </w:r>
    </w:p>
    <w:p>
      <w:pPr>
        <w:pStyle w:val="ListParagraph"/>
        <w:numPr>
          <w:ilvl w:val="0"/>
          <w:numId w:val="2"/>
        </w:numPr>
        <w:spacing w:before="20" w:after="20"/>
      </w:pPr>
      <w:r>
        <w:rPr>
          <w:rFonts w:ascii="Arial" w:cs="Arial" w:eastAsia="Arial" w:hAnsi="Arial"/>
          <w:color w:val="444444"/>
          <w:sz w:val="20"/>
          <w:szCs w:val="20"/>
        </w:rPr>
        <w:t xml:space="preserve">Map adversary behavior to MITRE ATT&amp;CK, strengthening detection coverage and enabling standardized investigation workflows</w:t>
      </w:r>
    </w:p>
    <w:p>
      <w:pPr>
        <w:pStyle w:val="ListParagraph"/>
        <w:numPr>
          <w:ilvl w:val="0"/>
          <w:numId w:val="2"/>
        </w:numPr>
        <w:spacing w:before="20" w:after="20"/>
      </w:pPr>
      <w:r>
        <w:rPr>
          <w:rFonts w:ascii="Arial" w:cs="Arial" w:eastAsia="Arial" w:hAnsi="Arial"/>
          <w:color w:val="444444"/>
          <w:sz w:val="20"/>
          <w:szCs w:val="20"/>
        </w:rPr>
        <w:t xml:space="preserve">Document threat hunting methodologies and detection improvements to support repeatable, scalable security operations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Borders>
              <w:top w:val="none" w:color="FFFFFF" w:sz="0"/>
              <w:left w:val="none" w:color="FFFFFF" w:sz="0"/>
              <w:bottom w:val="none" w:color="FFFFFF" w:sz="0"/>
              <w:right w:val="none" w:color="FFFFFF" w:sz="0"/>
            </w:tcBorders>
          </w:tcPr>
          <w:p>
            <w:pPr>
              <w:spacing w:before="80" w:after="0"/>
            </w:pPr>
            <w:r>
              <w:rPr>
                <w:rFonts w:ascii="Arial" w:cs="Arial" w:eastAsia="Arial" w:hAnsi="Arial"/>
                <w:b/>
                <w:bCs/>
                <w:color w:val="0D7377"/>
                <w:sz w:val="22"/>
                <w:szCs w:val="22"/>
              </w:rPr>
              <w:t xml:space="preserve">Cyber Defense Analyst II</w:t>
            </w:r>
          </w:p>
          <w:p>
            <w:pPr>
              <w:spacing w:before="0" w:after="30"/>
            </w:pPr>
            <w:r>
              <w:rPr>
                <w:rFonts w:ascii="Arial" w:cs="Arial" w:eastAsia="Arial" w:hAnsi="Arial"/>
                <w:b/>
                <w:bCs/>
                <w:color w:val="1A2B4A"/>
                <w:sz w:val="20"/>
                <w:szCs w:val="20"/>
              </w:rPr>
              <w:t xml:space="preserve">SAIC</w:t>
            </w:r>
            <w:r>
              <w:rPr>
                <w:rFonts w:ascii="Arial" w:cs="Arial" w:eastAsia="Arial" w:hAnsi="Arial"/>
                <w:color w:val="888888"/>
                <w:sz w:val="18"/>
                <w:szCs w:val="18"/>
              </w:rPr>
              <w:t xml:space="preserve">  ·  Remote</w:t>
            </w:r>
          </w:p>
        </w:tc>
        <w:tc>
          <w:tcPr>
            <w:tcBorders>
              <w:top w:val="none" w:color="FFFFFF" w:sz="0"/>
              <w:left w:val="none" w:color="FFFFFF" w:sz="0"/>
              <w:bottom w:val="none" w:color="FFFFFF" w:sz="0"/>
              <w:right w:val="none" w:color="FFFFFF" w:sz="0"/>
            </w:tcBorders>
            <w:vAlign w:val="center"/>
          </w:tcPr>
          <w:p>
            <w:pPr>
              <w:jc w:val="right"/>
            </w:pPr>
            <w:r>
              <w:rPr>
                <w:rFonts w:ascii="Arial" w:cs="Arial" w:eastAsia="Arial" w:hAnsi="Arial"/>
                <w:i/>
                <w:iCs/>
                <w:color w:val="888888"/>
                <w:sz w:val="18"/>
                <w:szCs w:val="18"/>
              </w:rPr>
              <w:t xml:space="preserve">2024 – 2026</w:t>
            </w:r>
          </w:p>
        </w:tc>
      </w:tr>
    </w:tbl>
    <w:p>
      <w:pPr>
        <w:pStyle w:val="ListParagraph"/>
        <w:numPr>
          <w:ilvl w:val="0"/>
          <w:numId w:val="2"/>
        </w:numPr>
        <w:spacing w:before="20" w:after="20"/>
      </w:pPr>
      <w:r>
        <w:rPr>
          <w:rFonts w:ascii="Arial" w:cs="Arial" w:eastAsia="Arial" w:hAnsi="Arial"/>
          <w:color w:val="444444"/>
          <w:sz w:val="20"/>
          <w:szCs w:val="20"/>
        </w:rPr>
        <w:t xml:space="preserve">Monitored and triaged enterprise security alerts across SIEM and endpoint platforms, analyzing malware, phishing, and authentication anomalies</w:t>
      </w:r>
    </w:p>
    <w:p>
      <w:pPr>
        <w:pStyle w:val="ListParagraph"/>
        <w:numPr>
          <w:ilvl w:val="0"/>
          <w:numId w:val="2"/>
        </w:numPr>
        <w:spacing w:before="20" w:after="20"/>
      </w:pPr>
      <w:r>
        <w:rPr>
          <w:rFonts w:ascii="Arial" w:cs="Arial" w:eastAsia="Arial" w:hAnsi="Arial"/>
          <w:color w:val="444444"/>
          <w:sz w:val="20"/>
          <w:szCs w:val="20"/>
        </w:rPr>
        <w:t xml:space="preserve">Conducted log correlation and IOC analysis to identify indicators of compromise and unauthorized access attempts</w:t>
      </w:r>
    </w:p>
    <w:p>
      <w:pPr>
        <w:pStyle w:val="ListParagraph"/>
        <w:numPr>
          <w:ilvl w:val="0"/>
          <w:numId w:val="2"/>
        </w:numPr>
        <w:spacing w:before="20" w:after="20"/>
      </w:pPr>
      <w:r>
        <w:rPr>
          <w:rFonts w:ascii="Arial" w:cs="Arial" w:eastAsia="Arial" w:hAnsi="Arial"/>
          <w:color w:val="444444"/>
          <w:sz w:val="20"/>
          <w:szCs w:val="20"/>
        </w:rPr>
        <w:t xml:space="preserve">Supported incident response workflows by documenting findings, escalating threats, and improving alert handling procedures</w:t>
      </w:r>
    </w:p>
    <w:p>
      <w:pPr>
        <w:pStyle w:val="ListParagraph"/>
        <w:numPr>
          <w:ilvl w:val="0"/>
          <w:numId w:val="2"/>
        </w:numPr>
        <w:spacing w:before="20" w:after="20"/>
      </w:pPr>
      <w:r>
        <w:rPr>
          <w:rFonts w:ascii="Arial" w:cs="Arial" w:eastAsia="Arial" w:hAnsi="Arial"/>
          <w:color w:val="444444"/>
          <w:sz w:val="20"/>
          <w:szCs w:val="20"/>
        </w:rPr>
        <w:t xml:space="preserve">Assisted in detection tuning efforts to reduce false positives and improve signal-to-noise ratio across alert pipelines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Borders>
              <w:top w:val="none" w:color="FFFFFF" w:sz="0"/>
              <w:left w:val="none" w:color="FFFFFF" w:sz="0"/>
              <w:bottom w:val="none" w:color="FFFFFF" w:sz="0"/>
              <w:right w:val="none" w:color="FFFFFF" w:sz="0"/>
            </w:tcBorders>
          </w:tcPr>
          <w:p>
            <w:pPr>
              <w:spacing w:before="80" w:after="0"/>
            </w:pPr>
            <w:r>
              <w:rPr>
                <w:rFonts w:ascii="Arial" w:cs="Arial" w:eastAsia="Arial" w:hAnsi="Arial"/>
                <w:b/>
                <w:bCs/>
                <w:color w:val="0D7377"/>
                <w:sz w:val="22"/>
                <w:szCs w:val="22"/>
              </w:rPr>
              <w:t xml:space="preserve">Cloud Migration Consultant</w:t>
            </w:r>
          </w:p>
          <w:p>
            <w:pPr>
              <w:spacing w:before="0" w:after="30"/>
            </w:pPr>
            <w:r>
              <w:rPr>
                <w:rFonts w:ascii="Arial" w:cs="Arial" w:eastAsia="Arial" w:hAnsi="Arial"/>
                <w:b/>
                <w:bCs/>
                <w:color w:val="1A2B4A"/>
                <w:sz w:val="20"/>
                <w:szCs w:val="20"/>
              </w:rPr>
              <w:t xml:space="preserve">MassMutual</w:t>
            </w:r>
            <w:r>
              <w:rPr>
                <w:rFonts w:ascii="Arial" w:cs="Arial" w:eastAsia="Arial" w:hAnsi="Arial"/>
                <w:color w:val="888888"/>
                <w:sz w:val="18"/>
                <w:szCs w:val="18"/>
              </w:rPr>
              <w:t xml:space="preserve">  ·  Remote</w:t>
            </w:r>
          </w:p>
        </w:tc>
        <w:tc>
          <w:tcPr>
            <w:tcBorders>
              <w:top w:val="none" w:color="FFFFFF" w:sz="0"/>
              <w:left w:val="none" w:color="FFFFFF" w:sz="0"/>
              <w:bottom w:val="none" w:color="FFFFFF" w:sz="0"/>
              <w:right w:val="none" w:color="FFFFFF" w:sz="0"/>
            </w:tcBorders>
            <w:vAlign w:val="center"/>
          </w:tcPr>
          <w:p>
            <w:pPr>
              <w:jc w:val="right"/>
            </w:pPr>
            <w:r>
              <w:rPr>
                <w:rFonts w:ascii="Arial" w:cs="Arial" w:eastAsia="Arial" w:hAnsi="Arial"/>
                <w:i/>
                <w:iCs/>
                <w:color w:val="888888"/>
                <w:sz w:val="18"/>
                <w:szCs w:val="18"/>
              </w:rPr>
              <w:t xml:space="preserve">2024 – 2025</w:t>
            </w:r>
          </w:p>
        </w:tc>
      </w:tr>
    </w:tbl>
    <w:p>
      <w:pPr>
        <w:pStyle w:val="ListParagraph"/>
        <w:numPr>
          <w:ilvl w:val="0"/>
          <w:numId w:val="2"/>
        </w:numPr>
        <w:spacing w:before="20" w:after="20"/>
      </w:pPr>
      <w:r>
        <w:rPr>
          <w:rFonts w:ascii="Arial" w:cs="Arial" w:eastAsia="Arial" w:hAnsi="Arial"/>
          <w:color w:val="444444"/>
          <w:sz w:val="20"/>
          <w:szCs w:val="20"/>
        </w:rPr>
        <w:t xml:space="preserve">Supported enterprise cloud migration across AWS and Azure environments, reviewing IAM configurations and validating logging and monitoring for cloud workloads</w:t>
      </w:r>
    </w:p>
    <w:p>
      <w:pPr>
        <w:pStyle w:val="ListParagraph"/>
        <w:numPr>
          <w:ilvl w:val="0"/>
          <w:numId w:val="2"/>
        </w:numPr>
        <w:spacing w:before="20" w:after="20"/>
      </w:pPr>
      <w:r>
        <w:rPr>
          <w:rFonts w:ascii="Arial" w:cs="Arial" w:eastAsia="Arial" w:hAnsi="Arial"/>
          <w:color w:val="444444"/>
          <w:sz w:val="20"/>
          <w:szCs w:val="20"/>
        </w:rPr>
        <w:t xml:space="preserve">Leveraged Nexthink to proactively identify endpoint performance issues, network disruptions, and security-impacting anomalies</w:t>
      </w:r>
    </w:p>
    <w:p>
      <w:pPr>
        <w:pStyle w:val="ListParagraph"/>
        <w:numPr>
          <w:ilvl w:val="0"/>
          <w:numId w:val="2"/>
        </w:numPr>
        <w:spacing w:before="20" w:after="20"/>
      </w:pPr>
      <w:r>
        <w:rPr>
          <w:rFonts w:ascii="Arial" w:cs="Arial" w:eastAsia="Arial" w:hAnsi="Arial"/>
          <w:color w:val="444444"/>
          <w:sz w:val="20"/>
          <w:szCs w:val="20"/>
        </w:rPr>
        <w:t xml:space="preserve">Collaborated with security teams to support investigations and resolve access and authentication-related issues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Borders>
              <w:top w:val="none" w:color="FFFFFF" w:sz="0"/>
              <w:left w:val="none" w:color="FFFFFF" w:sz="0"/>
              <w:bottom w:val="none" w:color="FFFFFF" w:sz="0"/>
              <w:right w:val="none" w:color="FFFFFF" w:sz="0"/>
            </w:tcBorders>
          </w:tcPr>
          <w:p>
            <w:pPr>
              <w:spacing w:before="80" w:after="0"/>
            </w:pPr>
            <w:r>
              <w:rPr>
                <w:rFonts w:ascii="Arial" w:cs="Arial" w:eastAsia="Arial" w:hAnsi="Arial"/>
                <w:b/>
                <w:bCs/>
                <w:color w:val="0D7377"/>
                <w:sz w:val="22"/>
                <w:szCs w:val="22"/>
              </w:rPr>
              <w:t xml:space="preserve">IT Operations Center Analyst I / Service Desk Analyst II</w:t>
            </w:r>
          </w:p>
          <w:p>
            <w:pPr>
              <w:spacing w:before="0" w:after="30"/>
            </w:pPr>
            <w:r>
              <w:rPr>
                <w:rFonts w:ascii="Arial" w:cs="Arial" w:eastAsia="Arial" w:hAnsi="Arial"/>
                <w:b/>
                <w:bCs/>
                <w:color w:val="1A2B4A"/>
                <w:sz w:val="20"/>
                <w:szCs w:val="20"/>
              </w:rPr>
              <w:t xml:space="preserve">Chewy</w:t>
            </w:r>
            <w:r>
              <w:rPr>
                <w:rFonts w:ascii="Arial" w:cs="Arial" w:eastAsia="Arial" w:hAnsi="Arial"/>
                <w:color w:val="888888"/>
                <w:sz w:val="18"/>
                <w:szCs w:val="18"/>
              </w:rPr>
              <w:t xml:space="preserve">  ·  Plantation, FL</w:t>
            </w:r>
          </w:p>
        </w:tc>
        <w:tc>
          <w:tcPr>
            <w:tcBorders>
              <w:top w:val="none" w:color="FFFFFF" w:sz="0"/>
              <w:left w:val="none" w:color="FFFFFF" w:sz="0"/>
              <w:bottom w:val="none" w:color="FFFFFF" w:sz="0"/>
              <w:right w:val="none" w:color="FFFFFF" w:sz="0"/>
            </w:tcBorders>
            <w:vAlign w:val="center"/>
          </w:tcPr>
          <w:p>
            <w:pPr>
              <w:jc w:val="right"/>
            </w:pPr>
            <w:r>
              <w:rPr>
                <w:rFonts w:ascii="Arial" w:cs="Arial" w:eastAsia="Arial" w:hAnsi="Arial"/>
                <w:i/>
                <w:iCs/>
                <w:color w:val="888888"/>
                <w:sz w:val="18"/>
                <w:szCs w:val="18"/>
              </w:rPr>
              <w:t xml:space="preserve">2021 – 2023</w:t>
            </w:r>
          </w:p>
        </w:tc>
      </w:tr>
    </w:tbl>
    <w:p>
      <w:pPr>
        <w:pStyle w:val="ListParagraph"/>
        <w:numPr>
          <w:ilvl w:val="0"/>
          <w:numId w:val="2"/>
        </w:numPr>
        <w:spacing w:before="20" w:after="20"/>
      </w:pPr>
      <w:r>
        <w:rPr>
          <w:rFonts w:ascii="Arial" w:cs="Arial" w:eastAsia="Arial" w:hAnsi="Arial"/>
          <w:color w:val="444444"/>
          <w:sz w:val="20"/>
          <w:szCs w:val="20"/>
        </w:rPr>
        <w:t xml:space="preserve">Supported Windows systems, VPN connectivity, and enterprise authentication environments in high-volume operational settings</w:t>
      </w:r>
    </w:p>
    <w:p>
      <w:pPr>
        <w:pStyle w:val="ListParagraph"/>
        <w:numPr>
          <w:ilvl w:val="0"/>
          <w:numId w:val="2"/>
        </w:numPr>
        <w:spacing w:before="20" w:after="20"/>
      </w:pPr>
      <w:r>
        <w:rPr>
          <w:rFonts w:ascii="Arial" w:cs="Arial" w:eastAsia="Arial" w:hAnsi="Arial"/>
          <w:color w:val="444444"/>
          <w:sz w:val="20"/>
          <w:szCs w:val="20"/>
        </w:rPr>
        <w:t xml:space="preserve">Utilized Nexthink analytics to diagnose and resolve endpoint and network issues while maintaining secure and stable operations</w:t>
      </w:r>
    </w:p>
    <w:p>
      <w:pPr>
        <w:pStyle w:val="ListParagraph"/>
        <w:numPr>
          <w:ilvl w:val="0"/>
          <w:numId w:val="2"/>
        </w:numPr>
        <w:spacing w:before="20" w:after="20"/>
      </w:pPr>
      <w:r>
        <w:rPr>
          <w:rFonts w:ascii="Arial" w:cs="Arial" w:eastAsia="Arial" w:hAnsi="Arial"/>
          <w:color w:val="444444"/>
          <w:sz w:val="20"/>
          <w:szCs w:val="20"/>
        </w:rPr>
        <w:t xml:space="preserve">Escalated security-related incidents and supported IAM troubleshooting across enterprise platforms</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2F5" w:val="clear"/>
            <w:tcMar>
              <w:top w:type="dxa" w:w="60"/>
              <w:left w:type="dxa" w:w="120"/>
              <w:bottom w:type="dxa" w:w="60"/>
              <w:right w:type="dxa" w:w="120"/>
            </w:tcMar>
          </w:tcPr>
          <w:p>
            <w:r>
              <w:rPr>
                <w:rFonts w:ascii="Arial" w:cs="Arial" w:eastAsia="Arial" w:hAnsi="Arial"/>
                <w:b/>
                <w:bCs/>
                <w:color w:val="1A2B4A"/>
                <w:sz w:val="20"/>
                <w:szCs w:val="20"/>
              </w:rPr>
              <w:t xml:space="preserve">THREAT HUNTING &amp; SECURITY LAB PROJECTS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Borders>
              <w:top w:val="none" w:color="FFFFFF" w:sz="0"/>
              <w:left w:val="none" w:color="FFFFFF" w:sz="0"/>
              <w:bottom w:val="none" w:color="FFFFFF" w:sz="0"/>
              <w:right w:val="none" w:color="FFFFFF" w:sz="0"/>
            </w:tcBorders>
          </w:tcPr>
          <w:p>
            <w:pPr>
              <w:spacing w:before="80" w:after="0"/>
            </w:pPr>
            <w:r>
              <w:rPr>
                <w:rFonts w:ascii="Arial" w:cs="Arial" w:eastAsia="Arial" w:hAnsi="Arial"/>
                <w:b/>
                <w:bCs/>
                <w:color w:val="0D7377"/>
                <w:sz w:val="22"/>
                <w:szCs w:val="22"/>
              </w:rPr>
              <w:t xml:space="preserve">Microsoft Sentinel  ·  KQL  ·  Defender for Identity</w:t>
            </w:r>
          </w:p>
          <w:p>
            <w:pPr>
              <w:spacing w:before="0" w:after="30"/>
            </w:pPr>
            <w:r>
              <w:rPr>
                <w:rFonts w:ascii="Arial" w:cs="Arial" w:eastAsia="Arial" w:hAnsi="Arial"/>
                <w:b/>
                <w:bCs/>
                <w:color w:val="1A2B4A"/>
                <w:sz w:val="20"/>
                <w:szCs w:val="20"/>
              </w:rPr>
              <w:t xml:space="preserve">Impossible Travel Detection</w:t>
            </w:r>
            <w:r>
              <w:t xml:space="preserve"/>
            </w:r>
          </w:p>
        </w:tc>
        <w:tc>
          <w:tcPr>
            <w:tcBorders>
              <w:top w:val="none" w:color="FFFFFF" w:sz="0"/>
              <w:left w:val="none" w:color="FFFFFF" w:sz="0"/>
              <w:bottom w:val="none" w:color="FFFFFF" w:sz="0"/>
              <w:right w:val="none" w:color="FFFFFF" w:sz="0"/>
            </w:tcBorders>
            <w:vAlign w:val="center"/>
          </w:tcPr>
          <w:p>
            <w:pPr>
              <w:jc w:val="right"/>
            </w:pPr>
            <w:r>
              <w:rPr>
                <w:rFonts w:ascii="Arial" w:cs="Arial" w:eastAsia="Arial" w:hAnsi="Arial"/>
                <w:i/>
                <w:iCs/>
                <w:color w:val="888888"/>
                <w:sz w:val="18"/>
                <w:szCs w:val="18"/>
              </w:rPr>
              <w:t xml:space="preserve">2025</w:t>
            </w:r>
          </w:p>
        </w:tc>
      </w:tr>
    </w:tbl>
    <w:p>
      <w:pPr>
        <w:pStyle w:val="ListParagraph"/>
        <w:numPr>
          <w:ilvl w:val="0"/>
          <w:numId w:val="2"/>
        </w:numPr>
        <w:spacing w:before="20" w:after="20"/>
      </w:pPr>
      <w:r>
        <w:rPr>
          <w:rFonts w:ascii="Arial" w:cs="Arial" w:eastAsia="Arial" w:hAnsi="Arial"/>
          <w:color w:val="444444"/>
          <w:sz w:val="20"/>
          <w:szCs w:val="20"/>
        </w:rPr>
        <w:t xml:space="preserve">Built KQL detection queries in Sentinel to identify impossible travel login patterns — sign-ins from distant locations within physically impossible timeframes</w:t>
      </w:r>
    </w:p>
    <w:p>
      <w:pPr>
        <w:pStyle w:val="ListParagraph"/>
        <w:numPr>
          <w:ilvl w:val="0"/>
          <w:numId w:val="2"/>
        </w:numPr>
        <w:spacing w:before="20" w:after="20"/>
      </w:pPr>
      <w:r>
        <w:rPr>
          <w:rFonts w:ascii="Arial" w:cs="Arial" w:eastAsia="Arial" w:hAnsi="Arial"/>
          <w:color w:val="444444"/>
          <w:sz w:val="20"/>
          <w:szCs w:val="20"/>
        </w:rPr>
        <w:t xml:space="preserve">Correlated with Defender for Identity signals and reconstructed full attacker timeline; detection fired 4 hours before automated alerting</w:t>
      </w:r>
    </w:p>
    <w:p>
      <w:pPr>
        <w:pStyle w:val="ListParagraph"/>
        <w:numPr>
          <w:ilvl w:val="0"/>
          <w:numId w:val="2"/>
        </w:numPr>
        <w:spacing w:before="20" w:after="20"/>
      </w:pPr>
      <w:r>
        <w:rPr>
          <w:rFonts w:ascii="Arial" w:cs="Arial" w:eastAsia="Arial" w:hAnsi="Arial"/>
          <w:color w:val="444444"/>
          <w:sz w:val="20"/>
          <w:szCs w:val="20"/>
        </w:rPr>
        <w:t xml:space="preserve">Documented reusable detection rule template with false positive mitigations (T1078, T1550.002)</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Borders>
              <w:top w:val="none" w:color="FFFFFF" w:sz="0"/>
              <w:left w:val="none" w:color="FFFFFF" w:sz="0"/>
              <w:bottom w:val="none" w:color="FFFFFF" w:sz="0"/>
              <w:right w:val="none" w:color="FFFFFF" w:sz="0"/>
            </w:tcBorders>
          </w:tcPr>
          <w:p>
            <w:pPr>
              <w:spacing w:before="80" w:after="0"/>
            </w:pPr>
            <w:r>
              <w:rPr>
                <w:rFonts w:ascii="Arial" w:cs="Arial" w:eastAsia="Arial" w:hAnsi="Arial"/>
                <w:b/>
                <w:bCs/>
                <w:color w:val="0D7377"/>
                <w:sz w:val="22"/>
                <w:szCs w:val="22"/>
              </w:rPr>
              <w:t xml:space="preserve">Maltego  ·  Shodan  ·  VirusTotal  ·  Censys</w:t>
            </w:r>
          </w:p>
          <w:p>
            <w:pPr>
              <w:spacing w:before="0" w:after="30"/>
            </w:pPr>
            <w:r>
              <w:rPr>
                <w:rFonts w:ascii="Arial" w:cs="Arial" w:eastAsia="Arial" w:hAnsi="Arial"/>
                <w:b/>
                <w:bCs/>
                <w:color w:val="1A2B4A"/>
                <w:sz w:val="20"/>
                <w:szCs w:val="20"/>
              </w:rPr>
              <w:t xml:space="preserve">Malicious Infrastructure Investigation</w:t>
            </w:r>
            <w:r>
              <w:t xml:space="preserve"/>
            </w:r>
          </w:p>
        </w:tc>
        <w:tc>
          <w:tcPr>
            <w:tcBorders>
              <w:top w:val="none" w:color="FFFFFF" w:sz="0"/>
              <w:left w:val="none" w:color="FFFFFF" w:sz="0"/>
              <w:bottom w:val="none" w:color="FFFFFF" w:sz="0"/>
              <w:right w:val="none" w:color="FFFFFF" w:sz="0"/>
            </w:tcBorders>
            <w:vAlign w:val="center"/>
          </w:tcPr>
          <w:p>
            <w:pPr>
              <w:jc w:val="right"/>
            </w:pPr>
            <w:r>
              <w:rPr>
                <w:rFonts w:ascii="Arial" w:cs="Arial" w:eastAsia="Arial" w:hAnsi="Arial"/>
                <w:i/>
                <w:iCs/>
                <w:color w:val="888888"/>
                <w:sz w:val="18"/>
                <w:szCs w:val="18"/>
              </w:rPr>
              <w:t xml:space="preserve">2025</w:t>
            </w:r>
          </w:p>
        </w:tc>
      </w:tr>
    </w:tbl>
    <w:p>
      <w:pPr>
        <w:pStyle w:val="ListParagraph"/>
        <w:numPr>
          <w:ilvl w:val="0"/>
          <w:numId w:val="2"/>
        </w:numPr>
        <w:spacing w:before="20" w:after="20"/>
      </w:pPr>
      <w:r>
        <w:rPr>
          <w:rFonts w:ascii="Arial" w:cs="Arial" w:eastAsia="Arial" w:hAnsi="Arial"/>
          <w:color w:val="444444"/>
          <w:sz w:val="20"/>
          <w:szCs w:val="20"/>
        </w:rPr>
        <w:t xml:space="preserve">Pivoted 3 seed indicators to 12 related infrastructure nodes via Maltego transforms, SSL certificate pivoting, and passive DNS analysis</w:t>
      </w:r>
    </w:p>
    <w:p>
      <w:pPr>
        <w:pStyle w:val="ListParagraph"/>
        <w:numPr>
          <w:ilvl w:val="0"/>
          <w:numId w:val="2"/>
        </w:numPr>
        <w:spacing w:before="20" w:after="20"/>
      </w:pPr>
      <w:r>
        <w:rPr>
          <w:rFonts w:ascii="Arial" w:cs="Arial" w:eastAsia="Arial" w:hAnsi="Arial"/>
          <w:color w:val="444444"/>
          <w:sz w:val="20"/>
          <w:szCs w:val="20"/>
        </w:rPr>
        <w:t xml:space="preserve">Delivered structured threat intelligence report with IOC list, infrastructure relationship map, and ATT&amp;CK technique mappings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Borders>
              <w:top w:val="none" w:color="FFFFFF" w:sz="0"/>
              <w:left w:val="none" w:color="FFFFFF" w:sz="0"/>
              <w:bottom w:val="none" w:color="FFFFFF" w:sz="0"/>
              <w:right w:val="none" w:color="FFFFFF" w:sz="0"/>
            </w:tcBorders>
          </w:tcPr>
          <w:p>
            <w:pPr>
              <w:spacing w:before="80" w:after="0"/>
            </w:pPr>
            <w:r>
              <w:rPr>
                <w:rFonts w:ascii="Arial" w:cs="Arial" w:eastAsia="Arial" w:hAnsi="Arial"/>
                <w:b/>
                <w:bCs/>
                <w:color w:val="0D7377"/>
                <w:sz w:val="22"/>
                <w:szCs w:val="22"/>
              </w:rPr>
              <w:t xml:space="preserve">Wireshark  ·  tcpdump  ·  Kali Linux</w:t>
            </w:r>
          </w:p>
          <w:p>
            <w:pPr>
              <w:spacing w:before="0" w:after="30"/>
            </w:pPr>
            <w:r>
              <w:rPr>
                <w:rFonts w:ascii="Arial" w:cs="Arial" w:eastAsia="Arial" w:hAnsi="Arial"/>
                <w:b/>
                <w:bCs/>
                <w:color w:val="1A2B4A"/>
                <w:sz w:val="20"/>
                <w:szCs w:val="20"/>
              </w:rPr>
              <w:t xml:space="preserve">Network Traffic Analysis Lab</w:t>
            </w:r>
            <w:r>
              <w:t xml:space="preserve"/>
            </w:r>
          </w:p>
        </w:tc>
        <w:tc>
          <w:tcPr>
            <w:tcBorders>
              <w:top w:val="none" w:color="FFFFFF" w:sz="0"/>
              <w:left w:val="none" w:color="FFFFFF" w:sz="0"/>
              <w:bottom w:val="none" w:color="FFFFFF" w:sz="0"/>
              <w:right w:val="none" w:color="FFFFFF" w:sz="0"/>
            </w:tcBorders>
            <w:vAlign w:val="center"/>
          </w:tcPr>
          <w:p>
            <w:pPr>
              <w:jc w:val="right"/>
            </w:pPr>
            <w:r>
              <w:rPr>
                <w:rFonts w:ascii="Arial" w:cs="Arial" w:eastAsia="Arial" w:hAnsi="Arial"/>
                <w:i/>
                <w:iCs/>
                <w:color w:val="888888"/>
                <w:sz w:val="18"/>
                <w:szCs w:val="18"/>
              </w:rPr>
              <w:t xml:space="preserve">2024</w:t>
            </w:r>
          </w:p>
        </w:tc>
      </w:tr>
    </w:tbl>
    <w:p>
      <w:pPr>
        <w:pStyle w:val="ListParagraph"/>
        <w:numPr>
          <w:ilvl w:val="0"/>
          <w:numId w:val="2"/>
        </w:numPr>
        <w:spacing w:before="20" w:after="20"/>
      </w:pPr>
      <w:r>
        <w:rPr>
          <w:rFonts w:ascii="Arial" w:cs="Arial" w:eastAsia="Arial" w:hAnsi="Arial"/>
          <w:color w:val="444444"/>
          <w:sz w:val="20"/>
          <w:szCs w:val="20"/>
        </w:rPr>
        <w:t xml:space="preserve">Confirmed DNS tunneling (dnscat2-style) with 180+ queries/minute to bulletproof resolver and Base64-encoded subdomain payloads</w:t>
      </w:r>
    </w:p>
    <w:p>
      <w:pPr>
        <w:pStyle w:val="ListParagraph"/>
        <w:numPr>
          <w:ilvl w:val="0"/>
          <w:numId w:val="2"/>
        </w:numPr>
        <w:spacing w:before="20" w:after="20"/>
      </w:pPr>
      <w:r>
        <w:rPr>
          <w:rFonts w:ascii="Arial" w:cs="Arial" w:eastAsia="Arial" w:hAnsi="Arial"/>
          <w:color w:val="444444"/>
          <w:sz w:val="20"/>
          <w:szCs w:val="20"/>
        </w:rPr>
        <w:t xml:space="preserve">Produced SOC-reusable detection notes with Wireshark filter signatures and IOC documentation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Borders>
              <w:top w:val="none" w:color="FFFFFF" w:sz="0"/>
              <w:left w:val="none" w:color="FFFFFF" w:sz="0"/>
              <w:bottom w:val="none" w:color="FFFFFF" w:sz="0"/>
              <w:right w:val="none" w:color="FFFFFF" w:sz="0"/>
            </w:tcBorders>
          </w:tcPr>
          <w:p>
            <w:pPr>
              <w:spacing w:before="80" w:after="0"/>
            </w:pPr>
            <w:r>
              <w:rPr>
                <w:rFonts w:ascii="Arial" w:cs="Arial" w:eastAsia="Arial" w:hAnsi="Arial"/>
                <w:b/>
                <w:bCs/>
                <w:color w:val="0D7377"/>
                <w:sz w:val="22"/>
                <w:szCs w:val="22"/>
              </w:rPr>
              <w:t xml:space="preserve">pfSense  ·  nmap  ·  VirtualBox</w:t>
            </w:r>
          </w:p>
          <w:p>
            <w:pPr>
              <w:spacing w:before="0" w:after="30"/>
            </w:pPr>
            <w:r>
              <w:rPr>
                <w:rFonts w:ascii="Arial" w:cs="Arial" w:eastAsia="Arial" w:hAnsi="Arial"/>
                <w:b/>
                <w:bCs/>
                <w:color w:val="1A2B4A"/>
                <w:sz w:val="20"/>
                <w:szCs w:val="20"/>
              </w:rPr>
              <w:t xml:space="preserve">Firewall &amp; Network Segmentation Lab</w:t>
            </w:r>
            <w:r>
              <w:t xml:space="preserve"/>
            </w:r>
          </w:p>
        </w:tc>
        <w:tc>
          <w:tcPr>
            <w:tcBorders>
              <w:top w:val="none" w:color="FFFFFF" w:sz="0"/>
              <w:left w:val="none" w:color="FFFFFF" w:sz="0"/>
              <w:bottom w:val="none" w:color="FFFFFF" w:sz="0"/>
              <w:right w:val="none" w:color="FFFFFF" w:sz="0"/>
            </w:tcBorders>
            <w:vAlign w:val="center"/>
          </w:tcPr>
          <w:p>
            <w:pPr>
              <w:jc w:val="right"/>
            </w:pPr>
            <w:r>
              <w:rPr>
                <w:rFonts w:ascii="Arial" w:cs="Arial" w:eastAsia="Arial" w:hAnsi="Arial"/>
                <w:i/>
                <w:iCs/>
                <w:color w:val="888888"/>
                <w:sz w:val="18"/>
                <w:szCs w:val="18"/>
              </w:rPr>
              <w:t xml:space="preserve">2024</w:t>
            </w:r>
          </w:p>
        </w:tc>
      </w:tr>
    </w:tbl>
    <w:p>
      <w:pPr>
        <w:pStyle w:val="ListParagraph"/>
        <w:numPr>
          <w:ilvl w:val="0"/>
          <w:numId w:val="2"/>
        </w:numPr>
        <w:spacing w:before="20" w:after="20"/>
      </w:pPr>
      <w:r>
        <w:rPr>
          <w:rFonts w:ascii="Arial" w:cs="Arial" w:eastAsia="Arial" w:hAnsi="Arial"/>
          <w:color w:val="444444"/>
          <w:sz w:val="20"/>
          <w:szCs w:val="20"/>
        </w:rPr>
        <w:t xml:space="preserve">Designed and implemented 3-VLAN segmented architecture with default-deny rules; all 5 nmap validation tests passed</w:t>
      </w:r>
    </w:p>
    <w:p>
      <w:pPr>
        <w:pStyle w:val="ListParagraph"/>
        <w:numPr>
          <w:ilvl w:val="0"/>
          <w:numId w:val="2"/>
        </w:numPr>
        <w:spacing w:before="20" w:after="20"/>
      </w:pPr>
      <w:r>
        <w:rPr>
          <w:rFonts w:ascii="Arial" w:cs="Arial" w:eastAsia="Arial" w:hAnsi="Arial"/>
          <w:color w:val="444444"/>
          <w:sz w:val="20"/>
          <w:szCs w:val="20"/>
        </w:rPr>
        <w:t xml:space="preserve">Eliminated unrestricted lateral movement — attacker pivot path reduced from full network to single VLAN</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2F5" w:val="clear"/>
            <w:tcMar>
              <w:top w:type="dxa" w:w="60"/>
              <w:left w:type="dxa" w:w="120"/>
              <w:bottom w:type="dxa" w:w="60"/>
              <w:right w:type="dxa" w:w="120"/>
            </w:tcMar>
          </w:tcPr>
          <w:p>
            <w:r>
              <w:rPr>
                <w:rFonts w:ascii="Arial" w:cs="Arial" w:eastAsia="Arial" w:hAnsi="Arial"/>
                <w:b/>
                <w:bCs/>
                <w:color w:val="1A2B4A"/>
                <w:sz w:val="20"/>
                <w:szCs w:val="20"/>
              </w:rPr>
              <w:t xml:space="preserve">CERTIFICATIONS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20"/>
              <w:bottom w:type="dxa" w:w="20"/>
              <w:right w:type="dxa" w:w="80"/>
            </w:tcMar>
          </w:tcPr>
          <w:p>
            <w:pPr>
              <w:pStyle w:val="ListParagraph"/>
              <w:numPr>
                <w:ilvl w:val="0"/>
                <w:numId w:val="2"/>
              </w:numPr>
            </w:pPr>
            <w:r>
              <w:rPr>
                <w:rFonts w:ascii="Arial" w:cs="Arial" w:eastAsia="Arial" w:hAnsi="Arial"/>
                <w:color w:val="444444"/>
                <w:sz w:val="19"/>
                <w:szCs w:val="19"/>
              </w:rPr>
              <w:t xml:space="preserve">Certified Ethical Hacker (CEH) — EC-Council</w:t>
            </w:r>
          </w:p>
        </w:tc>
        <w:tc>
          <w:tcPr>
            <w:tcW w:type="dxa" w:w="4680"/>
            <w:tcBorders>
              <w:top w:val="none" w:color="FFFFFF" w:sz="0"/>
              <w:left w:val="none" w:color="FFFFFF" w:sz="0"/>
              <w:bottom w:val="none" w:color="FFFFFF" w:sz="0"/>
              <w:right w:val="none" w:color="FFFFFF" w:sz="0"/>
            </w:tcBorders>
            <w:tcMar>
              <w:top w:type="dxa" w:w="20"/>
              <w:left w:type="dxa" w:w="80"/>
              <w:bottom w:type="dxa" w:w="20"/>
            </w:tcMar>
          </w:tcPr>
          <w:p>
            <w:pPr>
              <w:pStyle w:val="ListParagraph"/>
              <w:numPr>
                <w:ilvl w:val="0"/>
                <w:numId w:val="2"/>
              </w:numPr>
            </w:pPr>
            <w:r>
              <w:rPr>
                <w:rFonts w:ascii="Arial" w:cs="Arial" w:eastAsia="Arial" w:hAnsi="Arial"/>
                <w:color w:val="444444"/>
                <w:sz w:val="19"/>
                <w:szCs w:val="19"/>
              </w:rPr>
              <w:t xml:space="preserve">AWS Solutions Architect Associate</w:t>
            </w:r>
          </w:p>
        </w:tc>
      </w:tr>
      <w:tr>
        <w:tc>
          <w:tcPr>
            <w:tcW w:type="dxa" w:w="4680"/>
            <w:tcBorders>
              <w:top w:val="none" w:color="FFFFFF" w:sz="0"/>
              <w:left w:val="none" w:color="FFFFFF" w:sz="0"/>
              <w:bottom w:val="none" w:color="FFFFFF" w:sz="0"/>
              <w:right w:val="none" w:color="FFFFFF" w:sz="0"/>
            </w:tcBorders>
            <w:tcMar>
              <w:top w:type="dxa" w:w="20"/>
              <w:bottom w:type="dxa" w:w="20"/>
              <w:right w:type="dxa" w:w="80"/>
            </w:tcMar>
          </w:tcPr>
          <w:p>
            <w:pPr>
              <w:pStyle w:val="ListParagraph"/>
              <w:numPr>
                <w:ilvl w:val="0"/>
                <w:numId w:val="2"/>
              </w:numPr>
            </w:pPr>
            <w:r>
              <w:rPr>
                <w:rFonts w:ascii="Arial" w:cs="Arial" w:eastAsia="Arial" w:hAnsi="Arial"/>
                <w:color w:val="444444"/>
                <w:sz w:val="19"/>
                <w:szCs w:val="19"/>
              </w:rPr>
              <w:t xml:space="preserve">GIAC Security Essentials (GSEC)</w:t>
            </w:r>
          </w:p>
        </w:tc>
        <w:tc>
          <w:tcPr>
            <w:tcW w:type="dxa" w:w="4680"/>
            <w:tcBorders>
              <w:top w:val="none" w:color="FFFFFF" w:sz="0"/>
              <w:left w:val="none" w:color="FFFFFF" w:sz="0"/>
              <w:bottom w:val="none" w:color="FFFFFF" w:sz="0"/>
              <w:right w:val="none" w:color="FFFFFF" w:sz="0"/>
            </w:tcBorders>
            <w:tcMar>
              <w:top w:type="dxa" w:w="20"/>
              <w:left w:type="dxa" w:w="80"/>
              <w:bottom w:type="dxa" w:w="20"/>
            </w:tcMar>
          </w:tcPr>
          <w:p>
            <w:pPr>
              <w:pStyle w:val="ListParagraph"/>
              <w:numPr>
                <w:ilvl w:val="0"/>
                <w:numId w:val="2"/>
              </w:numPr>
            </w:pPr>
            <w:r>
              <w:rPr>
                <w:rFonts w:ascii="Arial" w:cs="Arial" w:eastAsia="Arial" w:hAnsi="Arial"/>
                <w:color w:val="444444"/>
                <w:sz w:val="19"/>
                <w:szCs w:val="19"/>
              </w:rPr>
              <w:t xml:space="preserve">AWS Cloud Practitioner</w:t>
            </w:r>
          </w:p>
        </w:tc>
      </w:tr>
      <w:tr>
        <w:tc>
          <w:tcPr>
            <w:tcW w:type="dxa" w:w="4680"/>
            <w:tcBorders>
              <w:top w:val="none" w:color="FFFFFF" w:sz="0"/>
              <w:left w:val="none" w:color="FFFFFF" w:sz="0"/>
              <w:bottom w:val="none" w:color="FFFFFF" w:sz="0"/>
              <w:right w:val="none" w:color="FFFFFF" w:sz="0"/>
            </w:tcBorders>
            <w:tcMar>
              <w:top w:type="dxa" w:w="20"/>
              <w:bottom w:type="dxa" w:w="20"/>
              <w:right w:type="dxa" w:w="80"/>
            </w:tcMar>
          </w:tcPr>
          <w:p>
            <w:pPr>
              <w:pStyle w:val="ListParagraph"/>
              <w:numPr>
                <w:ilvl w:val="0"/>
                <w:numId w:val="2"/>
              </w:numPr>
            </w:pPr>
            <w:r>
              <w:rPr>
                <w:rFonts w:ascii="Arial" w:cs="Arial" w:eastAsia="Arial" w:hAnsi="Arial"/>
                <w:color w:val="444444"/>
                <w:sz w:val="19"/>
                <w:szCs w:val="19"/>
              </w:rPr>
              <w:t xml:space="preserve">GIAC Foundational Cybersecurity (GFACT)</w:t>
            </w:r>
          </w:p>
        </w:tc>
        <w:tc>
          <w:tcPr>
            <w:tcW w:type="dxa" w:w="4680"/>
            <w:tcBorders>
              <w:top w:val="none" w:color="FFFFFF" w:sz="0"/>
              <w:left w:val="none" w:color="FFFFFF" w:sz="0"/>
              <w:bottom w:val="none" w:color="FFFFFF" w:sz="0"/>
              <w:right w:val="none" w:color="FFFFFF" w:sz="0"/>
            </w:tcBorders>
            <w:tcMar>
              <w:top w:type="dxa" w:w="20"/>
              <w:left w:type="dxa" w:w="80"/>
              <w:bottom w:type="dxa" w:w="20"/>
            </w:tcMar>
          </w:tcPr>
          <w:p>
            <w:pPr>
              <w:pStyle w:val="ListParagraph"/>
              <w:numPr>
                <w:ilvl w:val="0"/>
                <w:numId w:val="2"/>
              </w:numPr>
            </w:pPr>
            <w:r>
              <w:rPr>
                <w:rFonts w:ascii="Arial" w:cs="Arial" w:eastAsia="Arial" w:hAnsi="Arial"/>
                <w:color w:val="444444"/>
                <w:sz w:val="19"/>
                <w:szCs w:val="19"/>
              </w:rPr>
              <w:t xml:space="preserve">Microsoft Azure Administrator AZ-104</w:t>
            </w:r>
          </w:p>
        </w:tc>
      </w:tr>
      <w:tr>
        <w:tc>
          <w:tcPr>
            <w:tcW w:type="dxa" w:w="4680"/>
            <w:tcBorders>
              <w:top w:val="none" w:color="FFFFFF" w:sz="0"/>
              <w:left w:val="none" w:color="FFFFFF" w:sz="0"/>
              <w:bottom w:val="none" w:color="FFFFFF" w:sz="0"/>
              <w:right w:val="none" w:color="FFFFFF" w:sz="0"/>
            </w:tcBorders>
            <w:tcMar>
              <w:top w:type="dxa" w:w="20"/>
              <w:bottom w:type="dxa" w:w="20"/>
              <w:right w:type="dxa" w:w="80"/>
            </w:tcMar>
          </w:tcPr>
          <w:p>
            <w:pPr>
              <w:pStyle w:val="ListParagraph"/>
              <w:numPr>
                <w:ilvl w:val="0"/>
                <w:numId w:val="2"/>
              </w:numPr>
            </w:pPr>
            <w:r>
              <w:rPr>
                <w:rFonts w:ascii="Arial" w:cs="Arial" w:eastAsia="Arial" w:hAnsi="Arial"/>
                <w:color w:val="444444"/>
                <w:sz w:val="19"/>
                <w:szCs w:val="19"/>
              </w:rPr>
              <w:t xml:space="preserve">CompTIA Security+</w:t>
            </w:r>
          </w:p>
        </w:tc>
        <w:tc>
          <w:tcPr>
            <w:tcW w:type="dxa" w:w="4680"/>
            <w:tcBorders>
              <w:top w:val="none" w:color="FFFFFF" w:sz="0"/>
              <w:left w:val="none" w:color="FFFFFF" w:sz="0"/>
              <w:bottom w:val="none" w:color="FFFFFF" w:sz="0"/>
              <w:right w:val="none" w:color="FFFFFF" w:sz="0"/>
            </w:tcBorders>
            <w:tcMar>
              <w:top w:type="dxa" w:w="20"/>
              <w:left w:type="dxa" w:w="80"/>
              <w:bottom w:type="dxa" w:w="20"/>
            </w:tcMar>
          </w:tcPr>
          <w:p>
            <w:pPr>
              <w:pStyle w:val="ListParagraph"/>
              <w:numPr>
                <w:ilvl w:val="0"/>
                <w:numId w:val="2"/>
              </w:numPr>
            </w:pPr>
            <w:r>
              <w:rPr>
                <w:rFonts w:ascii="Arial" w:cs="Arial" w:eastAsia="Arial" w:hAnsi="Arial"/>
                <w:color w:val="444444"/>
                <w:sz w:val="19"/>
                <w:szCs w:val="19"/>
              </w:rPr>
              <w:t xml:space="preserve">Microsoft Azure Fundamentals AZ-900</w:t>
            </w:r>
          </w:p>
        </w:tc>
      </w:tr>
      <w:tr>
        <w:tc>
          <w:tcPr>
            <w:tcW w:type="dxa" w:w="4680"/>
            <w:tcBorders>
              <w:top w:val="none" w:color="FFFFFF" w:sz="0"/>
              <w:left w:val="none" w:color="FFFFFF" w:sz="0"/>
              <w:bottom w:val="none" w:color="FFFFFF" w:sz="0"/>
              <w:right w:val="none" w:color="FFFFFF" w:sz="0"/>
            </w:tcBorders>
            <w:tcMar>
              <w:top w:type="dxa" w:w="20"/>
              <w:bottom w:type="dxa" w:w="20"/>
              <w:right w:type="dxa" w:w="80"/>
            </w:tcMar>
          </w:tcPr>
          <w:p>
            <w:pPr>
              <w:pStyle w:val="ListParagraph"/>
              <w:numPr>
                <w:ilvl w:val="0"/>
                <w:numId w:val="2"/>
              </w:numPr>
            </w:pPr>
            <w:r>
              <w:rPr>
                <w:rFonts w:ascii="Arial" w:cs="Arial" w:eastAsia="Arial" w:hAnsi="Arial"/>
                <w:color w:val="444444"/>
                <w:sz w:val="19"/>
                <w:szCs w:val="19"/>
              </w:rPr>
              <w:t xml:space="preserve">CompTIA Network+</w:t>
            </w:r>
          </w:p>
        </w:tc>
        <w:tc>
          <w:tcPr>
            <w:tcW w:type="dxa" w:w="4680"/>
            <w:tcBorders>
              <w:top w:val="none" w:color="FFFFFF" w:sz="0"/>
              <w:left w:val="none" w:color="FFFFFF" w:sz="0"/>
              <w:bottom w:val="none" w:color="FFFFFF" w:sz="0"/>
              <w:right w:val="none" w:color="FFFFFF" w:sz="0"/>
            </w:tcBorders>
            <w:tcMar>
              <w:top w:type="dxa" w:w="20"/>
              <w:left w:type="dxa" w:w="80"/>
              <w:bottom w:type="dxa" w:w="20"/>
            </w:tcMar>
          </w:tcPr>
          <w:p>
            <w:pPr>
              <w:pStyle w:val="ListParagraph"/>
              <w:numPr>
                <w:ilvl w:val="0"/>
                <w:numId w:val="2"/>
              </w:numPr>
            </w:pPr>
            <w:r>
              <w:rPr>
                <w:rFonts w:ascii="Arial" w:cs="Arial" w:eastAsia="Arial" w:hAnsi="Arial"/>
                <w:color w:val="444444"/>
                <w:sz w:val="19"/>
                <w:szCs w:val="19"/>
              </w:rPr>
              <w:t xml:space="preserve">Cisco CCNA</w:t>
            </w:r>
          </w:p>
        </w:tc>
      </w:tr>
      <w:tr>
        <w:tc>
          <w:tcPr>
            <w:tcW w:type="dxa" w:w="4680"/>
            <w:tcBorders>
              <w:top w:val="none" w:color="FFFFFF" w:sz="0"/>
              <w:left w:val="none" w:color="FFFFFF" w:sz="0"/>
              <w:bottom w:val="none" w:color="FFFFFF" w:sz="0"/>
              <w:right w:val="none" w:color="FFFFFF" w:sz="0"/>
            </w:tcBorders>
            <w:tcMar>
              <w:top w:type="dxa" w:w="20"/>
              <w:bottom w:type="dxa" w:w="20"/>
              <w:right w:type="dxa" w:w="80"/>
            </w:tcMar>
          </w:tcPr>
          <w:p>
            <w:pPr>
              <w:pStyle w:val="ListParagraph"/>
              <w:numPr>
                <w:ilvl w:val="0"/>
                <w:numId w:val="2"/>
              </w:numPr>
            </w:pPr>
            <w:r>
              <w:rPr>
                <w:rFonts w:ascii="Arial" w:cs="Arial" w:eastAsia="Arial" w:hAnsi="Arial"/>
                <w:color w:val="444444"/>
                <w:sz w:val="19"/>
                <w:szCs w:val="19"/>
              </w:rPr>
              <w:t xml:space="preserve">CompTIA A+</w:t>
            </w:r>
          </w:p>
        </w:tc>
        <w:tc>
          <w:tcPr>
            <w:tcW w:type="dxa" w:w="4680"/>
            <w:tcBorders>
              <w:top w:val="none" w:color="FFFFFF" w:sz="0"/>
              <w:left w:val="none" w:color="FFFFFF" w:sz="0"/>
              <w:bottom w:val="none" w:color="FFFFFF" w:sz="0"/>
              <w:right w:val="none" w:color="FFFFFF" w:sz="0"/>
            </w:tcBorders>
            <w:tcMar>
              <w:top w:type="dxa" w:w="20"/>
              <w:left w:type="dxa" w:w="80"/>
              <w:bottom w:type="dxa" w:w="20"/>
            </w:tcMar>
          </w:tcPr>
          <w:p>
            <w:pPr>
              <w:pStyle w:val="ListParagraph"/>
              <w:numPr>
                <w:ilvl w:val="0"/>
                <w:numId w:val="2"/>
              </w:numPr>
            </w:pPr>
            <w:r>
              <w:rPr>
                <w:rFonts w:ascii="Arial" w:cs="Arial" w:eastAsia="Arial" w:hAnsi="Arial"/>
                <w:color w:val="444444"/>
                <w:sz w:val="19"/>
                <w:szCs w:val="19"/>
              </w:rPr>
              <w:t xml:space="preserve">Okta Certified Professional</w:t>
            </w:r>
          </w:p>
        </w:tc>
      </w:tr>
      <w:tr>
        <w:tc>
          <w:tcPr>
            <w:tcW w:type="dxa" w:w="4680"/>
            <w:tcBorders>
              <w:top w:val="none" w:color="FFFFFF" w:sz="0"/>
              <w:left w:val="none" w:color="FFFFFF" w:sz="0"/>
              <w:bottom w:val="none" w:color="FFFFFF" w:sz="0"/>
              <w:right w:val="none" w:color="FFFFFF" w:sz="0"/>
            </w:tcBorders>
            <w:tcMar>
              <w:top w:type="dxa" w:w="20"/>
              <w:bottom w:type="dxa" w:w="20"/>
              <w:right w:type="dxa" w:w="80"/>
            </w:tcMar>
          </w:tcPr>
          <w:p>
            <w:pPr>
              <w:pStyle w:val="ListParagraph"/>
              <w:numPr>
                <w:ilvl w:val="0"/>
                <w:numId w:val="2"/>
              </w:numPr>
            </w:pPr>
            <w:r>
              <w:rPr>
                <w:rFonts w:ascii="Arial" w:cs="Arial" w:eastAsia="Arial" w:hAnsi="Arial"/>
                <w:color w:val="444444"/>
                <w:sz w:val="19"/>
                <w:szCs w:val="19"/>
              </w:rPr>
              <w:t xml:space="preserve">CompTIA Infrastructure Specialist</w:t>
            </w:r>
          </w:p>
        </w:tc>
        <w:tc>
          <w:tcPr>
            <w:tcW w:type="dxa" w:w="4680"/>
            <w:tcBorders>
              <w:top w:val="none" w:color="FFFFFF" w:sz="0"/>
              <w:left w:val="none" w:color="FFFFFF" w:sz="0"/>
              <w:bottom w:val="none" w:color="FFFFFF" w:sz="0"/>
              <w:right w:val="none" w:color="FFFFFF" w:sz="0"/>
            </w:tcBorders>
            <w:tcMar>
              <w:top w:type="dxa" w:w="20"/>
              <w:left w:type="dxa" w:w="80"/>
              <w:bottom w:type="dxa" w:w="20"/>
            </w:tcMar>
          </w:tcPr>
          <w:p>
            <w:r>
              <w:t xml:space="preserve"/>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2F5" w:val="clear"/>
            <w:tcMar>
              <w:top w:type="dxa" w:w="60"/>
              <w:left w:type="dxa" w:w="120"/>
              <w:bottom w:type="dxa" w:w="60"/>
              <w:right w:type="dxa" w:w="120"/>
            </w:tcMar>
          </w:tcPr>
          <w:p>
            <w:r>
              <w:rPr>
                <w:rFonts w:ascii="Arial" w:cs="Arial" w:eastAsia="Arial" w:hAnsi="Arial"/>
                <w:b/>
                <w:bCs/>
                <w:color w:val="1A2B4A"/>
                <w:sz w:val="20"/>
                <w:szCs w:val="20"/>
              </w:rPr>
              <w:t xml:space="preserve">EDUCATION</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Borders>
              <w:top w:val="none" w:color="FFFFFF" w:sz="0"/>
              <w:left w:val="none" w:color="FFFFFF" w:sz="0"/>
              <w:bottom w:val="none" w:color="FFFFFF" w:sz="0"/>
              <w:right w:val="none" w:color="FFFFFF" w:sz="0"/>
            </w:tcBorders>
          </w:tcPr>
          <w:p>
            <w:r>
              <w:rPr>
                <w:rFonts w:ascii="Arial" w:cs="Arial" w:eastAsia="Arial" w:hAnsi="Arial"/>
                <w:b/>
                <w:bCs/>
                <w:color w:val="1A2B4A"/>
                <w:sz w:val="20"/>
                <w:szCs w:val="20"/>
              </w:rPr>
              <w:t xml:space="preserve">Bachelor of Science — Computer Science (In Progress)</w:t>
            </w:r>
          </w:p>
          <w:p>
            <w:r>
              <w:rPr>
                <w:rFonts w:ascii="Arial" w:cs="Arial" w:eastAsia="Arial" w:hAnsi="Arial"/>
                <w:color w:val="444444"/>
                <w:sz w:val="19"/>
                <w:szCs w:val="19"/>
              </w:rPr>
              <w:t xml:space="preserve">Trident University International</w:t>
            </w:r>
          </w:p>
        </w:tc>
        <w:tc>
          <w:tcPr>
            <w:tcBorders>
              <w:top w:val="none" w:color="FFFFFF" w:sz="0"/>
              <w:left w:val="none" w:color="FFFFFF" w:sz="0"/>
              <w:bottom w:val="none" w:color="FFFFFF" w:sz="0"/>
              <w:right w:val="none" w:color="FFFFFF" w:sz="0"/>
            </w:tcBorders>
            <w:vAlign w:val="center"/>
          </w:tcPr>
          <w:p>
            <w:pPr>
              <w:jc w:val="right"/>
            </w:pPr>
            <w:r>
              <w:rPr>
                <w:rFonts w:ascii="Arial" w:cs="Arial" w:eastAsia="Arial" w:hAnsi="Arial"/>
                <w:i/>
                <w:iCs/>
                <w:color w:val="888888"/>
                <w:sz w:val="18"/>
                <w:szCs w:val="18"/>
              </w:rPr>
              <w:t xml:space="preserve">Expected 2026</w:t>
            </w:r>
          </w:p>
        </w:tc>
      </w:tr>
      <w:tr>
        <w:tc>
          <w:tcPr>
            <w:tcBorders>
              <w:top w:val="none" w:color="FFFFFF" w:sz="0"/>
              <w:left w:val="none" w:color="FFFFFF" w:sz="0"/>
              <w:bottom w:val="none" w:color="FFFFFF" w:sz="0"/>
              <w:right w:val="none" w:color="FFFFFF" w:sz="0"/>
            </w:tcBorders>
            <w:tcMar>
              <w:top w:type="dxa" w:w="80"/>
            </w:tcMar>
          </w:tcPr>
          <w:p>
            <w:r>
              <w:rPr>
                <w:rFonts w:ascii="Arial" w:cs="Arial" w:eastAsia="Arial" w:hAnsi="Arial"/>
                <w:b/>
                <w:bCs/>
                <w:color w:val="1A2B4A"/>
                <w:sz w:val="20"/>
                <w:szCs w:val="20"/>
              </w:rPr>
              <w:t xml:space="preserve">Associate of Science — Cybersecurity</w:t>
            </w:r>
          </w:p>
          <w:p>
            <w:r>
              <w:rPr>
                <w:rFonts w:ascii="Arial" w:cs="Arial" w:eastAsia="Arial" w:hAnsi="Arial"/>
                <w:color w:val="444444"/>
                <w:sz w:val="19"/>
                <w:szCs w:val="19"/>
              </w:rPr>
              <w:t xml:space="preserve">Trident University International</w:t>
            </w:r>
          </w:p>
        </w:tc>
        <w:tc>
          <w:tcPr>
            <w:tcBorders>
              <w:top w:val="none" w:color="FFFFFF" w:sz="0"/>
              <w:left w:val="none" w:color="FFFFFF" w:sz="0"/>
              <w:bottom w:val="none" w:color="FFFFFF" w:sz="0"/>
              <w:right w:val="none" w:color="FFFFFF" w:sz="0"/>
            </w:tcBorders>
            <w:tcMar>
              <w:top w:type="dxa" w:w="80"/>
            </w:tcMar>
            <w:vAlign w:val="center"/>
          </w:tcPr>
          <w:p>
            <w:pPr>
              <w:jc w:val="right"/>
            </w:pPr>
            <w:r>
              <w:rPr>
                <w:rFonts w:ascii="Arial" w:cs="Arial" w:eastAsia="Arial" w:hAnsi="Arial"/>
                <w:i/>
                <w:iCs/>
                <w:color w:val="888888"/>
                <w:sz w:val="18"/>
                <w:szCs w:val="18"/>
              </w:rPr>
              <w:t xml:space="preserve">2023</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2F5" w:val="clear"/>
            <w:tcMar>
              <w:top w:type="dxa" w:w="60"/>
              <w:left w:type="dxa" w:w="120"/>
              <w:bottom w:type="dxa" w:w="60"/>
              <w:right w:type="dxa" w:w="120"/>
            </w:tcMar>
          </w:tcPr>
          <w:p>
            <w:r>
              <w:rPr>
                <w:rFonts w:ascii="Arial" w:cs="Arial" w:eastAsia="Arial" w:hAnsi="Arial"/>
                <w:b/>
                <w:bCs/>
                <w:color w:val="1A2B4A"/>
                <w:sz w:val="20"/>
                <w:szCs w:val="20"/>
              </w:rPr>
              <w:t xml:space="preserve">ONLINE PRESENCE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tcMar>
              <w:top w:type="dxa" w:w="40"/>
              <w:bottom w:type="dxa" w:w="40"/>
              <w:right w:type="dxa" w:w="120"/>
            </w:tcMar>
          </w:tcPr>
          <w:p>
            <w:r>
              <w:rPr>
                <w:rFonts w:ascii="Arial" w:cs="Arial" w:eastAsia="Arial" w:hAnsi="Arial"/>
                <w:b/>
                <w:bCs/>
                <w:color w:val="1A2B4A"/>
                <w:sz w:val="19"/>
                <w:szCs w:val="19"/>
              </w:rPr>
              <w:t xml:space="preserve">Portfolio</w:t>
            </w:r>
          </w:p>
        </w:tc>
        <w:tc>
          <w:tcPr>
            <w:tcW w:type="dxa" w:w="7560"/>
            <w:tcBorders>
              <w:top w:val="none" w:color="FFFFFF" w:sz="0"/>
              <w:left w:val="none" w:color="FFFFFF" w:sz="0"/>
              <w:bottom w:val="none" w:color="FFFFFF" w:sz="0"/>
              <w:right w:val="none" w:color="FFFFFF" w:sz="0"/>
            </w:tcBorders>
            <w:tcMar>
              <w:top w:type="dxa" w:w="40"/>
              <w:bottom w:type="dxa" w:w="40"/>
            </w:tcMar>
          </w:tcPr>
          <w:p>
            <w:hyperlink w:history="1" r:id="rIdjdgk5cgr6p6zwvgtncin8">
              <w:r>
                <w:rPr>
                  <w:rFonts w:ascii="Arial" w:cs="Arial" w:eastAsia="Arial" w:hAnsi="Arial"/>
                  <w:color w:val="0D7377"/>
                  <w:sz w:val="19"/>
                  <w:szCs w:val="19"/>
                </w:rPr>
                <w:t xml:space="preserve">hackth3br0nx.github.io</w:t>
              </w:r>
            </w:hyperlink>
          </w:p>
        </w:tc>
      </w:tr>
      <w:tr>
        <w:tc>
          <w:tcPr>
            <w:tcW w:type="dxa" w:w="1800"/>
            <w:tcBorders>
              <w:top w:val="none" w:color="FFFFFF" w:sz="0"/>
              <w:left w:val="none" w:color="FFFFFF" w:sz="0"/>
              <w:bottom w:val="none" w:color="FFFFFF" w:sz="0"/>
              <w:right w:val="none" w:color="FFFFFF" w:sz="0"/>
            </w:tcBorders>
            <w:tcMar>
              <w:top w:type="dxa" w:w="40"/>
              <w:bottom w:type="dxa" w:w="40"/>
              <w:right w:type="dxa" w:w="120"/>
            </w:tcMar>
          </w:tcPr>
          <w:p>
            <w:r>
              <w:rPr>
                <w:rFonts w:ascii="Arial" w:cs="Arial" w:eastAsia="Arial" w:hAnsi="Arial"/>
                <w:b/>
                <w:bCs/>
                <w:color w:val="1A2B4A"/>
                <w:sz w:val="19"/>
                <w:szCs w:val="19"/>
              </w:rPr>
              <w:t xml:space="preserve">GitHub</w:t>
            </w:r>
          </w:p>
        </w:tc>
        <w:tc>
          <w:tcPr>
            <w:tcW w:type="dxa" w:w="7560"/>
            <w:tcBorders>
              <w:top w:val="none" w:color="FFFFFF" w:sz="0"/>
              <w:left w:val="none" w:color="FFFFFF" w:sz="0"/>
              <w:bottom w:val="none" w:color="FFFFFF" w:sz="0"/>
              <w:right w:val="none" w:color="FFFFFF" w:sz="0"/>
            </w:tcBorders>
            <w:tcMar>
              <w:top w:type="dxa" w:w="40"/>
              <w:bottom w:type="dxa" w:w="40"/>
            </w:tcMar>
          </w:tcPr>
          <w:p>
            <w:hyperlink w:history="1" r:id="rIdamkoz6x26ymhkvyog0fpq">
              <w:r>
                <w:rPr>
                  <w:rFonts w:ascii="Arial" w:cs="Arial" w:eastAsia="Arial" w:hAnsi="Arial"/>
                  <w:color w:val="0D7377"/>
                  <w:sz w:val="19"/>
                  <w:szCs w:val="19"/>
                </w:rPr>
                <w:t xml:space="preserve">github.com/Hackth3br0nx</w:t>
              </w:r>
            </w:hyperlink>
          </w:p>
        </w:tc>
      </w:tr>
      <w:tr>
        <w:tc>
          <w:tcPr>
            <w:tcW w:type="dxa" w:w="1800"/>
            <w:tcBorders>
              <w:top w:val="none" w:color="FFFFFF" w:sz="0"/>
              <w:left w:val="none" w:color="FFFFFF" w:sz="0"/>
              <w:bottom w:val="none" w:color="FFFFFF" w:sz="0"/>
              <w:right w:val="none" w:color="FFFFFF" w:sz="0"/>
            </w:tcBorders>
            <w:tcMar>
              <w:top w:type="dxa" w:w="40"/>
              <w:bottom w:type="dxa" w:w="40"/>
              <w:right w:type="dxa" w:w="120"/>
            </w:tcMar>
          </w:tcPr>
          <w:p>
            <w:r>
              <w:rPr>
                <w:rFonts w:ascii="Arial" w:cs="Arial" w:eastAsia="Arial" w:hAnsi="Arial"/>
                <w:b/>
                <w:bCs/>
                <w:color w:val="1A2B4A"/>
                <w:sz w:val="19"/>
                <w:szCs w:val="19"/>
              </w:rPr>
              <w:t xml:space="preserve">TryHackMe</w:t>
            </w:r>
          </w:p>
        </w:tc>
        <w:tc>
          <w:tcPr>
            <w:tcW w:type="dxa" w:w="7560"/>
            <w:tcBorders>
              <w:top w:val="none" w:color="FFFFFF" w:sz="0"/>
              <w:left w:val="none" w:color="FFFFFF" w:sz="0"/>
              <w:bottom w:val="none" w:color="FFFFFF" w:sz="0"/>
              <w:right w:val="none" w:color="FFFFFF" w:sz="0"/>
            </w:tcBorders>
            <w:tcMar>
              <w:top w:type="dxa" w:w="40"/>
              <w:bottom w:type="dxa" w:w="40"/>
            </w:tcMar>
          </w:tcPr>
          <w:p>
            <w:hyperlink w:history="1" r:id="rIdeyuxncl7qh6cbmq5kutbl">
              <w:r>
                <w:rPr>
                  <w:rFonts w:ascii="Arial" w:cs="Arial" w:eastAsia="Arial" w:hAnsi="Arial"/>
                  <w:color w:val="0D7377"/>
                  <w:sz w:val="19"/>
                  <w:szCs w:val="19"/>
                </w:rPr>
                <w:t xml:space="preserve">tryhackme.com/p/Hackth3br0nx</w:t>
              </w:r>
            </w:hyperlink>
          </w:p>
        </w:tc>
      </w:tr>
      <w:tr>
        <w:tc>
          <w:tcPr>
            <w:tcW w:type="dxa" w:w="1800"/>
            <w:tcBorders>
              <w:top w:val="none" w:color="FFFFFF" w:sz="0"/>
              <w:left w:val="none" w:color="FFFFFF" w:sz="0"/>
              <w:bottom w:val="none" w:color="FFFFFF" w:sz="0"/>
              <w:right w:val="none" w:color="FFFFFF" w:sz="0"/>
            </w:tcBorders>
            <w:tcMar>
              <w:top w:type="dxa" w:w="40"/>
              <w:bottom w:type="dxa" w:w="40"/>
              <w:right w:type="dxa" w:w="120"/>
            </w:tcMar>
          </w:tcPr>
          <w:p>
            <w:r>
              <w:rPr>
                <w:rFonts w:ascii="Arial" w:cs="Arial" w:eastAsia="Arial" w:hAnsi="Arial"/>
                <w:b/>
                <w:bCs/>
                <w:color w:val="1A2B4A"/>
                <w:sz w:val="19"/>
                <w:szCs w:val="19"/>
              </w:rPr>
              <w:t xml:space="preserve">Codefinity</w:t>
            </w:r>
          </w:p>
        </w:tc>
        <w:tc>
          <w:tcPr>
            <w:tcW w:type="dxa" w:w="7560"/>
            <w:tcBorders>
              <w:top w:val="none" w:color="FFFFFF" w:sz="0"/>
              <w:left w:val="none" w:color="FFFFFF" w:sz="0"/>
              <w:bottom w:val="none" w:color="FFFFFF" w:sz="0"/>
              <w:right w:val="none" w:color="FFFFFF" w:sz="0"/>
            </w:tcBorders>
            <w:tcMar>
              <w:top w:type="dxa" w:w="40"/>
              <w:bottom w:type="dxa" w:w="40"/>
            </w:tcMar>
          </w:tcPr>
          <w:p>
            <w:hyperlink w:history="1" r:id="rIdatqtxgugvojlx02ahumcv">
              <w:r>
                <w:rPr>
                  <w:rFonts w:ascii="Arial" w:cs="Arial" w:eastAsia="Arial" w:hAnsi="Arial"/>
                  <w:color w:val="0D7377"/>
                  <w:sz w:val="19"/>
                  <w:szCs w:val="19"/>
                </w:rPr>
                <w:t xml:space="preserve">codefinity.com/cv/35ba2da4-c3c9-459d-8d83-78a67c4f45fd</w:t>
              </w:r>
            </w:hyperlink>
          </w:p>
        </w:tc>
      </w:tr>
      <w:tr>
        <w:tc>
          <w:tcPr>
            <w:tcW w:type="dxa" w:w="1800"/>
            <w:tcBorders>
              <w:top w:val="none" w:color="FFFFFF" w:sz="0"/>
              <w:left w:val="none" w:color="FFFFFF" w:sz="0"/>
              <w:bottom w:val="none" w:color="FFFFFF" w:sz="0"/>
              <w:right w:val="none" w:color="FFFFFF" w:sz="0"/>
            </w:tcBorders>
            <w:tcMar>
              <w:top w:type="dxa" w:w="40"/>
              <w:bottom w:type="dxa" w:w="40"/>
              <w:right w:type="dxa" w:w="120"/>
            </w:tcMar>
          </w:tcPr>
          <w:p>
            <w:r>
              <w:rPr>
                <w:rFonts w:ascii="Arial" w:cs="Arial" w:eastAsia="Arial" w:hAnsi="Arial"/>
                <w:b/>
                <w:bCs/>
                <w:color w:val="1A2B4A"/>
                <w:sz w:val="19"/>
                <w:szCs w:val="19"/>
              </w:rPr>
              <w:t xml:space="preserve">Threat Hunting</w:t>
            </w:r>
          </w:p>
        </w:tc>
        <w:tc>
          <w:tcPr>
            <w:tcW w:type="dxa" w:w="7560"/>
            <w:tcBorders>
              <w:top w:val="none" w:color="FFFFFF" w:sz="0"/>
              <w:left w:val="none" w:color="FFFFFF" w:sz="0"/>
              <w:bottom w:val="none" w:color="FFFFFF" w:sz="0"/>
              <w:right w:val="none" w:color="FFFFFF" w:sz="0"/>
            </w:tcBorders>
            <w:tcMar>
              <w:top w:type="dxa" w:w="40"/>
              <w:bottom w:type="dxa" w:w="40"/>
            </w:tcMar>
          </w:tcPr>
          <w:p>
            <w:hyperlink w:history="1" r:id="rIdklxcicglvjk7if0o_xglo">
              <w:r>
                <w:rPr>
                  <w:rFonts w:ascii="Arial" w:cs="Arial" w:eastAsia="Arial" w:hAnsi="Arial"/>
                  <w:color w:val="0D7377"/>
                  <w:sz w:val="19"/>
                  <w:szCs w:val="19"/>
                </w:rPr>
                <w:t xml:space="preserve">threathuntinglabs.com/u/hackth3br0nx</w:t>
              </w:r>
            </w:hyperlink>
          </w:p>
        </w:tc>
      </w:tr>
    </w:tbl>
    <w:sectPr>
      <w:pgSz w:w="12240" w:h="15840" w:orient="portrait"/>
      <w:pgMar w:top="864" w:right="1008" w:bottom="864"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80"/>
      </w:pPr>
      <w:rPr>
        <w:rFonts w:ascii="Arial" w:cs="Arial" w:eastAsia="Arial" w:hAnsi="Arial"/>
        <w:color w:val="0D7377"/>
        <w:sz w:val="18"/>
        <w:szCs w:val="1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yaxycnqojextuudvm7wip" Type="http://schemas.openxmlformats.org/officeDocument/2006/relationships/hyperlink" Target="https://linkedin.com/in/mralejandrogarcia85" TargetMode="External"/><Relationship Id="rIdwwb9wotifnmsclu3s7rvz" Type="http://schemas.openxmlformats.org/officeDocument/2006/relationships/hyperlink" Target="https://hackth3br0nx.github.io" TargetMode="External"/><Relationship Id="rIdizkuzvbfyzigwwkwx3677" Type="http://schemas.openxmlformats.org/officeDocument/2006/relationships/hyperlink" Target="https://github.com/Hackth3br0nx" TargetMode="External"/><Relationship Id="rIdjdgk5cgr6p6zwvgtncin8" Type="http://schemas.openxmlformats.org/officeDocument/2006/relationships/hyperlink" Target="https://hackth3br0nx.github.io" TargetMode="External"/><Relationship Id="rIdamkoz6x26ymhkvyog0fpq" Type="http://schemas.openxmlformats.org/officeDocument/2006/relationships/hyperlink" Target="https://github.com/Hackth3br0nx" TargetMode="External"/><Relationship Id="rIdeyuxncl7qh6cbmq5kutbl" Type="http://schemas.openxmlformats.org/officeDocument/2006/relationships/hyperlink" Target="https://tryhackme.com/p/Hackth3br0nx" TargetMode="External"/><Relationship Id="rIdatqtxgugvojlx02ahumcv" Type="http://schemas.openxmlformats.org/officeDocument/2006/relationships/hyperlink" Target="https://codefinity.com/cv/35ba2da4-c3c9-459d-8d83-78a67c4f45fd" TargetMode="External"/><Relationship Id="rIdklxcicglvjk7if0o_xglo" Type="http://schemas.openxmlformats.org/officeDocument/2006/relationships/hyperlink" Target="https://www.threathuntinglabs.com/u/hackth3br0nx" TargetMode="External"/><Relationship Id="rId14"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2026-03-20T00:21:15.747Z</dcterms:created>
  <dcterms:modified xsi:type="dcterms:W3CDTF">2026-03-20T00:21:15.748Z</dcterms:modified>
</cp:coreProperties>
</file>

<file path=docProps/custom.xml><?xml version="1.0" encoding="utf-8"?>
<Properties xmlns="http://schemas.openxmlformats.org/officeDocument/2006/custom-properties" xmlns:vt="http://schemas.openxmlformats.org/officeDocument/2006/docPropsVTypes"/>
</file>