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b/>
          <w:color w:val="1F1F1F"/>
        </w:rPr>
        <w:t>Guía Detallada de SECOP II</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El SECOP II es una plataforma transaccional, lo que significa que todo el proceso de contratación (envío de ofertas, preguntas, adjudicación y firma del contrato) se hace </w:t>
      </w:r>
      <w:r>
        <w:rPr>
          <w:rFonts w:ascii="Google Sans Text;sans-serif" w:hAnsi="Google Sans Text;sans-serif"/>
          <w:b/>
          <w:color w:val="1F1F1F"/>
        </w:rPr>
        <w:t>en línea</w:t>
      </w:r>
      <w:r>
        <w:rPr>
          <w:rFonts w:ascii="Google Sans Text;sans-serif" w:hAnsi="Google Sans Text;sans-serif"/>
          <w:color w:val="1F1F1F"/>
        </w:rPr>
        <w:t>, sin necesidad de radicar papeles físicos.</w:t>
      </w:r>
    </w:p>
    <w:p>
      <w:pPr>
        <w:pStyle w:val="HorizontalLine"/>
        <w:bidi w:val="0"/>
        <w:spacing w:lineRule="auto" w:line="276" w:before="0" w:after="140"/>
        <w:jc w:val="start"/>
        <w:rPr/>
      </w:pPr>
      <w:r>
        <w:rPr/>
      </w:r>
    </w:p>
    <w:p>
      <w:pPr>
        <w:pStyle w:val="Heading4"/>
        <w:keepNext w:val="false"/>
        <w:pageBreakBefore w:val="false"/>
        <w:widowControl/>
        <w:pBdr/>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Paso 1: Registro en la Plataforma</w:t>
      </w:r>
    </w:p>
    <w:p>
      <w:pPr>
        <w:pStyle w:val="BodyText"/>
        <w:keepNext w:val="false"/>
        <w:pageBreakBefore w:val="false"/>
        <w:widowControl/>
        <w:pBdr/>
        <w:bidi w:val="0"/>
        <w:spacing w:lineRule="auto" w:line="274" w:before="0" w:after="120"/>
        <w:ind w:hanging="0" w:start="0" w:end="0"/>
        <w:jc w:val="start"/>
        <w:rPr>
          <w:rFonts w:ascii="Google Sans Text;sans-serif" w:hAnsi="Google Sans Text;sans-serif"/>
          <w:color w:val="1F1F1F"/>
        </w:rPr>
      </w:pPr>
      <w:r>
        <w:rPr>
          <w:rFonts w:ascii="Google Sans Text;sans-serif" w:hAnsi="Google Sans Text;sans-serif"/>
          <w:color w:val="1F1F1F"/>
        </w:rPr>
        <w:t>Antes de poder ofertar, debes tener una cuenta activa. El registro se divide en dos partes: registrarse como usuario y luego crear el perfil del proveedor.</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pPr>
      <w:r>
        <w:rPr>
          <w:rFonts w:ascii="Google Sans Text;sans-serif" w:hAnsi="Google Sans Text;sans-serif"/>
          <w:b/>
          <w:color w:val="1F1F1F"/>
        </w:rPr>
        <w:t>Ingreso:</w:t>
      </w:r>
      <w:r>
        <w:rPr>
          <w:rFonts w:ascii="Google Sans Text;sans-serif" w:hAnsi="Google Sans Text;sans-serif"/>
          <w:color w:val="1F1F1F"/>
        </w:rPr>
        <w:t xml:space="preserve"> Ve al sitio oficial </w:t>
      </w:r>
      <w:r>
        <w:rPr>
          <w:rStyle w:val="SourceText"/>
          <w:rFonts w:ascii="Google Sans Text;sans-serif" w:hAnsi="Google Sans Text;sans-serif"/>
          <w:color w:val="444746"/>
        </w:rPr>
        <w:t>community.secop.gov.co</w:t>
      </w:r>
      <w:r>
        <w:rPr>
          <w:rFonts w:ascii="Google Sans Text;sans-serif" w:hAnsi="Google Sans Text;sans-serif"/>
          <w:color w:val="1F1F1F"/>
        </w:rPr>
        <w:t>.</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rFonts w:ascii="Google Sans Text;sans-serif" w:hAnsi="Google Sans Text;sans-serif"/>
          <w:b/>
          <w:color w:val="1F1F1F"/>
        </w:rPr>
      </w:pPr>
      <w:r>
        <w:rPr>
          <w:rFonts w:ascii="Google Sans Text;sans-serif" w:hAnsi="Google Sans Text;sans-serif"/>
          <w:b/>
          <w:color w:val="1F1F1F"/>
        </w:rPr>
        <w:t>Registro de Usuario:</w:t>
      </w:r>
    </w:p>
    <w:p>
      <w:pPr>
        <w:pStyle w:val="BodyText"/>
        <w:keepNext w:val="false"/>
        <w:pageBreakBefore w:val="false"/>
        <w:widowControl/>
        <w:numPr>
          <w:ilvl w:val="1"/>
          <w:numId w:val="2"/>
        </w:numPr>
        <w:pBdr/>
        <w:tabs>
          <w:tab w:val="clear" w:pos="709"/>
          <w:tab w:val="left" w:pos="0" w:leader="none"/>
        </w:tabs>
        <w:bidi w:val="0"/>
        <w:spacing w:lineRule="auto" w:line="274" w:before="0" w:after="120"/>
        <w:ind w:hanging="283" w:start="0" w:end="0"/>
        <w:jc w:val="start"/>
        <w:rPr>
          <w:rFonts w:ascii="Google Sans Text;sans-serif" w:hAnsi="Google Sans Text;sans-serif"/>
          <w:color w:val="1F1F1F"/>
        </w:rPr>
      </w:pPr>
      <w:r>
        <w:rPr>
          <w:rFonts w:ascii="Google Sans Text;sans-serif" w:hAnsi="Google Sans Text;sans-serif"/>
          <w:color w:val="1F1F1F"/>
        </w:rPr>
        <w:t>Haz clic en la opción de registrarse. Deberás completar tus datos básicos (nombre, correo, contraseña).</w:t>
      </w:r>
    </w:p>
    <w:p>
      <w:pPr>
        <w:pStyle w:val="BodyText"/>
        <w:keepNext w:val="false"/>
        <w:pageBreakBefore w:val="false"/>
        <w:widowControl/>
        <w:numPr>
          <w:ilvl w:val="1"/>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Importante:</w:t>
      </w:r>
      <w:r>
        <w:rPr>
          <w:rFonts w:ascii="Google Sans Text;sans-serif" w:hAnsi="Google Sans Text;sans-serif"/>
          <w:color w:val="1F1F1F"/>
        </w:rPr>
        <w:t xml:space="preserve"> Usa un correo electrónico que revises frecuentemente, ya que allí llegarán todas las notificaciones de los procesos.</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rFonts w:ascii="Google Sans Text;sans-serif" w:hAnsi="Google Sans Text;sans-serif"/>
          <w:b/>
          <w:color w:val="1F1F1F"/>
        </w:rPr>
      </w:pPr>
      <w:r>
        <w:rPr>
          <w:rFonts w:ascii="Google Sans Text;sans-serif" w:hAnsi="Google Sans Text;sans-serif"/>
          <w:b/>
          <w:color w:val="1F1F1F"/>
        </w:rPr>
        <w:t>Creación del Proveedor:</w:t>
      </w:r>
    </w:p>
    <w:p>
      <w:pPr>
        <w:pStyle w:val="BodyText"/>
        <w:keepNext w:val="false"/>
        <w:pageBreakBefore w:val="false"/>
        <w:widowControl/>
        <w:numPr>
          <w:ilvl w:val="1"/>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 xml:space="preserve">Una vez con tu usuario, al ingresar te pedirá crear una "Entidad" o "Proveedor". Selecciona </w:t>
      </w:r>
      <w:r>
        <w:rPr>
          <w:rFonts w:ascii="Google Sans Text;sans-serif" w:hAnsi="Google Sans Text;sans-serif"/>
          <w:b/>
          <w:color w:val="1F1F1F"/>
        </w:rPr>
        <w:t>Proveedor</w:t>
      </w:r>
      <w:r>
        <w:rPr>
          <w:rFonts w:ascii="Google Sans Text;sans-serif" w:hAnsi="Google Sans Text;sans-serif"/>
          <w:color w:val="1F1F1F"/>
        </w:rPr>
        <w:t>.</w:t>
      </w:r>
    </w:p>
    <w:p>
      <w:pPr>
        <w:pStyle w:val="BodyText"/>
        <w:keepNext w:val="false"/>
        <w:pageBreakBefore w:val="false"/>
        <w:widowControl/>
        <w:numPr>
          <w:ilvl w:val="1"/>
          <w:numId w:val="2"/>
        </w:numPr>
        <w:pBdr/>
        <w:tabs>
          <w:tab w:val="clear" w:pos="709"/>
          <w:tab w:val="left" w:pos="0" w:leader="none"/>
        </w:tabs>
        <w:bidi w:val="0"/>
        <w:spacing w:lineRule="auto" w:line="274" w:before="0" w:after="120"/>
        <w:ind w:hanging="283" w:start="0" w:end="0"/>
        <w:jc w:val="start"/>
        <w:rPr>
          <w:rFonts w:ascii="Google Sans Text;sans-serif" w:hAnsi="Google Sans Text;sans-serif"/>
          <w:color w:val="1F1F1F"/>
        </w:rPr>
      </w:pPr>
      <w:r>
        <w:rPr>
          <w:rFonts w:ascii="Google Sans Text;sans-serif" w:hAnsi="Google Sans Text;sans-serif"/>
          <w:color w:val="1F1F1F"/>
        </w:rPr>
        <w:t>Define el tipo de proveedor:</w:t>
      </w:r>
    </w:p>
    <w:p>
      <w:pPr>
        <w:pStyle w:val="BodyText"/>
        <w:keepNext w:val="false"/>
        <w:pageBreakBefore w:val="false"/>
        <w:widowControl/>
        <w:numPr>
          <w:ilvl w:val="2"/>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Persona Natural:</w:t>
      </w:r>
      <w:r>
        <w:rPr>
          <w:rFonts w:ascii="Google Sans Text;sans-serif" w:hAnsi="Google Sans Text;sans-serif"/>
          <w:color w:val="1F1F1F"/>
        </w:rPr>
        <w:t xml:space="preserve"> Si eres un individuo ofreciendo servicios.</w:t>
      </w:r>
    </w:p>
    <w:p>
      <w:pPr>
        <w:pStyle w:val="BodyText"/>
        <w:keepNext w:val="false"/>
        <w:pageBreakBefore w:val="false"/>
        <w:widowControl/>
        <w:numPr>
          <w:ilvl w:val="2"/>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Persona Jurídica:</w:t>
      </w:r>
      <w:r>
        <w:rPr>
          <w:rFonts w:ascii="Google Sans Text;sans-serif" w:hAnsi="Google Sans Text;sans-serif"/>
          <w:color w:val="1F1F1F"/>
        </w:rPr>
        <w:t xml:space="preserve"> Si representas a una empresa.</w:t>
      </w:r>
    </w:p>
    <w:p>
      <w:pPr>
        <w:pStyle w:val="BodyText"/>
        <w:keepNext w:val="false"/>
        <w:pageBreakBefore w:val="false"/>
        <w:widowControl/>
        <w:numPr>
          <w:ilvl w:val="1"/>
          <w:numId w:val="2"/>
        </w:numPr>
        <w:pBdr/>
        <w:tabs>
          <w:tab w:val="clear" w:pos="709"/>
          <w:tab w:val="left" w:pos="0" w:leader="none"/>
        </w:tabs>
        <w:bidi w:val="0"/>
        <w:spacing w:lineRule="auto" w:line="274" w:before="0" w:after="120"/>
        <w:ind w:hanging="283" w:start="0" w:end="0"/>
        <w:jc w:val="start"/>
        <w:rPr>
          <w:rFonts w:ascii="Google Sans Text;sans-serif" w:hAnsi="Google Sans Text;sans-serif"/>
          <w:color w:val="1F1F1F"/>
        </w:rPr>
      </w:pPr>
      <w:r>
        <w:rPr>
          <w:rFonts w:ascii="Google Sans Text;sans-serif" w:hAnsi="Google Sans Text;sans-serif"/>
          <w:color w:val="1F1F1F"/>
        </w:rPr>
        <w:t>Diligencia la información tributaria y legal.</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Documentos Obligatorios:</w:t>
      </w:r>
      <w:r>
        <w:rPr>
          <w:rFonts w:ascii="Google Sans Text;sans-serif" w:hAnsi="Google Sans Text;sans-serif"/>
          <w:color w:val="1F1F1F"/>
        </w:rPr>
        <w:t xml:space="preserve"> Deberás cargar documentos como el RUT, la cédula de ciudadanía y, en algunos casos, el formato de experiencia de proveedor y la constancia de no estar obligado a llevar contabilidad (si aplica).</w:t>
      </w:r>
    </w:p>
    <w:p>
      <w:pPr>
        <w:pStyle w:val="Heading4"/>
        <w:keepNext w:val="false"/>
        <w:pageBreakBefore w:val="false"/>
        <w:widowControl/>
        <w:pBdr/>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Paso 2: Configuración de la Cuenta</w:t>
      </w:r>
    </w:p>
    <w:p>
      <w:pPr>
        <w:pStyle w:val="BodyText"/>
        <w:keepNext w:val="false"/>
        <w:pageBreakBefore w:val="false"/>
        <w:widowControl/>
        <w:pBdr/>
        <w:bidi w:val="0"/>
        <w:spacing w:lineRule="auto" w:line="274" w:before="0" w:after="120"/>
        <w:ind w:hanging="0" w:start="0" w:end="0"/>
        <w:jc w:val="start"/>
        <w:rPr>
          <w:rFonts w:ascii="Google Sans Text;sans-serif" w:hAnsi="Google Sans Text;sans-serif"/>
          <w:color w:val="1F1F1F"/>
        </w:rPr>
      </w:pPr>
      <w:r>
        <w:rPr>
          <w:rFonts w:ascii="Google Sans Text;sans-serif" w:hAnsi="Google Sans Text;sans-serif"/>
          <w:color w:val="1F1F1F"/>
        </w:rPr>
        <w:t>Para que la plataforma te avise de oportunidades relevantes, debes configurar tu perfil:</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Códigos UNSPSC:</w:t>
      </w:r>
      <w:r>
        <w:rPr>
          <w:rFonts w:ascii="Google Sans Text;sans-serif" w:hAnsi="Google Sans Text;sans-serif"/>
          <w:color w:val="1F1F1F"/>
        </w:rPr>
        <w:t xml:space="preserve"> Son clasificadores de bienes y servicios. Debes buscar y agregar los códigos que correspondan a lo que vendes (ej. "Servicios de mantenimiento", "Insumos de papelería"). SECOP II te notificará cuando una entidad publique un contrato con esos códigos.</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Áreas de Interés:</w:t>
      </w:r>
      <w:r>
        <w:rPr>
          <w:rFonts w:ascii="Google Sans Text;sans-serif" w:hAnsi="Google Sans Text;sans-serif"/>
          <w:color w:val="1F1F1F"/>
        </w:rPr>
        <w:t xml:space="preserve"> Define en qué regiones geográficas te interesa trabajar.</w:t>
      </w:r>
    </w:p>
    <w:p>
      <w:pPr>
        <w:pStyle w:val="Heading4"/>
        <w:keepNext w:val="false"/>
        <w:pageBreakBefore w:val="false"/>
        <w:widowControl/>
        <w:pBdr/>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Paso 3: Búsqueda de Procesos</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Puedes buscar oportunidades de dos formas: a través de las notificaciones automáticas o mediante la </w:t>
      </w:r>
      <w:r>
        <w:rPr>
          <w:rFonts w:ascii="Google Sans Text;sans-serif" w:hAnsi="Google Sans Text;sans-serif"/>
          <w:b/>
          <w:color w:val="1F1F1F"/>
        </w:rPr>
        <w:t>Búsqueda Pública</w:t>
      </w:r>
      <w:r>
        <w:rPr>
          <w:rFonts w:ascii="Google Sans Text;sans-serif" w:hAnsi="Google Sans Text;sans-serif"/>
          <w:color w:val="1F1F1F"/>
        </w:rPr>
        <w:t>.</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 xml:space="preserve">Ve al menú </w:t>
      </w:r>
      <w:r>
        <w:rPr>
          <w:rFonts w:ascii="Google Sans Text;sans-serif" w:hAnsi="Google Sans Text;sans-serif"/>
          <w:b/>
          <w:color w:val="1F1F1F"/>
        </w:rPr>
        <w:t>"Búsqueda"</w:t>
      </w:r>
      <w:r>
        <w:rPr>
          <w:rFonts w:ascii="Google Sans Text;sans-serif" w:hAnsi="Google Sans Text;sans-serif"/>
          <w:color w:val="1F1F1F"/>
        </w:rPr>
        <w:t xml:space="preserve"> &gt; </w:t>
      </w:r>
      <w:r>
        <w:rPr>
          <w:rFonts w:ascii="Google Sans Text;sans-serif" w:hAnsi="Google Sans Text;sans-serif"/>
          <w:b/>
          <w:color w:val="1F1F1F"/>
        </w:rPr>
        <w:t>"Búsqueda de Procesos"</w:t>
      </w:r>
      <w:r>
        <w:rPr>
          <w:rFonts w:ascii="Google Sans Text;sans-serif" w:hAnsi="Google Sans Text;sans-serif"/>
          <w:color w:val="1F1F1F"/>
        </w:rPr>
        <w:t>.</w:t>
      </w:r>
    </w:p>
    <w:p>
      <w:pPr>
        <w:pStyle w:val="BodyText"/>
        <w:keepNext w:val="false"/>
        <w:pageBreakBefore w:val="false"/>
        <w:widowControl/>
        <w:numPr>
          <w:ilvl w:val="0"/>
          <w:numId w:val="4"/>
        </w:numPr>
        <w:pBdr/>
        <w:tabs>
          <w:tab w:val="clear" w:pos="709"/>
          <w:tab w:val="left" w:pos="0" w:leader="none"/>
        </w:tabs>
        <w:bidi w:val="0"/>
        <w:spacing w:lineRule="auto" w:line="274" w:before="0" w:after="120"/>
        <w:ind w:hanging="283" w:start="0" w:end="0"/>
        <w:jc w:val="start"/>
        <w:rPr>
          <w:rFonts w:ascii="Google Sans Text;sans-serif" w:hAnsi="Google Sans Text;sans-serif"/>
          <w:color w:val="1F1F1F"/>
        </w:rPr>
      </w:pPr>
      <w:r>
        <w:rPr>
          <w:rFonts w:ascii="Google Sans Text;sans-serif" w:hAnsi="Google Sans Text;sans-serif"/>
          <w:color w:val="1F1F1F"/>
        </w:rPr>
        <w:t>Usa los filtros avanzados:</w:t>
      </w:r>
    </w:p>
    <w:p>
      <w:pPr>
        <w:pStyle w:val="BodyText"/>
        <w:keepNext w:val="false"/>
        <w:pageBreakBefore w:val="false"/>
        <w:widowControl/>
        <w:numPr>
          <w:ilvl w:val="1"/>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Entidad Estatal:</w:t>
      </w:r>
      <w:r>
        <w:rPr>
          <w:rFonts w:ascii="Google Sans Text;sans-serif" w:hAnsi="Google Sans Text;sans-serif"/>
          <w:color w:val="1F1F1F"/>
        </w:rPr>
        <w:t xml:space="preserve"> Escribe el nombre de la alcaldía, gobernación o ministerio.</w:t>
      </w:r>
    </w:p>
    <w:p>
      <w:pPr>
        <w:pStyle w:val="BodyText"/>
        <w:keepNext w:val="false"/>
        <w:pageBreakBefore w:val="false"/>
        <w:widowControl/>
        <w:numPr>
          <w:ilvl w:val="1"/>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Descripción:</w:t>
      </w:r>
      <w:r>
        <w:rPr>
          <w:rFonts w:ascii="Google Sans Text;sans-serif" w:hAnsi="Google Sans Text;sans-serif"/>
          <w:color w:val="1F1F1F"/>
        </w:rPr>
        <w:t xml:space="preserve"> Palabras clave de lo que buscas (ej. "transporte", "obra").</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 xml:space="preserve">Cuando encuentres un proceso de interés, haz clic en </w:t>
      </w:r>
      <w:r>
        <w:rPr>
          <w:rFonts w:ascii="Google Sans Text;sans-serif" w:hAnsi="Google Sans Text;sans-serif"/>
          <w:b/>
          <w:color w:val="1F1F1F"/>
        </w:rPr>
        <w:t>"Detalle"</w:t>
      </w:r>
      <w:r>
        <w:rPr>
          <w:rFonts w:ascii="Google Sans Text;sans-serif" w:hAnsi="Google Sans Text;sans-serif"/>
          <w:color w:val="1F1F1F"/>
        </w:rPr>
        <w:t>.</w:t>
      </w:r>
    </w:p>
    <w:p>
      <w:pPr>
        <w:pStyle w:val="Heading4"/>
        <w:keepNext w:val="false"/>
        <w:pageBreakBefore w:val="false"/>
        <w:widowControl/>
        <w:pBdr/>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Paso 4: Participación y Presentación de Ofertas</w:t>
      </w:r>
    </w:p>
    <w:p>
      <w:pPr>
        <w:pStyle w:val="BodyText"/>
        <w:keepNext w:val="false"/>
        <w:pageBreakBefore w:val="false"/>
        <w:widowControl/>
        <w:pBdr/>
        <w:bidi w:val="0"/>
        <w:spacing w:lineRule="auto" w:line="274" w:before="0" w:after="120"/>
        <w:ind w:hanging="0" w:start="0" w:end="0"/>
        <w:jc w:val="start"/>
        <w:rPr>
          <w:rFonts w:ascii="Google Sans Text;sans-serif" w:hAnsi="Google Sans Text;sans-serif"/>
          <w:color w:val="1F1F1F"/>
        </w:rPr>
      </w:pPr>
      <w:r>
        <w:rPr>
          <w:rFonts w:ascii="Google Sans Text;sans-serif" w:hAnsi="Google Sans Text;sans-serif"/>
          <w:color w:val="1F1F1F"/>
        </w:rPr>
        <w:t>Este es el paso crítico para ganar contratos.</w:t>
      </w:r>
    </w:p>
    <w:p>
      <w:pPr>
        <w:pStyle w:val="BodyText"/>
        <w:keepNext w:val="false"/>
        <w:pageBreakBefore w:val="false"/>
        <w:widowControl/>
        <w:numPr>
          <w:ilvl w:val="0"/>
          <w:numId w:val="5"/>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Expresar Interés:</w:t>
      </w:r>
      <w:r>
        <w:rPr>
          <w:rFonts w:ascii="Google Sans Text;sans-serif" w:hAnsi="Google Sans Text;sans-serif"/>
          <w:color w:val="1F1F1F"/>
        </w:rPr>
        <w:t xml:space="preserve"> En el detalle del proceso, debes hacer clic en el botón </w:t>
      </w:r>
      <w:r>
        <w:rPr>
          <w:rFonts w:ascii="Google Sans Text;sans-serif" w:hAnsi="Google Sans Text;sans-serif"/>
          <w:b/>
          <w:color w:val="1F1F1F"/>
        </w:rPr>
        <w:t>"Expresar Interés"</w:t>
      </w:r>
      <w:r>
        <w:rPr>
          <w:rFonts w:ascii="Google Sans Text;sans-serif" w:hAnsi="Google Sans Text;sans-serif"/>
          <w:color w:val="1F1F1F"/>
        </w:rPr>
        <w:t>. Esto te habilita para ver los pliegos completos y enviar observaciones o propuestas.</w:t>
      </w:r>
    </w:p>
    <w:p>
      <w:pPr>
        <w:pStyle w:val="BodyText"/>
        <w:keepNext w:val="false"/>
        <w:pageBreakBefore w:val="false"/>
        <w:widowControl/>
        <w:numPr>
          <w:ilvl w:val="0"/>
          <w:numId w:val="5"/>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Preparar la Oferta:</w:t>
      </w:r>
      <w:r>
        <w:rPr>
          <w:rFonts w:ascii="Google Sans Text;sans-serif" w:hAnsi="Google Sans Text;sans-serif"/>
          <w:color w:val="1F1F1F"/>
        </w:rPr>
        <w:t xml:space="preserve"> Se habilitará una sección para crear tu oferta. Generalmente consta de:</w:t>
      </w:r>
    </w:p>
    <w:p>
      <w:pPr>
        <w:pStyle w:val="BodyText"/>
        <w:keepNext w:val="false"/>
        <w:pageBreakBefore w:val="false"/>
        <w:widowControl/>
        <w:numPr>
          <w:ilvl w:val="1"/>
          <w:numId w:val="5"/>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Cuestionario:</w:t>
      </w:r>
      <w:r>
        <w:rPr>
          <w:rFonts w:ascii="Google Sans Text;sans-serif" w:hAnsi="Google Sans Text;sans-serif"/>
          <w:color w:val="1F1F1F"/>
        </w:rPr>
        <w:t xml:space="preserve"> Preguntas de la entidad donde cargas los documentos habilitantes (cédula, certificados, pólizas).</w:t>
      </w:r>
    </w:p>
    <w:p>
      <w:pPr>
        <w:pStyle w:val="BodyText"/>
        <w:keepNext w:val="false"/>
        <w:pageBreakBefore w:val="false"/>
        <w:widowControl/>
        <w:numPr>
          <w:ilvl w:val="1"/>
          <w:numId w:val="5"/>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Oferta Económica:</w:t>
      </w:r>
      <w:r>
        <w:rPr>
          <w:rFonts w:ascii="Google Sans Text;sans-serif" w:hAnsi="Google Sans Text;sans-serif"/>
          <w:color w:val="1F1F1F"/>
        </w:rPr>
        <w:t xml:space="preserve"> Digitas los precios unitarios de tus productos/servicios directamente en la plataforma.</w:t>
      </w:r>
    </w:p>
    <w:p>
      <w:pPr>
        <w:pStyle w:val="BodyText"/>
        <w:keepNext w:val="false"/>
        <w:pageBreakBefore w:val="false"/>
        <w:widowControl/>
        <w:numPr>
          <w:ilvl w:val="0"/>
          <w:numId w:val="5"/>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Envío:</w:t>
      </w:r>
      <w:r>
        <w:rPr>
          <w:rFonts w:ascii="Google Sans Text;sans-serif" w:hAnsi="Google Sans Text;sans-serif"/>
          <w:color w:val="1F1F1F"/>
        </w:rPr>
        <w:t xml:space="preserve"> Una vez cargados todos los anexos y precios, debes hacer clic en </w:t>
      </w:r>
      <w:r>
        <w:rPr>
          <w:rFonts w:ascii="Google Sans Text;sans-serif" w:hAnsi="Google Sans Text;sans-serif"/>
          <w:b/>
          <w:color w:val="1F1F1F"/>
        </w:rPr>
        <w:t>"Enviar"</w:t>
      </w:r>
      <w:r>
        <w:rPr>
          <w:rFonts w:ascii="Google Sans Text;sans-serif" w:hAnsi="Google Sans Text;sans-serif"/>
          <w:color w:val="1F1F1F"/>
        </w:rPr>
        <w:t>. La plataforma te generará un comprobante de envío con fecha y hora exacta.</w:t>
      </w:r>
    </w:p>
    <w:p>
      <w:pPr>
        <w:pStyle w:val="Heading4"/>
        <w:keepNext w:val="false"/>
        <w:pageBreakBefore w:val="false"/>
        <w:widowControl/>
        <w:pBdr/>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Paso 5: Gestión Contractual</w:t>
      </w:r>
    </w:p>
    <w:p>
      <w:pPr>
        <w:pStyle w:val="BodyText"/>
        <w:keepNext w:val="false"/>
        <w:pageBreakBefore w:val="false"/>
        <w:widowControl/>
        <w:pBdr/>
        <w:bidi w:val="0"/>
        <w:spacing w:lineRule="auto" w:line="274" w:before="0" w:after="120"/>
        <w:ind w:hanging="0" w:start="0" w:end="0"/>
        <w:jc w:val="start"/>
        <w:rPr>
          <w:rFonts w:ascii="Google Sans Text;sans-serif" w:hAnsi="Google Sans Text;sans-serif"/>
          <w:color w:val="1F1F1F"/>
        </w:rPr>
      </w:pPr>
      <w:r>
        <w:rPr>
          <w:rFonts w:ascii="Google Sans Text;sans-serif" w:hAnsi="Google Sans Text;sans-serif"/>
          <w:color w:val="1F1F1F"/>
        </w:rPr>
        <w:t>Si ganas el proceso:</w:t>
      </w:r>
    </w:p>
    <w:p>
      <w:pPr>
        <w:pStyle w:val="BodyText"/>
        <w:keepNext w:val="false"/>
        <w:pageBreakBefore w:val="false"/>
        <w:widowControl/>
        <w:numPr>
          <w:ilvl w:val="0"/>
          <w:numId w:val="6"/>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 xml:space="preserve">El contrato se te enviará electrónicamente. Debes revisarlo y </w:t>
      </w:r>
      <w:r>
        <w:rPr>
          <w:rFonts w:ascii="Google Sans Text;sans-serif" w:hAnsi="Google Sans Text;sans-serif"/>
          <w:b/>
          <w:color w:val="1F1F1F"/>
        </w:rPr>
        <w:t>aprobarlo</w:t>
      </w:r>
      <w:r>
        <w:rPr>
          <w:rFonts w:ascii="Google Sans Text;sans-serif" w:hAnsi="Google Sans Text;sans-serif"/>
          <w:color w:val="1F1F1F"/>
        </w:rPr>
        <w:t xml:space="preserve"> dentro de la plataforma; esto equivale a la firma digital.</w:t>
      </w:r>
    </w:p>
    <w:p>
      <w:pPr>
        <w:pStyle w:val="BodyText"/>
        <w:keepNext w:val="false"/>
        <w:pageBreakBefore w:val="false"/>
        <w:widowControl/>
        <w:numPr>
          <w:ilvl w:val="0"/>
          <w:numId w:val="6"/>
        </w:numPr>
        <w:pBdr/>
        <w:tabs>
          <w:tab w:val="clear" w:pos="709"/>
          <w:tab w:val="left" w:pos="0" w:leader="none"/>
        </w:tabs>
        <w:bidi w:val="0"/>
        <w:spacing w:lineRule="auto" w:line="274" w:before="0" w:after="120"/>
        <w:ind w:hanging="283" w:start="0" w:end="0"/>
        <w:jc w:val="start"/>
        <w:rPr>
          <w:rFonts w:ascii="Google Sans Text;sans-serif" w:hAnsi="Google Sans Text;sans-serif"/>
          <w:color w:val="1F1F1F"/>
        </w:rPr>
      </w:pPr>
      <w:r>
        <w:rPr>
          <w:rFonts w:ascii="Google Sans Text;sans-serif" w:hAnsi="Google Sans Text;sans-serif"/>
          <w:color w:val="1F1F1F"/>
        </w:rPr>
        <w:t>Durante la ejecución, deberás cargar tus informes de actividades y facturas directamente en el expediente electrónico del contrato en SECOP II.</w:t>
      </w:r>
    </w:p>
    <w:p>
      <w:pPr>
        <w:pStyle w:val="HorizontalLine"/>
        <w:bidi w:val="0"/>
        <w:spacing w:lineRule="auto" w:line="276" w:before="0" w:after="140"/>
        <w:jc w:val="start"/>
        <w:rPr/>
      </w:pPr>
      <w:r>
        <w:rPr/>
      </w:r>
    </w:p>
    <w:p>
      <w:pPr>
        <w:pStyle w:val="Heading2"/>
        <w:pBdr/>
        <w:bidi w:val="0"/>
        <w:spacing w:lineRule="auto" w:line="274" w:before="0" w:after="140"/>
        <w:ind w:hanging="0" w:start="0" w:end="0"/>
        <w:jc w:val="start"/>
        <w:rPr>
          <w:rFonts w:ascii="Poppins;sans-serif" w:hAnsi="Poppins;sans-serif"/>
          <w:b/>
          <w:i w:val="false"/>
          <w:caps w:val="false"/>
          <w:smallCaps w:val="false"/>
          <w:color w:val="181818"/>
          <w:spacing w:val="0"/>
          <w:sz w:val="48"/>
        </w:rPr>
      </w:pPr>
      <w:bookmarkStart w:id="0" w:name="secop_ii_manuales_y_guias_para_entidades"/>
      <w:bookmarkEnd w:id="0"/>
      <w:r>
        <w:rPr>
          <w:rFonts w:ascii="Poppins;sans-serif" w:hAnsi="Poppins;sans-serif"/>
          <w:b/>
          <w:i w:val="false"/>
          <w:caps w:val="false"/>
          <w:smallCaps w:val="false"/>
          <w:color w:val="181818"/>
          <w:spacing w:val="0"/>
          <w:sz w:val="48"/>
        </w:rPr>
        <w:t>SECOP II: Manuales y guías para Entidades Estatales</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Si estás en búsqueda de algún </w:t>
      </w:r>
      <w:r>
        <w:rPr>
          <w:rFonts w:ascii="Poppins;sans-serif" w:hAnsi="Poppins;sans-serif"/>
          <w:b/>
          <w:i w:val="false"/>
          <w:caps w:val="false"/>
          <w:smallCaps w:val="false"/>
          <w:color w:val="181818"/>
          <w:spacing w:val="0"/>
          <w:sz w:val="27"/>
        </w:rPr>
        <w:t>manual de contratación estatal</w:t>
      </w:r>
      <w:r>
        <w:rPr>
          <w:rFonts w:ascii="Poppins;sans-serif" w:hAnsi="Poppins;sans-serif"/>
          <w:b w:val="false"/>
          <w:i w:val="false"/>
          <w:caps w:val="false"/>
          <w:smallCaps w:val="false"/>
          <w:color w:val="181818"/>
          <w:spacing w:val="0"/>
          <w:sz w:val="27"/>
        </w:rPr>
        <w:t>, puedes consultar aquí todas las guías necesarias que te enseñarán </w:t>
      </w:r>
      <w:r>
        <w:rPr>
          <w:rFonts w:ascii="Poppins;sans-serif" w:hAnsi="Poppins;sans-serif"/>
          <w:b/>
          <w:i w:val="false"/>
          <w:caps w:val="false"/>
          <w:smallCaps w:val="false"/>
          <w:color w:val="181818"/>
          <w:spacing w:val="0"/>
          <w:sz w:val="27"/>
        </w:rPr>
        <w:t>cómo montar un Proceso en SECOP II</w:t>
      </w:r>
      <w:r>
        <w:rPr>
          <w:rFonts w:ascii="Poppins;sans-serif" w:hAnsi="Poppins;sans-serif"/>
          <w:b w:val="false"/>
          <w:i w:val="false"/>
          <w:caps w:val="false"/>
          <w:smallCaps w:val="false"/>
          <w:color w:val="181818"/>
          <w:spacing w:val="0"/>
          <w:sz w:val="27"/>
        </w:rPr>
        <w:t>.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Todos estos procesos de contratación con entidades estatales que describiremos a continuación, contienen dos etapas en común: </w:t>
      </w:r>
    </w:p>
    <w:p>
      <w:pPr>
        <w:pStyle w:val="BodyText"/>
        <w:widowControl/>
        <w:numPr>
          <w:ilvl w:val="0"/>
          <w:numId w:val="7"/>
        </w:numPr>
        <w:pBdr/>
        <w:tabs>
          <w:tab w:val="clear" w:pos="709"/>
          <w:tab w:val="left" w:pos="0" w:leader="none"/>
        </w:tabs>
        <w:bidi w:val="0"/>
        <w:spacing w:lineRule="auto" w:line="384" w:before="0" w:after="0"/>
        <w:ind w:hanging="0" w:start="0" w:end="0"/>
        <w:jc w:val="start"/>
        <w:rPr>
          <w:rFonts w:ascii="Poppins;sans-serif" w:hAnsi="Poppins;sans-serif"/>
          <w:b/>
          <w:i w:val="false"/>
          <w:caps w:val="false"/>
          <w:smallCaps w:val="false"/>
          <w:color w:val="181818"/>
          <w:spacing w:val="0"/>
          <w:sz w:val="27"/>
        </w:rPr>
      </w:pPr>
      <w:r>
        <w:rPr>
          <w:rFonts w:ascii="Poppins;sans-serif" w:hAnsi="Poppins;sans-serif"/>
          <w:b/>
          <w:i w:val="false"/>
          <w:caps w:val="false"/>
          <w:smallCaps w:val="false"/>
          <w:color w:val="181818"/>
          <w:spacing w:val="0"/>
          <w:sz w:val="27"/>
        </w:rPr>
        <w:t>Etapa de planeación</w:t>
      </w:r>
    </w:p>
    <w:p>
      <w:pPr>
        <w:pStyle w:val="BodyText"/>
        <w:widowControl/>
        <w:numPr>
          <w:ilvl w:val="0"/>
          <w:numId w:val="7"/>
        </w:numPr>
        <w:pBdr/>
        <w:tabs>
          <w:tab w:val="clear" w:pos="709"/>
          <w:tab w:val="left" w:pos="0" w:leader="none"/>
        </w:tabs>
        <w:bidi w:val="0"/>
        <w:spacing w:lineRule="auto" w:line="384" w:before="0" w:after="0"/>
        <w:ind w:hanging="0" w:start="0" w:end="0"/>
        <w:jc w:val="start"/>
        <w:rPr>
          <w:rFonts w:ascii="Poppins;sans-serif" w:hAnsi="Poppins;sans-serif"/>
          <w:b/>
          <w:i w:val="false"/>
          <w:caps w:val="false"/>
          <w:smallCaps w:val="false"/>
          <w:color w:val="181818"/>
          <w:spacing w:val="0"/>
          <w:sz w:val="27"/>
        </w:rPr>
      </w:pPr>
      <w:r>
        <w:rPr>
          <w:rFonts w:ascii="Poppins;sans-serif" w:hAnsi="Poppins;sans-serif"/>
          <w:b/>
          <w:i w:val="false"/>
          <w:caps w:val="false"/>
          <w:smallCaps w:val="false"/>
          <w:color w:val="181818"/>
          <w:spacing w:val="0"/>
          <w:sz w:val="27"/>
        </w:rPr>
        <w:t>Etapa de selección </w:t>
      </w:r>
    </w:p>
    <w:p>
      <w:pPr>
        <w:pStyle w:val="Heading3"/>
        <w:widowControl/>
        <w:pBdr/>
        <w:bidi w:val="0"/>
        <w:spacing w:lineRule="auto" w:line="312" w:before="0" w:after="0"/>
        <w:ind w:hanging="0" w:start="0" w:end="0"/>
        <w:jc w:val="start"/>
        <w:rPr>
          <w:rFonts w:ascii="Poppins;sans-serif" w:hAnsi="Poppins;sans-serif"/>
          <w:b/>
          <w:i w:val="false"/>
          <w:caps w:val="false"/>
          <w:smallCaps w:val="false"/>
          <w:color w:val="181818"/>
          <w:spacing w:val="0"/>
          <w:sz w:val="42"/>
        </w:rPr>
      </w:pPr>
      <w:bookmarkStart w:id="1" w:name="guia_de_contratacion_de_modalidad_de_min"/>
      <w:bookmarkEnd w:id="1"/>
      <w:r>
        <w:rPr>
          <w:rFonts w:ascii="Poppins;sans-serif" w:hAnsi="Poppins;sans-serif"/>
          <w:b/>
          <w:i w:val="false"/>
          <w:caps w:val="false"/>
          <w:smallCaps w:val="false"/>
          <w:color w:val="181818"/>
          <w:spacing w:val="0"/>
          <w:sz w:val="42"/>
        </w:rPr>
        <w:t>Guía de Contratación de modalidad de Mínima Cuantía</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esta guía aprenderás a realizar el proceso de contratación de mínima cuantía en forma online.</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la </w:t>
      </w:r>
      <w:r>
        <w:rPr>
          <w:rFonts w:ascii="Poppins;sans-serif" w:hAnsi="Poppins;sans-serif"/>
          <w:b/>
          <w:i w:val="false"/>
          <w:caps w:val="false"/>
          <w:smallCaps w:val="false"/>
          <w:color w:val="181818"/>
          <w:spacing w:val="0"/>
          <w:sz w:val="27"/>
        </w:rPr>
        <w:t>etapa de planeación</w:t>
      </w:r>
      <w:r>
        <w:rPr>
          <w:rFonts w:ascii="Poppins;sans-serif" w:hAnsi="Poppins;sans-serif"/>
          <w:b w:val="false"/>
          <w:i w:val="false"/>
          <w:caps w:val="false"/>
          <w:smallCaps w:val="false"/>
          <w:color w:val="181818"/>
          <w:spacing w:val="0"/>
          <w:sz w:val="27"/>
        </w:rPr>
        <w:t> se realizará la creación del proceso, medición de los pliegos definitivos, se publicarán los pliegos definitivos, se habilitará el área de trabajo y se dará respuesta a las observaciones.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La </w:t>
      </w:r>
      <w:r>
        <w:rPr>
          <w:rFonts w:ascii="Poppins;sans-serif" w:hAnsi="Poppins;sans-serif"/>
          <w:b/>
          <w:i w:val="false"/>
          <w:caps w:val="false"/>
          <w:smallCaps w:val="false"/>
          <w:color w:val="181818"/>
          <w:spacing w:val="0"/>
          <w:sz w:val="27"/>
        </w:rPr>
        <w:t>etapa de selección</w:t>
      </w:r>
      <w:r>
        <w:rPr>
          <w:rFonts w:ascii="Poppins;sans-serif" w:hAnsi="Poppins;sans-serif"/>
          <w:b w:val="false"/>
          <w:i w:val="false"/>
          <w:caps w:val="false"/>
          <w:smallCaps w:val="false"/>
          <w:color w:val="181818"/>
          <w:spacing w:val="0"/>
          <w:sz w:val="27"/>
        </w:rPr>
        <w:t> se caracterizará por la apertura y examen de las ofertas que hayan llegado. Esta etapa consiste en la apertura y publicación de las ofertas y actas de cierres, la subsanaciones de requisitos o el contenido de la oferta por parte de los proveedores, la elaboración y publicación del informe de evaluación, las observaciones realizadas a este informe de evaluación, y por último, la realización del informe de adjudicación del proveedor elegido.</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conocer detalladamente y realizar los pasos exitosamente de este proceso de contratación, puedes acceder a la </w:t>
      </w:r>
      <w:r>
        <w:rPr>
          <w:rFonts w:ascii="Poppins;sans-serif" w:hAnsi="Poppins;sans-serif"/>
          <w:b/>
          <w:i w:val="false"/>
          <w:caps w:val="false"/>
          <w:smallCaps w:val="false"/>
          <w:color w:val="181818"/>
          <w:spacing w:val="0"/>
          <w:sz w:val="27"/>
        </w:rPr>
        <w:t>guía de mínima cuantía del SECOP II</w:t>
      </w:r>
      <w:r>
        <w:rPr>
          <w:rFonts w:ascii="Poppins;sans-serif" w:hAnsi="Poppins;sans-serif"/>
          <w:b w:val="false"/>
          <w:i w:val="false"/>
          <w:caps w:val="false"/>
          <w:smallCaps w:val="false"/>
          <w:color w:val="181818"/>
          <w:spacing w:val="0"/>
          <w:sz w:val="27"/>
        </w:rPr>
        <w:t> (</w:t>
      </w:r>
      <w:hyperlink r:id="rId2" w:tgtFrame="_blank">
        <w:r>
          <w:rPr>
            <w:rStyle w:val="Hyperlink"/>
            <w:rFonts w:ascii="Poppins;sans-serif" w:hAnsi="Poppins;sans-serif"/>
            <w:b/>
            <w:i w:val="false"/>
            <w:caps w:val="false"/>
            <w:smallCaps w:val="false"/>
            <w:strike w:val="false"/>
            <w:dstrike w:val="false"/>
            <w:color w:val="0183E4"/>
            <w:spacing w:val="0"/>
            <w:sz w:val="27"/>
            <w:u w:val="none"/>
            <w:effect w:val="none"/>
          </w:rPr>
          <w:t>clic aquí</w:t>
        </w:r>
      </w:hyperlink>
      <w:r>
        <w:rPr>
          <w:rFonts w:ascii="Poppins;sans-serif" w:hAnsi="Poppins;sans-serif"/>
          <w:b w:val="false"/>
          <w:i w:val="false"/>
          <w:caps w:val="false"/>
          <w:smallCaps w:val="false"/>
          <w:color w:val="181818"/>
          <w:spacing w:val="0"/>
          <w:sz w:val="27"/>
        </w:rPr>
        <w:t>).</w:t>
      </w:r>
    </w:p>
    <w:p>
      <w:pPr>
        <w:pStyle w:val="Heading3"/>
        <w:widowControl/>
        <w:pBdr/>
        <w:bidi w:val="0"/>
        <w:spacing w:lineRule="auto" w:line="312" w:before="0" w:after="0"/>
        <w:ind w:hanging="0" w:start="0" w:end="0"/>
        <w:jc w:val="start"/>
        <w:rPr>
          <w:rFonts w:ascii="Poppins;sans-serif" w:hAnsi="Poppins;sans-serif"/>
          <w:b/>
          <w:i w:val="false"/>
          <w:caps w:val="false"/>
          <w:smallCaps w:val="false"/>
          <w:color w:val="181818"/>
          <w:spacing w:val="0"/>
          <w:sz w:val="42"/>
        </w:rPr>
      </w:pPr>
      <w:bookmarkStart w:id="2" w:name="guia_de_contratacion_de_licitacion_publi"/>
      <w:bookmarkEnd w:id="2"/>
      <w:r>
        <w:rPr>
          <w:rFonts w:ascii="Poppins;sans-serif" w:hAnsi="Poppins;sans-serif"/>
          <w:b/>
          <w:i w:val="false"/>
          <w:caps w:val="false"/>
          <w:smallCaps w:val="false"/>
          <w:color w:val="181818"/>
          <w:spacing w:val="0"/>
          <w:sz w:val="42"/>
        </w:rPr>
        <w:t>Guía de Contratación de Licitación Pública</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esta guía aprenderás a realizar el proceso de contratación de licitación pública en forma online.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la </w:t>
      </w:r>
      <w:r>
        <w:rPr>
          <w:rFonts w:ascii="Poppins;sans-serif" w:hAnsi="Poppins;sans-serif"/>
          <w:b/>
          <w:i w:val="false"/>
          <w:caps w:val="false"/>
          <w:smallCaps w:val="false"/>
          <w:color w:val="181818"/>
          <w:spacing w:val="0"/>
          <w:sz w:val="27"/>
        </w:rPr>
        <w:t>etapa de planeación</w:t>
      </w:r>
      <w:r>
        <w:rPr>
          <w:rFonts w:ascii="Poppins;sans-serif" w:hAnsi="Poppins;sans-serif"/>
          <w:b w:val="false"/>
          <w:i w:val="false"/>
          <w:caps w:val="false"/>
          <w:smallCaps w:val="false"/>
          <w:color w:val="181818"/>
          <w:spacing w:val="0"/>
          <w:sz w:val="27"/>
        </w:rPr>
        <w:t> se creará el pliego borrador de condiciones (es un formulario que consta de 6 apartados: Información general, Cuestionario, Configuración, Documentos del Proceso, Evaluación y Documentos de la oferta) de manera electrónica. Para ello, primero se deberá crear el proceso, se editarán los pliegos borrador de condiciones, después se publican estos pliegos borrador, luego se habilitará el área de trabajo en la que SECOP II encuentra las utilidades que se necesitan para adelantar el proceso de contratación online y así poder relacionarse con los proveedores en las distintas etapas; y finalmente, se dará respuesta a las observaciones que se realicen al pliego borrador.</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la </w:t>
      </w:r>
      <w:r>
        <w:rPr>
          <w:rFonts w:ascii="Poppins;sans-serif" w:hAnsi="Poppins;sans-serif"/>
          <w:b/>
          <w:i w:val="false"/>
          <w:caps w:val="false"/>
          <w:smallCaps w:val="false"/>
          <w:color w:val="181818"/>
          <w:spacing w:val="0"/>
          <w:sz w:val="27"/>
        </w:rPr>
        <w:t>etapa de selección</w:t>
      </w:r>
      <w:r>
        <w:rPr>
          <w:rFonts w:ascii="Poppins;sans-serif" w:hAnsi="Poppins;sans-serif"/>
          <w:b w:val="false"/>
          <w:i w:val="false"/>
          <w:caps w:val="false"/>
          <w:smallCaps w:val="false"/>
          <w:color w:val="181818"/>
          <w:spacing w:val="0"/>
          <w:sz w:val="27"/>
        </w:rPr>
        <w:t> se llevará a cabo toda la realización de los pliegos definitivos, apertura de ofertas y adjudicación final. Es decir que, al finalizar la etapa de planeación, podrás hacer la edición del pliego definitivo, donde se podrán efectuar actualizaciones a los pliegos borradores de condiciones del proceso de acuerdo a todas las observaciones que han sido recibidas. Luego de ello, se debe publicar el pliego definitivo.</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Una vez publicado el pliego definitivo, la entidad estatal puede pedir que se realicen adendas (observaciones / modificaciones al pliego). Luego de efectuadas las adendas requeridas, se debe dar respuesta a estas observaciones realizadas al pliego definitivo, las cuales pueden ser respondidas de la misma forma que las observaciones realizadas al pliego borrador.</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Cuando ya esté cumplida la fecha de cierre dispuesta por SECOP II, se abrirán y evaluarán las ofertas. Mientras se evalúan estas ofertas, se podrá solicitar a los proveedores realizar la subsanación de los requerimientos habilitantes o que se aclare el contenido de las mismas por medio de mensajes.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esta parte, se debe elaborar un informe de evaluación en el formato que establezca la entidad estatal. Aquí los proveedores podrán enviar sus observaciones de este informe de evaluación y posteriormente se deberá dar respuestas a las mismas. Finalmente, cuando se hayan desarrollado todos estos pasos, ya se estará en condiciones de realizar el Informe de Adjudicación y así se finaliza con la etapa de selección.</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conocer detalladamente y realizar los pasos exitosamente de este proceso de contratación, puedes acceder a la guía del </w:t>
      </w:r>
      <w:r>
        <w:rPr>
          <w:rFonts w:ascii="Poppins;sans-serif" w:hAnsi="Poppins;sans-serif"/>
          <w:b/>
          <w:i w:val="false"/>
          <w:caps w:val="false"/>
          <w:smallCaps w:val="false"/>
          <w:color w:val="181818"/>
          <w:spacing w:val="0"/>
          <w:sz w:val="27"/>
        </w:rPr>
        <w:t>SECOP II</w:t>
      </w:r>
      <w:r>
        <w:rPr>
          <w:rFonts w:ascii="Poppins;sans-serif" w:hAnsi="Poppins;sans-serif"/>
          <w:b w:val="false"/>
          <w:i w:val="false"/>
          <w:caps w:val="false"/>
          <w:smallCaps w:val="false"/>
          <w:color w:val="181818"/>
          <w:spacing w:val="0"/>
          <w:sz w:val="27"/>
        </w:rPr>
        <w:t> para realizar </w:t>
      </w:r>
      <w:r>
        <w:rPr>
          <w:rFonts w:ascii="Poppins;sans-serif" w:hAnsi="Poppins;sans-serif"/>
          <w:b/>
          <w:i w:val="false"/>
          <w:caps w:val="false"/>
          <w:smallCaps w:val="false"/>
          <w:color w:val="181818"/>
          <w:spacing w:val="0"/>
          <w:sz w:val="27"/>
        </w:rPr>
        <w:t>licitaciones</w:t>
      </w:r>
      <w:r>
        <w:rPr>
          <w:rFonts w:ascii="Poppins;sans-serif" w:hAnsi="Poppins;sans-serif"/>
          <w:b w:val="false"/>
          <w:i w:val="false"/>
          <w:caps w:val="false"/>
          <w:smallCaps w:val="false"/>
          <w:color w:val="181818"/>
          <w:spacing w:val="0"/>
          <w:sz w:val="27"/>
        </w:rPr>
        <w:t> (</w:t>
      </w:r>
      <w:hyperlink r:id="rId3" w:tgtFrame="_blank">
        <w:r>
          <w:rPr>
            <w:rStyle w:val="Hyperlink"/>
            <w:rFonts w:ascii="Poppins;sans-serif" w:hAnsi="Poppins;sans-serif"/>
            <w:b/>
            <w:i w:val="false"/>
            <w:caps w:val="false"/>
            <w:smallCaps w:val="false"/>
            <w:strike w:val="false"/>
            <w:dstrike w:val="false"/>
            <w:color w:val="0183E4"/>
            <w:spacing w:val="0"/>
            <w:sz w:val="27"/>
            <w:u w:val="none"/>
            <w:effect w:val="none"/>
          </w:rPr>
          <w:t>clic aquí</w:t>
        </w:r>
      </w:hyperlink>
      <w:r>
        <w:rPr>
          <w:rFonts w:ascii="Poppins;sans-serif" w:hAnsi="Poppins;sans-serif"/>
          <w:b w:val="false"/>
          <w:i w:val="false"/>
          <w:caps w:val="false"/>
          <w:smallCaps w:val="false"/>
          <w:color w:val="181818"/>
          <w:spacing w:val="0"/>
          <w:sz w:val="27"/>
        </w:rPr>
        <w:t>).</w:t>
      </w:r>
    </w:p>
    <w:p>
      <w:pPr>
        <w:pStyle w:val="Heading3"/>
        <w:widowControl/>
        <w:pBdr/>
        <w:bidi w:val="0"/>
        <w:spacing w:lineRule="auto" w:line="312" w:before="0" w:after="0"/>
        <w:ind w:hanging="0" w:start="0" w:end="0"/>
        <w:jc w:val="start"/>
        <w:rPr>
          <w:rFonts w:ascii="Poppins;sans-serif" w:hAnsi="Poppins;sans-serif"/>
          <w:b/>
          <w:i w:val="false"/>
          <w:caps w:val="false"/>
          <w:smallCaps w:val="false"/>
          <w:color w:val="181818"/>
          <w:spacing w:val="0"/>
          <w:sz w:val="42"/>
        </w:rPr>
      </w:pPr>
      <w:bookmarkStart w:id="3" w:name="guia_para_proceso_de_seleccion_abreviada"/>
      <w:bookmarkEnd w:id="3"/>
      <w:r>
        <w:rPr>
          <w:rFonts w:ascii="Poppins;sans-serif" w:hAnsi="Poppins;sans-serif"/>
          <w:b/>
          <w:i w:val="false"/>
          <w:caps w:val="false"/>
          <w:smallCaps w:val="false"/>
          <w:color w:val="181818"/>
          <w:spacing w:val="0"/>
          <w:sz w:val="42"/>
        </w:rPr>
        <w:t>Guía para Proceso de Selección Abreviada de Menor Cuantía</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esta guía aprenderás a realizar el proceso de Selección Abreviada de Menor Cuantía en forma online.</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la </w:t>
      </w:r>
      <w:r>
        <w:rPr>
          <w:rFonts w:ascii="Poppins;sans-serif" w:hAnsi="Poppins;sans-serif"/>
          <w:b/>
          <w:i w:val="false"/>
          <w:caps w:val="false"/>
          <w:smallCaps w:val="false"/>
          <w:color w:val="181818"/>
          <w:spacing w:val="0"/>
          <w:sz w:val="27"/>
        </w:rPr>
        <w:t>etapa de planeación</w:t>
      </w:r>
      <w:r>
        <w:rPr>
          <w:rFonts w:ascii="Poppins;sans-serif" w:hAnsi="Poppins;sans-serif"/>
          <w:b w:val="false"/>
          <w:i w:val="false"/>
          <w:caps w:val="false"/>
          <w:smallCaps w:val="false"/>
          <w:color w:val="181818"/>
          <w:spacing w:val="0"/>
          <w:sz w:val="27"/>
        </w:rPr>
        <w:t> se creará el pliego borrador. Para ello, se debe comenzar con la creación del proceso, después se editarán los pliegos borradores y se publicarán los mismos. Luego de ello, el SECOP II habilitará el área de trabajo del proceso de contratación, donde encontrará las utilidades que se necesitan para el adelantamiento del mismo y así poder relacionarse con los proveedores en las distintas etapas. Por último, se dará respuesta a las observaciones que se realicen al pliego borrador.</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La </w:t>
      </w:r>
      <w:r>
        <w:rPr>
          <w:rFonts w:ascii="Poppins;sans-serif" w:hAnsi="Poppins;sans-serif"/>
          <w:b/>
          <w:i w:val="false"/>
          <w:caps w:val="false"/>
          <w:smallCaps w:val="false"/>
          <w:color w:val="181818"/>
          <w:spacing w:val="0"/>
          <w:sz w:val="27"/>
        </w:rPr>
        <w:t>etapa de selección</w:t>
      </w:r>
      <w:r>
        <w:rPr>
          <w:rFonts w:ascii="Poppins;sans-serif" w:hAnsi="Poppins;sans-serif"/>
          <w:b w:val="false"/>
          <w:i w:val="false"/>
          <w:caps w:val="false"/>
          <w:smallCaps w:val="false"/>
          <w:color w:val="181818"/>
          <w:spacing w:val="0"/>
          <w:sz w:val="27"/>
        </w:rPr>
        <w:t> tendrá a su vez 3 subetapas, que son las siguientes:</w:t>
      </w:r>
    </w:p>
    <w:p>
      <w:pPr>
        <w:pStyle w:val="BodyText"/>
        <w:widowControl/>
        <w:numPr>
          <w:ilvl w:val="0"/>
          <w:numId w:val="8"/>
        </w:numPr>
        <w:pBdr/>
        <w:tabs>
          <w:tab w:val="clear" w:pos="709"/>
          <w:tab w:val="left" w:pos="0" w:leader="none"/>
        </w:tabs>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Pliegos definitivos</w:t>
      </w:r>
    </w:p>
    <w:p>
      <w:pPr>
        <w:pStyle w:val="BodyText"/>
        <w:widowControl/>
        <w:numPr>
          <w:ilvl w:val="0"/>
          <w:numId w:val="8"/>
        </w:numPr>
        <w:pBdr/>
        <w:tabs>
          <w:tab w:val="clear" w:pos="709"/>
          <w:tab w:val="left" w:pos="0" w:leader="none"/>
        </w:tabs>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Sorteo</w:t>
      </w:r>
    </w:p>
    <w:p>
      <w:pPr>
        <w:pStyle w:val="BodyText"/>
        <w:widowControl/>
        <w:numPr>
          <w:ilvl w:val="0"/>
          <w:numId w:val="8"/>
        </w:numPr>
        <w:pBdr/>
        <w:tabs>
          <w:tab w:val="clear" w:pos="709"/>
          <w:tab w:val="left" w:pos="0" w:leader="none"/>
        </w:tabs>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Apertura y evaluación de ofertas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la subetapa de </w:t>
      </w:r>
      <w:r>
        <w:rPr>
          <w:rFonts w:ascii="Poppins;sans-serif" w:hAnsi="Poppins;sans-serif"/>
          <w:b/>
          <w:i w:val="false"/>
          <w:caps w:val="false"/>
          <w:smallCaps w:val="false"/>
          <w:color w:val="181818"/>
          <w:spacing w:val="0"/>
          <w:sz w:val="27"/>
        </w:rPr>
        <w:t>pliegos definitivos</w:t>
      </w:r>
      <w:r>
        <w:rPr>
          <w:rFonts w:ascii="Poppins;sans-serif" w:hAnsi="Poppins;sans-serif"/>
          <w:b w:val="false"/>
          <w:i w:val="false"/>
          <w:caps w:val="false"/>
          <w:smallCaps w:val="false"/>
          <w:color w:val="181818"/>
          <w:spacing w:val="0"/>
          <w:sz w:val="27"/>
        </w:rPr>
        <w:t> se llevará a cabo la edición y publicación de estos. Cuando se hayan publicado los mismos, recibirán las observaciones pertinentes y estas deberán ser contestadas de la misma forma en que se han contestado las observaciones al pliego borrador.</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la subetapa de </w:t>
      </w:r>
      <w:r>
        <w:rPr>
          <w:rFonts w:ascii="Poppins;sans-serif" w:hAnsi="Poppins;sans-serif"/>
          <w:b/>
          <w:i w:val="false"/>
          <w:caps w:val="false"/>
          <w:smallCaps w:val="false"/>
          <w:color w:val="181818"/>
          <w:spacing w:val="0"/>
          <w:sz w:val="27"/>
        </w:rPr>
        <w:t>sorteo</w:t>
      </w:r>
      <w:r>
        <w:rPr>
          <w:rFonts w:ascii="Poppins;sans-serif" w:hAnsi="Poppins;sans-serif"/>
          <w:b w:val="false"/>
          <w:i w:val="false"/>
          <w:caps w:val="false"/>
          <w:smallCaps w:val="false"/>
          <w:color w:val="181818"/>
          <w:spacing w:val="0"/>
          <w:sz w:val="27"/>
        </w:rPr>
        <w:t>, se deben registrar dentro de SECOP II los resultados del sorteo que haya realizado la entidad Estatal. Una vez ingresados los resultados de este sorteo en la plataforma, se debe publicar la lista de los proveedores que han sido elegidos bajo este sistema.Por último, se pueden realizar adendas (modificaciones) al pliego de condiciones por parte de la entidad estatal.</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la subetapa final de </w:t>
      </w:r>
      <w:r>
        <w:rPr>
          <w:rFonts w:ascii="Poppins;sans-serif" w:hAnsi="Poppins;sans-serif"/>
          <w:b/>
          <w:i w:val="false"/>
          <w:caps w:val="false"/>
          <w:smallCaps w:val="false"/>
          <w:color w:val="181818"/>
          <w:spacing w:val="0"/>
          <w:sz w:val="27"/>
        </w:rPr>
        <w:t>apertura y evaluación de ofertas</w:t>
      </w:r>
      <w:r>
        <w:rPr>
          <w:rFonts w:ascii="Poppins;sans-serif" w:hAnsi="Poppins;sans-serif"/>
          <w:b w:val="false"/>
          <w:i w:val="false"/>
          <w:caps w:val="false"/>
          <w:smallCaps w:val="false"/>
          <w:color w:val="181818"/>
          <w:spacing w:val="0"/>
          <w:sz w:val="27"/>
        </w:rPr>
        <w:t>, se lleva a cabo la apertura de ofertas y la publicación del acta de cierre de las mismas. Mientras se evalúan estas ofertas, se puede pedir a los proveedores que se subsanen algunos requisitos habilitantes o que se aclare el contenido de dicha oferta.</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Después de ello, se debe elaborar y publicar el informe de evaluación para que los proveedores puedan realizar sus observaciones al mismo. Luego, se deberá dar respuesta a las observaciones realizadas al informe de evaluación mediante el plazo establecido por la entidad estatal.</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Finalmente, se debe elaborar y publicar el informe adjudicación, dando así por terminada la selección del proveedor. De esta manera, se puede generar el contrato electrónico del proceso de contratación y luego enviárselo al proveedor.</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conocer detalladamente y realizar los pasos exitosamente de este proceso de contratación, puedes acceder a la guía para realizar el </w:t>
      </w:r>
      <w:r>
        <w:rPr>
          <w:rFonts w:ascii="Poppins;sans-serif" w:hAnsi="Poppins;sans-serif"/>
          <w:b/>
          <w:i w:val="false"/>
          <w:caps w:val="false"/>
          <w:smallCaps w:val="false"/>
          <w:color w:val="181818"/>
          <w:spacing w:val="0"/>
          <w:sz w:val="27"/>
        </w:rPr>
        <w:t>Proceso de Selección Abreviada de Menor Cuantía</w:t>
      </w:r>
      <w:r>
        <w:rPr>
          <w:rFonts w:ascii="Poppins;sans-serif" w:hAnsi="Poppins;sans-serif"/>
          <w:b w:val="false"/>
          <w:i w:val="false"/>
          <w:caps w:val="false"/>
          <w:smallCaps w:val="false"/>
          <w:color w:val="181818"/>
          <w:spacing w:val="0"/>
          <w:sz w:val="27"/>
        </w:rPr>
        <w:t> (</w:t>
      </w:r>
      <w:hyperlink r:id="rId4" w:tgtFrame="_blank">
        <w:r>
          <w:rPr>
            <w:rStyle w:val="Hyperlink"/>
            <w:rFonts w:ascii="Poppins;sans-serif" w:hAnsi="Poppins;sans-serif"/>
            <w:b/>
            <w:i w:val="false"/>
            <w:caps w:val="false"/>
            <w:smallCaps w:val="false"/>
            <w:strike w:val="false"/>
            <w:dstrike w:val="false"/>
            <w:color w:val="0183E4"/>
            <w:spacing w:val="0"/>
            <w:sz w:val="27"/>
            <w:u w:val="none"/>
            <w:effect w:val="none"/>
          </w:rPr>
          <w:t>clic aquí</w:t>
        </w:r>
      </w:hyperlink>
      <w:r>
        <w:rPr>
          <w:rFonts w:ascii="Poppins;sans-serif" w:hAnsi="Poppins;sans-serif"/>
          <w:b w:val="false"/>
          <w:i w:val="false"/>
          <w:caps w:val="false"/>
          <w:smallCaps w:val="false"/>
          <w:color w:val="181818"/>
          <w:spacing w:val="0"/>
          <w:sz w:val="27"/>
        </w:rPr>
        <w:t>).</w:t>
      </w:r>
    </w:p>
    <w:p>
      <w:pPr>
        <w:pStyle w:val="Heading3"/>
        <w:widowControl/>
        <w:pBdr/>
        <w:bidi w:val="0"/>
        <w:spacing w:lineRule="auto" w:line="312" w:before="0" w:after="0"/>
        <w:ind w:hanging="0" w:start="0" w:end="0"/>
        <w:jc w:val="start"/>
        <w:rPr>
          <w:rFonts w:ascii="Poppins;sans-serif" w:hAnsi="Poppins;sans-serif"/>
          <w:b/>
          <w:i w:val="false"/>
          <w:caps w:val="false"/>
          <w:smallCaps w:val="false"/>
          <w:color w:val="181818"/>
          <w:spacing w:val="0"/>
          <w:sz w:val="42"/>
        </w:rPr>
      </w:pPr>
      <w:bookmarkStart w:id="4" w:name="guia_para_proceso_de_concurso_de_meritos"/>
      <w:bookmarkEnd w:id="4"/>
      <w:r>
        <w:rPr>
          <w:rFonts w:ascii="Poppins;sans-serif" w:hAnsi="Poppins;sans-serif"/>
          <w:b/>
          <w:i w:val="false"/>
          <w:caps w:val="false"/>
          <w:smallCaps w:val="false"/>
          <w:color w:val="181818"/>
          <w:spacing w:val="0"/>
          <w:sz w:val="42"/>
        </w:rPr>
        <w:t>Guía para Proceso de Concurso de Méritos Abierto</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esta guía aprenderás a realizar el proceso de Concurso de Méritos Abierto en forma online.</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la </w:t>
      </w:r>
      <w:r>
        <w:rPr>
          <w:rFonts w:ascii="Poppins;sans-serif" w:hAnsi="Poppins;sans-serif"/>
          <w:b/>
          <w:i w:val="false"/>
          <w:caps w:val="false"/>
          <w:smallCaps w:val="false"/>
          <w:color w:val="181818"/>
          <w:spacing w:val="0"/>
          <w:sz w:val="27"/>
        </w:rPr>
        <w:t>etapa de planeación</w:t>
      </w:r>
      <w:r>
        <w:rPr>
          <w:rFonts w:ascii="Poppins;sans-serif" w:hAnsi="Poppins;sans-serif"/>
          <w:b w:val="false"/>
          <w:i w:val="false"/>
          <w:caps w:val="false"/>
          <w:smallCaps w:val="false"/>
          <w:color w:val="181818"/>
          <w:spacing w:val="0"/>
          <w:sz w:val="27"/>
        </w:rPr>
        <w:t> se creará el pliego borrador. Para ello, se debe comenzar con la creación del proceso, después se editarán los pliegos borradores y se publicarán los mismos. Luego de ello, el SECOP II habilitará el área de trabajo del proceso de contratación, donde encontrará las utilidades que se necesitan para el adelantamiento del mismo y así poder relacionarse con los proveedores en las distintas etapas. Por último, se dará respuesta a las observaciones que se realicen al pliego borrador.</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la </w:t>
      </w:r>
      <w:r>
        <w:rPr>
          <w:rFonts w:ascii="Poppins;sans-serif" w:hAnsi="Poppins;sans-serif"/>
          <w:b/>
          <w:i w:val="false"/>
          <w:caps w:val="false"/>
          <w:smallCaps w:val="false"/>
          <w:color w:val="181818"/>
          <w:spacing w:val="0"/>
          <w:sz w:val="27"/>
        </w:rPr>
        <w:t>etapa de selección</w:t>
      </w:r>
      <w:r>
        <w:rPr>
          <w:rFonts w:ascii="Poppins;sans-serif" w:hAnsi="Poppins;sans-serif"/>
          <w:b w:val="false"/>
          <w:i w:val="false"/>
          <w:caps w:val="false"/>
          <w:smallCaps w:val="false"/>
          <w:color w:val="181818"/>
          <w:spacing w:val="0"/>
          <w:sz w:val="27"/>
        </w:rPr>
        <w:t> se llevará a cabo toda la realización de los pliegos definitivos, apertura de ofertas y adjudicación final. Es decir que, al finalizar la etapa de planeación, podrás hacer la edición del pliego definitivo, donde se podrán efectuar actualizaciones a los pliegos borradores de condiciones del proceso de acuerdo a todas las observaciones que han sido recibidas. Luego de ello, se debe publicar el pliego definitivo.</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Una vez publicado el pliego definitivo, la entidad estatal puede pedir que se realicen adendas (observaciones / modificaciones al pliego). Luego de efectuadas las adendas requeridas, se debe dar respuesta a estas observaciones realizadas al pliego definitivo, las cuales pueden ser respondidas de la misma forma que las observaciones realizadas al pliego borrador.</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Cuando ya esté cumplida la fecha de cierre dispuesta por SECOP II, se abrirán los sobres habilitantes y se publicará el acta de cierre. Mientras se evalúan estas ofertas, se podrá solicitar a los proveedores realizar la subsanación de los requerimientos habilitantes o que se aclare el contenido de las mismas por medio de mensajes. Después se procede a la apertura de los sobres técnicos, donde sólo se admitirán las ofertas que hayan cumplido con los requerimientos habilitantes.</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esta parte, se debe elaborar un informe de evaluación y posteriormente publicar las ofertas. Una vez conocidas las ofertas por los proveedores, podrán enviar sus observaciones del informe de evaluación y luego se deberá dar respuestas a las mismas. Finalmente, se debe hacer la apertura del sobre económico (la mejor oferta técnica que excluye a los demás proveedores), y se realizará el Informe de Adjudicación, finalizando así con la etapa de selección.</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conocer detalladamente y realizar los pasos exitosamente de este proceso de contratación, puedes acceder a la </w:t>
      </w:r>
      <w:r>
        <w:rPr>
          <w:rFonts w:ascii="Poppins;sans-serif" w:hAnsi="Poppins;sans-serif"/>
          <w:b/>
          <w:i w:val="false"/>
          <w:caps w:val="false"/>
          <w:smallCaps w:val="false"/>
          <w:color w:val="181818"/>
          <w:spacing w:val="0"/>
          <w:sz w:val="27"/>
        </w:rPr>
        <w:t>guía de concurso de méritos en SECOP II</w:t>
      </w:r>
      <w:r>
        <w:rPr>
          <w:rFonts w:ascii="Poppins;sans-serif" w:hAnsi="Poppins;sans-serif"/>
          <w:b w:val="false"/>
          <w:i w:val="false"/>
          <w:caps w:val="false"/>
          <w:smallCaps w:val="false"/>
          <w:color w:val="181818"/>
          <w:spacing w:val="0"/>
          <w:sz w:val="27"/>
        </w:rPr>
        <w:t> (</w:t>
      </w:r>
      <w:hyperlink r:id="rId5" w:tgtFrame="_blank">
        <w:r>
          <w:rPr>
            <w:rStyle w:val="Hyperlink"/>
            <w:rFonts w:ascii="Poppins;sans-serif" w:hAnsi="Poppins;sans-serif"/>
            <w:b/>
            <w:i w:val="false"/>
            <w:caps w:val="false"/>
            <w:smallCaps w:val="false"/>
            <w:strike w:val="false"/>
            <w:dstrike w:val="false"/>
            <w:color w:val="0183E4"/>
            <w:spacing w:val="0"/>
            <w:sz w:val="27"/>
            <w:u w:val="none"/>
            <w:effect w:val="none"/>
          </w:rPr>
          <w:t>clic aquí</w:t>
        </w:r>
      </w:hyperlink>
      <w:r>
        <w:rPr>
          <w:rFonts w:ascii="Poppins;sans-serif" w:hAnsi="Poppins;sans-serif"/>
          <w:b w:val="false"/>
          <w:i w:val="false"/>
          <w:caps w:val="false"/>
          <w:smallCaps w:val="false"/>
          <w:color w:val="181818"/>
          <w:spacing w:val="0"/>
          <w:sz w:val="27"/>
        </w:rPr>
        <w:t>).</w:t>
      </w:r>
    </w:p>
    <w:p>
      <w:pPr>
        <w:pStyle w:val="Heading2"/>
        <w:widowControl/>
        <w:pBdr/>
        <w:bidi w:val="0"/>
        <w:spacing w:lineRule="auto" w:line="312" w:before="0" w:after="0"/>
        <w:ind w:hanging="0" w:start="0" w:end="0"/>
        <w:jc w:val="start"/>
        <w:rPr>
          <w:rFonts w:ascii="Poppins;sans-serif" w:hAnsi="Poppins;sans-serif"/>
          <w:b/>
          <w:i w:val="false"/>
          <w:caps w:val="false"/>
          <w:smallCaps w:val="false"/>
          <w:color w:val="181818"/>
          <w:spacing w:val="0"/>
          <w:sz w:val="48"/>
        </w:rPr>
      </w:pPr>
      <w:bookmarkStart w:id="5" w:name="secop_ii_manuales_y_guias_para_proveedor"/>
      <w:bookmarkEnd w:id="5"/>
      <w:r>
        <w:rPr>
          <w:rFonts w:ascii="Poppins;sans-serif" w:hAnsi="Poppins;sans-serif"/>
          <w:b/>
          <w:i w:val="false"/>
          <w:caps w:val="false"/>
          <w:smallCaps w:val="false"/>
          <w:color w:val="181818"/>
          <w:spacing w:val="0"/>
          <w:sz w:val="48"/>
        </w:rPr>
        <w:t>SECOP II:  Manuales y guías para Proveedores</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acceder a cualquier guía del </w:t>
      </w:r>
      <w:r>
        <w:rPr>
          <w:rFonts w:ascii="Poppins;sans-serif" w:hAnsi="Poppins;sans-serif"/>
          <w:b/>
          <w:i w:val="false"/>
          <w:caps w:val="false"/>
          <w:smallCaps w:val="false"/>
          <w:color w:val="181818"/>
          <w:spacing w:val="0"/>
          <w:sz w:val="27"/>
        </w:rPr>
        <w:t>SECOP II</w:t>
      </w:r>
      <w:r>
        <w:rPr>
          <w:rFonts w:ascii="Poppins;sans-serif" w:hAnsi="Poppins;sans-serif"/>
          <w:b w:val="false"/>
          <w:i w:val="false"/>
          <w:caps w:val="false"/>
          <w:smallCaps w:val="false"/>
          <w:color w:val="181818"/>
          <w:spacing w:val="0"/>
          <w:sz w:val="27"/>
        </w:rPr>
        <w:t> sobre </w:t>
      </w:r>
      <w:r>
        <w:rPr>
          <w:rFonts w:ascii="Poppins;sans-serif" w:hAnsi="Poppins;sans-serif"/>
          <w:b/>
          <w:i w:val="false"/>
          <w:caps w:val="false"/>
          <w:smallCaps w:val="false"/>
          <w:color w:val="181818"/>
          <w:spacing w:val="0"/>
          <w:sz w:val="27"/>
        </w:rPr>
        <w:t>proveedores</w:t>
      </w:r>
      <w:r>
        <w:rPr>
          <w:rFonts w:ascii="Poppins;sans-serif" w:hAnsi="Poppins;sans-serif"/>
          <w:b w:val="false"/>
          <w:i w:val="false"/>
          <w:caps w:val="false"/>
          <w:smallCaps w:val="false"/>
          <w:color w:val="181818"/>
          <w:spacing w:val="0"/>
          <w:sz w:val="27"/>
        </w:rPr>
        <w:t>, puedes hacer </w:t>
      </w:r>
      <w:hyperlink r:id="rId6" w:tgtFrame="_blank">
        <w:r>
          <w:rPr>
            <w:rStyle w:val="Hyperlink"/>
            <w:rFonts w:ascii="Poppins;sans-serif" w:hAnsi="Poppins;sans-serif"/>
            <w:b/>
            <w:i w:val="false"/>
            <w:caps w:val="false"/>
            <w:smallCaps w:val="false"/>
            <w:strike w:val="false"/>
            <w:dstrike w:val="false"/>
            <w:color w:val="0183E4"/>
            <w:spacing w:val="0"/>
            <w:sz w:val="27"/>
            <w:u w:val="none"/>
            <w:effect w:val="none"/>
          </w:rPr>
          <w:t>clic aquí</w:t>
        </w:r>
      </w:hyperlink>
      <w:r>
        <w:rPr>
          <w:rFonts w:ascii="Poppins;sans-serif" w:hAnsi="Poppins;sans-serif"/>
          <w:b w:val="false"/>
          <w:i w:val="false"/>
          <w:caps w:val="false"/>
          <w:smallCaps w:val="false"/>
          <w:color w:val="181818"/>
          <w:spacing w:val="0"/>
          <w:sz w:val="27"/>
        </w:rPr>
        <w:t>, donde aprenderás a hacer desde un registro, hasta presentar observaciones, ofertas, manifestar interés y realizar una gestión contractual.</w:t>
      </w:r>
    </w:p>
    <w:p>
      <w:pPr>
        <w:pStyle w:val="Heading2"/>
        <w:widowControl/>
        <w:pBdr/>
        <w:bidi w:val="0"/>
        <w:spacing w:lineRule="auto" w:line="312" w:before="0" w:after="0"/>
        <w:ind w:hanging="0" w:start="0" w:end="0"/>
        <w:jc w:val="start"/>
        <w:rPr>
          <w:rFonts w:ascii="Poppins;sans-serif" w:hAnsi="Poppins;sans-serif"/>
          <w:b/>
          <w:i w:val="false"/>
          <w:caps w:val="false"/>
          <w:smallCaps w:val="false"/>
          <w:color w:val="181818"/>
          <w:spacing w:val="0"/>
          <w:sz w:val="48"/>
        </w:rPr>
      </w:pPr>
      <w:bookmarkStart w:id="6" w:name="secop_ii_manuales_guias_y_documentos_tip"/>
      <w:bookmarkEnd w:id="6"/>
      <w:r>
        <w:rPr>
          <w:rFonts w:ascii="Poppins;sans-serif" w:hAnsi="Poppins;sans-serif"/>
          <w:b/>
          <w:i w:val="false"/>
          <w:caps w:val="false"/>
          <w:smallCaps w:val="false"/>
          <w:color w:val="181818"/>
          <w:spacing w:val="0"/>
          <w:sz w:val="48"/>
        </w:rPr>
        <w:t>SECOP II: Manuales, guías y documentos tipo</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El desarrollo y la implementación de estándares y documentos tipo para los distintos momentos de la gestión de contratos públicos son algunas de las funciones de Colombia Compra Eficiente. Para tal fin, se puede acceder a cualquier </w:t>
      </w:r>
      <w:r>
        <w:rPr>
          <w:rFonts w:ascii="Poppins;sans-serif" w:hAnsi="Poppins;sans-serif"/>
          <w:b/>
          <w:i w:val="false"/>
          <w:caps w:val="false"/>
          <w:smallCaps w:val="false"/>
          <w:color w:val="181818"/>
          <w:spacing w:val="0"/>
          <w:sz w:val="27"/>
        </w:rPr>
        <w:t>guía de Colombia Compra Eficiente</w:t>
      </w:r>
      <w:r>
        <w:rPr>
          <w:rFonts w:ascii="Poppins;sans-serif" w:hAnsi="Poppins;sans-serif"/>
          <w:b w:val="false"/>
          <w:i w:val="false"/>
          <w:caps w:val="false"/>
          <w:smallCaps w:val="false"/>
          <w:color w:val="181818"/>
          <w:spacing w:val="0"/>
          <w:sz w:val="27"/>
        </w:rPr>
        <w:t> haciendo </w:t>
      </w:r>
      <w:hyperlink r:id="rId7" w:tgtFrame="_blank">
        <w:r>
          <w:rPr>
            <w:rStyle w:val="Hyperlink"/>
            <w:rFonts w:ascii="Poppins;sans-serif" w:hAnsi="Poppins;sans-serif"/>
            <w:b/>
            <w:i w:val="false"/>
            <w:caps w:val="false"/>
            <w:smallCaps w:val="false"/>
            <w:strike w:val="false"/>
            <w:dstrike w:val="false"/>
            <w:color w:val="0183E4"/>
            <w:spacing w:val="0"/>
            <w:sz w:val="27"/>
            <w:u w:val="none"/>
            <w:effect w:val="none"/>
          </w:rPr>
          <w:t>clic aquí</w:t>
        </w:r>
      </w:hyperlink>
      <w:r>
        <w:rPr>
          <w:rFonts w:ascii="Poppins;sans-serif" w:hAnsi="Poppins;sans-serif"/>
          <w:b w:val="false"/>
          <w:i w:val="false"/>
          <w:caps w:val="false"/>
          <w:smallCaps w:val="false"/>
          <w:color w:val="181818"/>
          <w:spacing w:val="0"/>
          <w:sz w:val="27"/>
        </w:rPr>
        <w:t>, donde la institución se ha encargado de expedir contratos tipo o estándar, además de pliegos.</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Dichos pliegos o contratos estándares son imprescindibles, debido a que quienes utilicen recursos provenientes del Presupuesto General de la Nación por medio de contrataciones de obra pública, tendrán la obligación de utilizar los pliegos, contratos o apéndices tipo expedidos aquí.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Colombia Compra Eficiente se encarga de expedir pliegos, apéndices y contratos tipo para que puedan servir de guía de contratación para toda entidad estatal, y con el objetivo de agilizar la búsqueda de los mismos, esta entidad cuenta con un buscador que sirve para filtrar por temas (por ejemplo: acuerdos comerciales, codificación de bienes y servicios, garantías, incentivos, etcétera) o por palabra clave. Recomendamos el uso de esta herramienta para encontrar rápidamente lo que buscas.</w:t>
      </w:r>
    </w:p>
    <w:p>
      <w:pPr>
        <w:pStyle w:val="BodyText"/>
        <w:widowControl/>
        <w:pBdr/>
        <w:bidi w:val="0"/>
        <w:spacing w:lineRule="auto" w:line="384" w:before="0" w:after="0"/>
        <w:ind w:hanging="0" w:start="0" w:end="0"/>
        <w:jc w:val="start"/>
        <w:rPr/>
      </w:pPr>
      <w:r>
        <w:rPr>
          <w:rFonts w:ascii="Poppins;sans-serif" w:hAnsi="Poppins;sans-serif"/>
          <w:b w:val="false"/>
          <w:i/>
          <w:caps w:val="false"/>
          <w:smallCaps w:val="false"/>
          <w:color w:val="181818"/>
          <w:spacing w:val="0"/>
          <w:sz w:val="27"/>
        </w:rPr>
        <w:t>En resumen, dentro de la Agencia Nacional de Contratación - Colombia Compra Eficiente podrás acceder por medio de </w:t>
      </w:r>
      <w:hyperlink r:id="rId8" w:tgtFrame="_blank">
        <w:r>
          <w:rPr>
            <w:rStyle w:val="Hyperlink"/>
            <w:rFonts w:ascii="Poppins;sans-serif" w:hAnsi="Poppins;sans-serif"/>
            <w:b/>
            <w:i/>
            <w:caps w:val="false"/>
            <w:smallCaps w:val="false"/>
            <w:strike w:val="false"/>
            <w:dstrike w:val="false"/>
            <w:color w:val="0183E4"/>
            <w:spacing w:val="0"/>
            <w:sz w:val="27"/>
            <w:u w:val="none"/>
            <w:effect w:val="none"/>
          </w:rPr>
          <w:t>SECOP II</w:t>
        </w:r>
      </w:hyperlink>
      <w:r>
        <w:rPr>
          <w:rFonts w:ascii="Poppins;sans-serif" w:hAnsi="Poppins;sans-serif"/>
          <w:b w:val="false"/>
          <w:i w:val="false"/>
          <w:caps w:val="false"/>
          <w:smallCaps w:val="false"/>
          <w:color w:val="181818"/>
          <w:spacing w:val="0"/>
          <w:sz w:val="27"/>
        </w:rPr>
        <w:t> </w:t>
      </w:r>
      <w:r>
        <w:rPr>
          <w:rFonts w:ascii="Poppins;sans-serif" w:hAnsi="Poppins;sans-serif"/>
          <w:b w:val="false"/>
          <w:i/>
          <w:caps w:val="false"/>
          <w:smallCaps w:val="false"/>
          <w:color w:val="181818"/>
          <w:spacing w:val="0"/>
          <w:sz w:val="27"/>
        </w:rPr>
        <w:t>a manuales y guías para entidades estatales; guías para proveedores; y por último, a manuales, guías y documentos tipo no contemplados en las dos categorías anteriores. Esperamos que esta información te resulte de suma utilidad.</w:t>
      </w:r>
    </w:p>
    <w:p>
      <w:pPr>
        <w:pStyle w:val="Heading2"/>
        <w:pBdr/>
        <w:bidi w:val="0"/>
        <w:spacing w:lineRule="auto" w:line="274" w:before="0" w:after="140"/>
        <w:ind w:hanging="0" w:start="0" w:end="0"/>
        <w:jc w:val="start"/>
        <w:rPr>
          <w:rFonts w:ascii="Poppins;sans-serif" w:hAnsi="Poppins;sans-serif"/>
          <w:b/>
          <w:i w:val="false"/>
          <w:caps w:val="false"/>
          <w:smallCaps w:val="false"/>
          <w:color w:val="181818"/>
          <w:spacing w:val="0"/>
          <w:sz w:val="48"/>
        </w:rPr>
      </w:pPr>
      <w:bookmarkStart w:id="7" w:name="como_realizar_el_registro_en_secop_ii_pa"/>
      <w:bookmarkEnd w:id="7"/>
      <w:r>
        <w:rPr>
          <w:rFonts w:ascii="Poppins;sans-serif" w:hAnsi="Poppins;sans-serif"/>
          <w:b/>
          <w:i w:val="false"/>
          <w:caps w:val="false"/>
          <w:smallCaps w:val="false"/>
          <w:color w:val="181818"/>
          <w:spacing w:val="0"/>
          <w:sz w:val="48"/>
        </w:rPr>
        <w:t>Cómo realizar el registro en SECOP II para proveedores</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A través de esta guía aprenderás a realizar un registro en SECOP II, además de la creación de una cuenta de proveedor. Una vez que crees tu cuenta, podrás participar en los procesos de contratación que ofrece la plataforma.</w:t>
      </w:r>
    </w:p>
    <w:p>
      <w:pPr>
        <w:pStyle w:val="Heading3"/>
        <w:widowControl/>
        <w:pBdr/>
        <w:bidi w:val="0"/>
        <w:spacing w:lineRule="auto" w:line="312" w:before="0" w:after="0"/>
        <w:ind w:hanging="0" w:start="0" w:end="0"/>
        <w:jc w:val="start"/>
        <w:rPr>
          <w:rFonts w:ascii="Poppins;sans-serif" w:hAnsi="Poppins;sans-serif"/>
          <w:b/>
          <w:i w:val="false"/>
          <w:caps w:val="false"/>
          <w:smallCaps w:val="false"/>
          <w:color w:val="181818"/>
          <w:spacing w:val="0"/>
          <w:sz w:val="42"/>
        </w:rPr>
      </w:pPr>
      <w:bookmarkStart w:id="8" w:name="cual_es_la_documentacion_requerida_para_"/>
      <w:bookmarkEnd w:id="8"/>
      <w:r>
        <w:rPr>
          <w:rFonts w:ascii="Poppins;sans-serif" w:hAnsi="Poppins;sans-serif"/>
          <w:b/>
          <w:i w:val="false"/>
          <w:caps w:val="false"/>
          <w:smallCaps w:val="false"/>
          <w:color w:val="181818"/>
          <w:spacing w:val="0"/>
          <w:sz w:val="42"/>
        </w:rPr>
        <w:t>¿Cuál es la documentación requerida para hacer el registro de la cuenta de Proveedor?</w:t>
      </w:r>
    </w:p>
    <w:p>
      <w:pPr>
        <w:pStyle w:val="BodyText"/>
        <w:widowControl/>
        <w:numPr>
          <w:ilvl w:val="0"/>
          <w:numId w:val="9"/>
        </w:numPr>
        <w:pBdr/>
        <w:tabs>
          <w:tab w:val="clear" w:pos="709"/>
          <w:tab w:val="left" w:pos="0" w:leader="none"/>
        </w:tabs>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Certificación de existencia y cédula (en caso de ser persona natural) o representación legal.</w:t>
      </w:r>
    </w:p>
    <w:p>
      <w:pPr>
        <w:pStyle w:val="BodyText"/>
        <w:widowControl/>
        <w:numPr>
          <w:ilvl w:val="0"/>
          <w:numId w:val="9"/>
        </w:numPr>
        <w:pBdr/>
        <w:tabs>
          <w:tab w:val="clear" w:pos="709"/>
          <w:tab w:val="left" w:pos="0" w:leader="none"/>
        </w:tabs>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Certificación de experiencia.</w:t>
      </w:r>
    </w:p>
    <w:p>
      <w:pPr>
        <w:pStyle w:val="BodyText"/>
        <w:widowControl/>
        <w:numPr>
          <w:ilvl w:val="0"/>
          <w:numId w:val="9"/>
        </w:numPr>
        <w:pBdr/>
        <w:tabs>
          <w:tab w:val="clear" w:pos="709"/>
          <w:tab w:val="left" w:pos="0" w:leader="none"/>
        </w:tabs>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Auditoría de los estados financieros a partir del 31 de diciembre del anterior año, suscrito con notas por el representante legal.</w:t>
      </w:r>
    </w:p>
    <w:p>
      <w:pPr>
        <w:pStyle w:val="BodyText"/>
        <w:widowControl/>
        <w:numPr>
          <w:ilvl w:val="0"/>
          <w:numId w:val="9"/>
        </w:numPr>
        <w:pBdr/>
        <w:tabs>
          <w:tab w:val="clear" w:pos="709"/>
          <w:tab w:val="left" w:pos="0" w:leader="none"/>
        </w:tabs>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Certificación de capacidad organizacional y financiera.</w:t>
      </w:r>
    </w:p>
    <w:p>
      <w:pPr>
        <w:pStyle w:val="BodyText"/>
        <w:widowControl/>
        <w:numPr>
          <w:ilvl w:val="0"/>
          <w:numId w:val="9"/>
        </w:numPr>
        <w:pBdr/>
        <w:tabs>
          <w:tab w:val="clear" w:pos="709"/>
          <w:tab w:val="left" w:pos="0" w:leader="none"/>
        </w:tabs>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De manera opcional, el RUP. </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Podrás descargar en </w:t>
      </w:r>
      <w:r>
        <w:rPr>
          <w:rFonts w:ascii="Poppins;sans-serif" w:hAnsi="Poppins;sans-serif"/>
          <w:b/>
          <w:i w:val="false"/>
          <w:caps w:val="false"/>
          <w:smallCaps w:val="false"/>
          <w:color w:val="181818"/>
          <w:spacing w:val="0"/>
          <w:sz w:val="27"/>
        </w:rPr>
        <w:t>SECOP II</w:t>
      </w:r>
      <w:r>
        <w:rPr>
          <w:rFonts w:ascii="Poppins;sans-serif" w:hAnsi="Poppins;sans-serif"/>
          <w:b w:val="false"/>
          <w:i w:val="false"/>
          <w:caps w:val="false"/>
          <w:smallCaps w:val="false"/>
          <w:color w:val="181818"/>
          <w:spacing w:val="0"/>
          <w:sz w:val="27"/>
        </w:rPr>
        <w:t> los </w:t>
      </w:r>
      <w:r>
        <w:rPr>
          <w:rFonts w:ascii="Poppins;sans-serif" w:hAnsi="Poppins;sans-serif"/>
          <w:b/>
          <w:i w:val="false"/>
          <w:caps w:val="false"/>
          <w:smallCaps w:val="false"/>
          <w:color w:val="181818"/>
          <w:spacing w:val="0"/>
          <w:sz w:val="27"/>
        </w:rPr>
        <w:t>formatos</w:t>
      </w:r>
      <w:r>
        <w:rPr>
          <w:rFonts w:ascii="Poppins;sans-serif" w:hAnsi="Poppins;sans-serif"/>
          <w:b w:val="false"/>
          <w:i w:val="false"/>
          <w:caps w:val="false"/>
          <w:smallCaps w:val="false"/>
          <w:color w:val="181818"/>
          <w:spacing w:val="0"/>
          <w:sz w:val="27"/>
        </w:rPr>
        <w:t> para la certificación de experiencia y los indicadores de capacidad organizacional y financiera haciendo </w:t>
      </w:r>
      <w:hyperlink r:id="rId9" w:tgtFrame="_blank">
        <w:r>
          <w:rPr>
            <w:rStyle w:val="Hyperlink"/>
            <w:rFonts w:ascii="Poppins;sans-serif" w:hAnsi="Poppins;sans-serif"/>
            <w:b/>
            <w:i w:val="false"/>
            <w:caps w:val="false"/>
            <w:smallCaps w:val="false"/>
            <w:strike w:val="false"/>
            <w:dstrike w:val="false"/>
            <w:color w:val="0183E4"/>
            <w:spacing w:val="0"/>
            <w:sz w:val="27"/>
            <w:u w:val="none"/>
            <w:effect w:val="none"/>
          </w:rPr>
          <w:t>clic aquí</w:t>
        </w:r>
      </w:hyperlink>
      <w:r>
        <w:rPr>
          <w:rFonts w:ascii="Poppins;sans-serif" w:hAnsi="Poppins;sans-serif"/>
          <w:b w:val="false"/>
          <w:i w:val="false"/>
          <w:caps w:val="false"/>
          <w:smallCaps w:val="false"/>
          <w:color w:val="181818"/>
          <w:spacing w:val="0"/>
          <w:sz w:val="27"/>
        </w:rPr>
        <w:t>, más precisamente en el área de "Formatos" y luego "Proveedores".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En caso de que seas una persona natural sin obligación de llevar contabilidad, podrás anexar una constancia donde se indique esta situación, que es igual a los indicadores de capacidad organizacional y financiera y los estados financieros.</w:t>
      </w:r>
    </w:p>
    <w:p>
      <w:pPr>
        <w:pStyle w:val="Heading3"/>
        <w:widowControl/>
        <w:pBdr/>
        <w:bidi w:val="0"/>
        <w:spacing w:lineRule="auto" w:line="312" w:before="0" w:after="0"/>
        <w:ind w:hanging="0" w:start="0" w:end="0"/>
        <w:jc w:val="start"/>
        <w:rPr>
          <w:rFonts w:ascii="Poppins;sans-serif" w:hAnsi="Poppins;sans-serif"/>
          <w:b/>
          <w:i w:val="false"/>
          <w:caps w:val="false"/>
          <w:smallCaps w:val="false"/>
          <w:color w:val="181818"/>
          <w:spacing w:val="0"/>
          <w:sz w:val="42"/>
        </w:rPr>
      </w:pPr>
      <w:bookmarkStart w:id="9" w:name="como_hago_para_registrarme_en_el_secop_i"/>
      <w:bookmarkEnd w:id="9"/>
      <w:r>
        <w:rPr>
          <w:rFonts w:ascii="Poppins;sans-serif" w:hAnsi="Poppins;sans-serif"/>
          <w:b/>
          <w:i w:val="false"/>
          <w:caps w:val="false"/>
          <w:smallCaps w:val="false"/>
          <w:color w:val="181818"/>
          <w:spacing w:val="0"/>
          <w:sz w:val="42"/>
        </w:rPr>
        <w:t>¿Cómo hago para registrarme en el SECOP II? </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Tal como hemos explicado en la </w:t>
      </w:r>
      <w:hyperlink r:id="rId10" w:tgtFrame="_blank">
        <w:r>
          <w:rPr>
            <w:rStyle w:val="Hyperlink"/>
            <w:rFonts w:ascii="Poppins;sans-serif" w:hAnsi="Poppins;sans-serif"/>
            <w:b/>
            <w:i w:val="false"/>
            <w:caps w:val="false"/>
            <w:smallCaps w:val="false"/>
            <w:strike w:val="false"/>
            <w:dstrike w:val="false"/>
            <w:color w:val="0183E4"/>
            <w:spacing w:val="0"/>
            <w:sz w:val="27"/>
            <w:u w:val="none"/>
            <w:effect w:val="none"/>
          </w:rPr>
          <w:t>página principal</w:t>
        </w:r>
      </w:hyperlink>
      <w:r>
        <w:rPr>
          <w:rFonts w:ascii="Poppins;sans-serif" w:hAnsi="Poppins;sans-serif"/>
          <w:b w:val="false"/>
          <w:i w:val="false"/>
          <w:caps w:val="false"/>
          <w:smallCaps w:val="false"/>
          <w:color w:val="181818"/>
          <w:spacing w:val="0"/>
          <w:sz w:val="27"/>
        </w:rPr>
        <w:t>, el registro de usuario es igual tanto para compradores como para proveedores y allí están sus respectivos pasos. Por lo tanto, aquí solo vamos a explicar todo lo relacionado al registro de proveedores.</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Una vez creada tu cuenta de usuario administrador, deberás realizar la creación o solicitud de acceso a una entidad. Luego deberás completar con información de contacto y datos generales la cuenta de proveedor. Después, se debe anexar la documentación requerida para hacer el registro de esta cuenta.</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Finalizada la creación de la cuenta de usuario proveedor, deberás pedir el acceso a la cuenta empresarial en la que trabajas. Cuando SECOP II encuentre esta cuenta, te dará la posibilidad de hacer clic en la opción de "Solicitud de acceso". De esta manera le indicas a SECOP II que ya podrás hacer uso de tu usuario y actuar como proveedor desde esta cuenta. También está la opción de tener acceso a más de una cuenta de empresas, una vez que los usuarios administradores de dichas cuentas acepten tu solicitud.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Terminado con el proceso de solicitud de acceso, se puede dar aceptación a las solicitudes de ingreso a otros usuarios proveedores, ya que eres usuario administrador responsable del acceso de otros usuarios proveedores que soliciten ingresar a esta cuenta. </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conocer detalladamente y realizar estos pasos exitosamente, puedes acceder a la </w:t>
      </w:r>
      <w:hyperlink r:id="rId11" w:tgtFrame="_blank">
        <w:r>
          <w:rPr>
            <w:rStyle w:val="Hyperlink"/>
            <w:rFonts w:ascii="Poppins;sans-serif" w:hAnsi="Poppins;sans-serif"/>
            <w:b/>
            <w:i w:val="false"/>
            <w:caps w:val="false"/>
            <w:smallCaps w:val="false"/>
            <w:strike w:val="false"/>
            <w:dstrike w:val="false"/>
            <w:color w:val="0183E4"/>
            <w:spacing w:val="0"/>
            <w:sz w:val="27"/>
            <w:u w:val="none"/>
            <w:effect w:val="none"/>
          </w:rPr>
          <w:t>guía de SECOP II para registro de proveedores</w:t>
        </w:r>
      </w:hyperlink>
      <w:r>
        <w:rPr>
          <w:rFonts w:ascii="Poppins;sans-serif" w:hAnsi="Poppins;sans-serif"/>
          <w:b w:val="false"/>
          <w:i w:val="false"/>
          <w:caps w:val="false"/>
          <w:smallCaps w:val="false"/>
          <w:color w:val="181818"/>
          <w:spacing w:val="0"/>
          <w:sz w:val="27"/>
        </w:rPr>
        <w:t>.</w:t>
      </w:r>
    </w:p>
    <w:p>
      <w:pPr>
        <w:pStyle w:val="Heading2"/>
        <w:widowControl/>
        <w:pBdr/>
        <w:bidi w:val="0"/>
        <w:spacing w:lineRule="auto" w:line="312" w:before="0" w:after="0"/>
        <w:ind w:hanging="0" w:start="0" w:end="0"/>
        <w:jc w:val="start"/>
        <w:rPr>
          <w:rFonts w:ascii="Poppins;sans-serif" w:hAnsi="Poppins;sans-serif"/>
          <w:b/>
          <w:i w:val="false"/>
          <w:caps w:val="false"/>
          <w:smallCaps w:val="false"/>
          <w:color w:val="181818"/>
          <w:spacing w:val="0"/>
          <w:sz w:val="48"/>
        </w:rPr>
      </w:pPr>
      <w:bookmarkStart w:id="10" w:name="secop_ii_ofertas_guia_para_presentarlas"/>
      <w:bookmarkEnd w:id="10"/>
      <w:r>
        <w:rPr>
          <w:rFonts w:ascii="Poppins;sans-serif" w:hAnsi="Poppins;sans-serif"/>
          <w:b/>
          <w:i w:val="false"/>
          <w:caps w:val="false"/>
          <w:smallCaps w:val="false"/>
          <w:color w:val="181818"/>
          <w:spacing w:val="0"/>
          <w:sz w:val="48"/>
        </w:rPr>
        <w:t>SECOP II ofertas: Guía para presentarlas</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Mediante esta guía aprenderás a presentar ofertas en SECOP II. Recuerda que para realizar esto, deberás contar con la creación de una cuenta con usuarios asociados a esta. </w:t>
      </w:r>
    </w:p>
    <w:p>
      <w:pPr>
        <w:pStyle w:val="BodyText"/>
        <w:widowControl/>
        <w:pBdr/>
        <w:bidi w:val="0"/>
        <w:spacing w:lineRule="auto" w:line="384" w:before="0" w:after="0"/>
        <w:ind w:hanging="0" w:start="0" w:end="0"/>
        <w:jc w:val="start"/>
        <w:rPr>
          <w:rFonts w:ascii="Poppins;sans-serif" w:hAnsi="Poppins;sans-serif"/>
          <w:b w:val="false"/>
          <w:i/>
          <w:caps w:val="false"/>
          <w:smallCaps w:val="false"/>
          <w:color w:val="181818"/>
          <w:spacing w:val="0"/>
          <w:sz w:val="27"/>
        </w:rPr>
      </w:pPr>
      <w:r>
        <w:rPr>
          <w:rFonts w:ascii="Poppins;sans-serif" w:hAnsi="Poppins;sans-serif"/>
          <w:b w:val="false"/>
          <w:i/>
          <w:caps w:val="false"/>
          <w:smallCaps w:val="false"/>
          <w:color w:val="181818"/>
          <w:spacing w:val="0"/>
          <w:sz w:val="27"/>
        </w:rPr>
        <w:t>Importante: Si se trata de una contratación de selección abreviada de menor cuantía, deberás manifestar interés de manera previa a través de SECOP II para poder presentar la oferta. En caso de que presentes tu oferta como proponente plural, tendrás que realizar el consorcio o la unión temporal mediante el SECOP II y hacer la presentación de la oferta a través de esa cuenta.</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Dicho esto, para presentar una oferta, primero debemos empezar buscando procesos de contratación. Aquí puedes seguir los pasos mencionados en la página principal de este sitio, en la parte de "Búsqueda de procesos".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Una vez encontrado el proceso de contratación que sea de tu interés, deberás suscribirte al mismo. Cuando ya estés suscrito, tendrás que presentar la oferta con la documentación o requerimientos que la entidad estatal pida.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También tienes la opción de modificar la oferta antes de la fecha límite de presentación. En este caso, la plataforma de SECOP II te solicitará que quites la oferta que has presentado anteriormente para enviar la nueva versión.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Además, cuentas también con la alternativa de retirar de manera definitiva la oferta. Es importante que sepas que solo podrás retirar la oferta previamente a la fecha límite de presentación de ofertas.</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conocer detalladamente y realizar estos pasos exitosamente, puedes acceder a la </w:t>
      </w:r>
      <w:hyperlink r:id="rId12" w:tgtFrame="_blank">
        <w:r>
          <w:rPr>
            <w:rStyle w:val="Hyperlink"/>
            <w:rFonts w:ascii="Poppins;sans-serif" w:hAnsi="Poppins;sans-serif"/>
            <w:b/>
            <w:i w:val="false"/>
            <w:caps w:val="false"/>
            <w:smallCaps w:val="false"/>
            <w:strike w:val="false"/>
            <w:dstrike w:val="false"/>
            <w:color w:val="0183E4"/>
            <w:spacing w:val="0"/>
            <w:sz w:val="27"/>
            <w:u w:val="none"/>
            <w:effect w:val="none"/>
          </w:rPr>
          <w:t>Guía de SECOP II para presentar ofertas</w:t>
        </w:r>
      </w:hyperlink>
      <w:r>
        <w:rPr>
          <w:rFonts w:ascii="Poppins;sans-serif" w:hAnsi="Poppins;sans-serif"/>
          <w:b w:val="false"/>
          <w:i w:val="false"/>
          <w:caps w:val="false"/>
          <w:smallCaps w:val="false"/>
          <w:color w:val="181818"/>
          <w:spacing w:val="0"/>
          <w:sz w:val="27"/>
        </w:rPr>
        <w:t>.</w:t>
      </w:r>
    </w:p>
    <w:p>
      <w:pPr>
        <w:pStyle w:val="Heading2"/>
        <w:widowControl/>
        <w:pBdr/>
        <w:bidi w:val="0"/>
        <w:spacing w:lineRule="auto" w:line="312" w:before="0" w:after="0"/>
        <w:ind w:hanging="0" w:start="0" w:end="0"/>
        <w:jc w:val="start"/>
        <w:rPr>
          <w:rFonts w:ascii="Poppins;sans-serif" w:hAnsi="Poppins;sans-serif"/>
          <w:b/>
          <w:i w:val="false"/>
          <w:caps w:val="false"/>
          <w:smallCaps w:val="false"/>
          <w:color w:val="181818"/>
          <w:spacing w:val="0"/>
          <w:sz w:val="48"/>
        </w:rPr>
      </w:pPr>
      <w:bookmarkStart w:id="11" w:name="guia_para_presentar_observaciones_en_el_"/>
      <w:bookmarkEnd w:id="11"/>
      <w:r>
        <w:rPr>
          <w:rFonts w:ascii="Poppins;sans-serif" w:hAnsi="Poppins;sans-serif"/>
          <w:b/>
          <w:i w:val="false"/>
          <w:caps w:val="false"/>
          <w:smallCaps w:val="false"/>
          <w:color w:val="181818"/>
          <w:spacing w:val="0"/>
          <w:sz w:val="48"/>
        </w:rPr>
        <w:t>Guía para presentar observaciones en el SECOP II</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Con esta guía aprenderás cómo realizar observaciones a los pliegos borradores y definitivos de los procesos contractuales y del informe de evaluación.</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Primero debemos empezar buscando procesos de contratación. Aquí puedes seguir los pasos mencionados en la página principal de este sitio, en la parte de "Búsqueda de procesos".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Una vez encontrado el proceso de contratación que sea de tu interés, deberás suscribirte al mismo. Cuando ya estés suscrito, podrás crear observaciones a los pliegos del proceso contractual, teniendo en cuenta la fecha límite para presentarlas (se deben presentar antes de que finalice esta fecha). Tanto las observaciones como las respuestas de la entidad estatal son públicas, para que el público pueda consultarlas.</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Como ya hemos mencionado más arriba, también cuentas con la facultad de presentar observaciones al informe de evaluación cuando la entidad estatal lo publique. Las observaciones y las respuestas a estas también son públicas.</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conocer detalladamente y realizar estos pasos exitosamente, puedes acceder a la </w:t>
      </w:r>
      <w:hyperlink r:id="rId13" w:tgtFrame="_blank">
        <w:r>
          <w:rPr>
            <w:rStyle w:val="Hyperlink"/>
            <w:rFonts w:ascii="Poppins;sans-serif" w:hAnsi="Poppins;sans-serif"/>
            <w:b/>
            <w:i w:val="false"/>
            <w:caps w:val="false"/>
            <w:smallCaps w:val="false"/>
            <w:strike w:val="false"/>
            <w:dstrike w:val="false"/>
            <w:color w:val="0183E4"/>
            <w:spacing w:val="0"/>
            <w:sz w:val="27"/>
            <w:u w:val="none"/>
            <w:effect w:val="none"/>
          </w:rPr>
          <w:t>Guía de SECOP II para presentar observaciones</w:t>
        </w:r>
      </w:hyperlink>
      <w:r>
        <w:rPr>
          <w:rFonts w:ascii="Poppins;sans-serif" w:hAnsi="Poppins;sans-serif"/>
          <w:b w:val="false"/>
          <w:i w:val="false"/>
          <w:caps w:val="false"/>
          <w:smallCaps w:val="false"/>
          <w:color w:val="181818"/>
          <w:spacing w:val="0"/>
          <w:sz w:val="27"/>
        </w:rPr>
        <w:t>.</w:t>
      </w:r>
    </w:p>
    <w:p>
      <w:pPr>
        <w:pStyle w:val="Heading2"/>
        <w:widowControl/>
        <w:pBdr/>
        <w:bidi w:val="0"/>
        <w:spacing w:lineRule="auto" w:line="312" w:before="0" w:after="0"/>
        <w:ind w:hanging="0" w:start="0" w:end="0"/>
        <w:jc w:val="start"/>
        <w:rPr>
          <w:rFonts w:ascii="Poppins;sans-serif" w:hAnsi="Poppins;sans-serif"/>
          <w:b/>
          <w:i w:val="false"/>
          <w:caps w:val="false"/>
          <w:smallCaps w:val="false"/>
          <w:color w:val="181818"/>
          <w:spacing w:val="0"/>
          <w:sz w:val="48"/>
        </w:rPr>
      </w:pPr>
      <w:bookmarkStart w:id="12" w:name="guia_para_manifestar_interes_en_secop_ii"/>
      <w:bookmarkEnd w:id="12"/>
      <w:r>
        <w:rPr>
          <w:rFonts w:ascii="Poppins;sans-serif" w:hAnsi="Poppins;sans-serif"/>
          <w:b/>
          <w:i w:val="false"/>
          <w:caps w:val="false"/>
          <w:smallCaps w:val="false"/>
          <w:color w:val="181818"/>
          <w:spacing w:val="0"/>
          <w:sz w:val="48"/>
        </w:rPr>
        <w:t>Guía para manifestar interés en SECOP II</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Aquí aprenderás </w:t>
      </w:r>
      <w:r>
        <w:rPr>
          <w:rFonts w:ascii="Poppins;sans-serif" w:hAnsi="Poppins;sans-serif"/>
          <w:b/>
          <w:i w:val="false"/>
          <w:caps w:val="false"/>
          <w:smallCaps w:val="false"/>
          <w:color w:val="181818"/>
          <w:spacing w:val="0"/>
          <w:sz w:val="27"/>
        </w:rPr>
        <w:t>cómo manifestar interés en SECOP II</w:t>
      </w:r>
      <w:r>
        <w:rPr>
          <w:rFonts w:ascii="Poppins;sans-serif" w:hAnsi="Poppins;sans-serif"/>
          <w:b w:val="false"/>
          <w:i w:val="false"/>
          <w:caps w:val="false"/>
          <w:smallCaps w:val="false"/>
          <w:color w:val="181818"/>
          <w:spacing w:val="0"/>
          <w:sz w:val="27"/>
        </w:rPr>
        <w:t> en un proceso de Selección Abreviada de Menor Cuantía.</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Para ello, primero debes empezar buscando el proceso de contratación que sea de tu interés. Aquí puedes seguir los pasos mencionados en la página principal de este sitio, en la parte de "Búsqueda de procesos".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Finalmente, si ya encontraste el proceso de contratación que te interesa, debes suscribirte y manifestar interés en el mismo antes del vencimiento del plazo.</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conocer detalladamente y realizar estos pasos exitosamente, puedes acceder a la </w:t>
      </w:r>
      <w:hyperlink r:id="rId14" w:tgtFrame="_blank">
        <w:r>
          <w:rPr>
            <w:rStyle w:val="Hyperlink"/>
            <w:rFonts w:ascii="Poppins;sans-serif" w:hAnsi="Poppins;sans-serif"/>
            <w:b/>
            <w:i w:val="false"/>
            <w:caps w:val="false"/>
            <w:smallCaps w:val="false"/>
            <w:strike w:val="false"/>
            <w:dstrike w:val="false"/>
            <w:color w:val="0183E4"/>
            <w:spacing w:val="0"/>
            <w:sz w:val="27"/>
            <w:u w:val="none"/>
            <w:effect w:val="none"/>
          </w:rPr>
          <w:t>Guía para manifestar interés en SECOP II</w:t>
        </w:r>
      </w:hyperlink>
      <w:r>
        <w:rPr>
          <w:rFonts w:ascii="Poppins;sans-serif" w:hAnsi="Poppins;sans-serif"/>
          <w:b w:val="false"/>
          <w:i w:val="false"/>
          <w:caps w:val="false"/>
          <w:smallCaps w:val="false"/>
          <w:color w:val="181818"/>
          <w:spacing w:val="0"/>
          <w:sz w:val="27"/>
        </w:rPr>
        <w:t>.</w:t>
      </w:r>
    </w:p>
    <w:p>
      <w:pPr>
        <w:pStyle w:val="Heading2"/>
        <w:widowControl/>
        <w:pBdr/>
        <w:bidi w:val="0"/>
        <w:spacing w:lineRule="auto" w:line="312" w:before="0" w:after="0"/>
        <w:ind w:hanging="0" w:start="0" w:end="0"/>
        <w:jc w:val="start"/>
        <w:rPr>
          <w:rFonts w:ascii="Poppins;sans-serif" w:hAnsi="Poppins;sans-serif"/>
          <w:b/>
          <w:i w:val="false"/>
          <w:caps w:val="false"/>
          <w:smallCaps w:val="false"/>
          <w:color w:val="181818"/>
          <w:spacing w:val="0"/>
          <w:sz w:val="48"/>
        </w:rPr>
      </w:pPr>
      <w:bookmarkStart w:id="13" w:name="guia_de_gestion_contractual_para_proveed"/>
      <w:bookmarkEnd w:id="13"/>
      <w:r>
        <w:rPr>
          <w:rFonts w:ascii="Poppins;sans-serif" w:hAnsi="Poppins;sans-serif"/>
          <w:b/>
          <w:i w:val="false"/>
          <w:caps w:val="false"/>
          <w:smallCaps w:val="false"/>
          <w:color w:val="181818"/>
          <w:spacing w:val="0"/>
          <w:sz w:val="48"/>
        </w:rPr>
        <w:t>Guía de gestión contractual para proveedores</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Aquí aprenderás a conseguir la aprobación de contratos en SECOP II, realizar el envío de garantías requeridas por el ente estatal, adjuntar sus facturas y lograr la aprobación de las modificaciones contractuales.</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Para ello, primero tienes que ingresar al gestor de contratos con tu cuenta de proveedor. Dentro del gestor de contratos podrás observar todos los contratos que ya han tenido adjudicación por medio del SECOP II.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Luego, se debe llevar adelante la revisión y aprobación del contrato. Dicho contrato estará dividido en 9 partes, las cuales tendrán bloqueadas a las últimas 2 hasta que aparezca el estatus de "firmado" dentro del contrato electrónico.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Una vez que apruebes el contrato, será enviado al ente estatal para que lo publique. De esta manera quedará para el conocimiento general del público y se desbloquearán las últimas dos secciones, que comprenden a "Incumplimientos" y "Modificaciones del contrato".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Ya realizada la revisión y aprobación del contrato, se procede al envío de garantías. En este momento, el proveedor deberá enviar a través de la plataforma las garantías a la entidad estatal, por lo tanto, debes encargarte de ello. Dicha garantía quedará en el estatus de "Pendiente" hasta que el ente del estado haga la revisión y aprobación de la misma.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El próximo paso es realizar el envío de facturas. Antes de proceder a la carga de la factura, tienes que radicar la misma dentro de la entidad estatal y conseguir el número de radicación. Cuando el ente estatal acepte la factura, aparecerá el estatus de "Aceptada" y cuando realices el pago se modificará a "Pagado". </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val="false"/>
          <w:caps w:val="false"/>
          <w:smallCaps w:val="false"/>
          <w:color w:val="181818"/>
          <w:spacing w:val="0"/>
          <w:sz w:val="27"/>
        </w:rPr>
        <w:t>Por último, se deben aprobar las modificaciones al contrato. Para ello, la entidad estatal deberá enviarte la modificación (en caso de modificar el contrato) para que la pruebes. De esta manera, el contrato aparecerá con el estatus de "En modificación". Como proveedor, deberás ingresar al contrato para tener conocimiento de las modificaciones y aprobarlas, o también hacer los cambios que precises. Estas modificaciones son enviadas nuevamente al ente estatal para que finalmente le dé su aprobación y haga la publicación definitiva.</w:t>
      </w:r>
    </w:p>
    <w:p>
      <w:pPr>
        <w:pStyle w:val="BodyText"/>
        <w:widowControl/>
        <w:pBdr/>
        <w:bidi w:val="0"/>
        <w:spacing w:lineRule="auto" w:line="384" w:before="0" w:after="0"/>
        <w:ind w:hanging="0" w:start="0" w:end="0"/>
        <w:jc w:val="start"/>
        <w:rPr/>
      </w:pPr>
      <w:r>
        <w:rPr>
          <w:rFonts w:ascii="Poppins;sans-serif" w:hAnsi="Poppins;sans-serif"/>
          <w:b w:val="false"/>
          <w:i w:val="false"/>
          <w:caps w:val="false"/>
          <w:smallCaps w:val="false"/>
          <w:color w:val="181818"/>
          <w:spacing w:val="0"/>
          <w:sz w:val="27"/>
        </w:rPr>
        <w:t>Para conocer detalladamente y realizar estos pasos exitosamente, puedes acceder a la </w:t>
      </w:r>
      <w:hyperlink r:id="rId15" w:tgtFrame="_blank">
        <w:r>
          <w:rPr>
            <w:rStyle w:val="Hyperlink"/>
            <w:rFonts w:ascii="Poppins;sans-serif" w:hAnsi="Poppins;sans-serif"/>
            <w:b/>
            <w:i w:val="false"/>
            <w:caps w:val="false"/>
            <w:smallCaps w:val="false"/>
            <w:strike w:val="false"/>
            <w:dstrike w:val="false"/>
            <w:color w:val="0183E4"/>
            <w:spacing w:val="0"/>
            <w:sz w:val="27"/>
            <w:u w:val="none"/>
            <w:effect w:val="none"/>
          </w:rPr>
          <w:t>Guía de gestión contractual en SECOP II</w:t>
        </w:r>
      </w:hyperlink>
      <w:r>
        <w:rPr>
          <w:rFonts w:ascii="Poppins;sans-serif" w:hAnsi="Poppins;sans-serif"/>
          <w:b w:val="false"/>
          <w:i w:val="false"/>
          <w:caps w:val="false"/>
          <w:smallCaps w:val="false"/>
          <w:color w:val="181818"/>
          <w:spacing w:val="0"/>
          <w:sz w:val="27"/>
        </w:rPr>
        <w:t>.</w:t>
      </w:r>
    </w:p>
    <w:p>
      <w:pPr>
        <w:pStyle w:val="BodyText"/>
        <w:widowControl/>
        <w:pBdr/>
        <w:bidi w:val="0"/>
        <w:spacing w:lineRule="auto" w:line="384" w:before="0" w:after="0"/>
        <w:ind w:hanging="0" w:start="0" w:end="0"/>
        <w:jc w:val="start"/>
        <w:rPr>
          <w:rFonts w:ascii="Poppins;sans-serif" w:hAnsi="Poppins;sans-serif"/>
          <w:b w:val="false"/>
          <w:i w:val="false"/>
          <w:caps w:val="false"/>
          <w:smallCaps w:val="false"/>
          <w:color w:val="181818"/>
          <w:spacing w:val="0"/>
          <w:sz w:val="27"/>
        </w:rPr>
      </w:pPr>
      <w:r>
        <w:rPr>
          <w:rFonts w:ascii="Poppins;sans-serif" w:hAnsi="Poppins;sans-serif"/>
          <w:b w:val="false"/>
          <w:i/>
          <w:caps w:val="false"/>
          <w:smallCaps w:val="false"/>
          <w:color w:val="181818"/>
          <w:spacing w:val="0"/>
          <w:sz w:val="27"/>
        </w:rPr>
        <w:t>Esperamos que te hayan sido de suma utilidad todas estas guías de SECOP II para proveedores. En caso de tener más dudas o consultas por realizar, puedes acudir a la </w:t>
      </w:r>
      <w:r>
        <w:rPr>
          <w:rFonts w:ascii="Poppins;sans-serif" w:hAnsi="Poppins;sans-serif"/>
          <w:b/>
          <w:i/>
          <w:caps w:val="false"/>
          <w:smallCaps w:val="false"/>
          <w:color w:val="181818"/>
          <w:spacing w:val="0"/>
          <w:sz w:val="27"/>
        </w:rPr>
        <w:t>mesa de ayuda de SECOP II</w:t>
      </w:r>
      <w:r>
        <w:rPr>
          <w:rFonts w:ascii="Poppins;sans-serif" w:hAnsi="Poppins;sans-serif"/>
          <w:b w:val="false"/>
          <w:i/>
          <w:caps w:val="false"/>
          <w:smallCaps w:val="false"/>
          <w:color w:val="181818"/>
          <w:spacing w:val="0"/>
          <w:sz w:val="27"/>
        </w:rPr>
        <w:t>, donde tendrás las opciones de contar con soporte técnico vía telefónica o en línea. Todos los datos de contacto están al final de cada guía que hemos dejado en cada link de este artículo.</w:t>
      </w:r>
    </w:p>
    <w:p>
      <w:pPr>
        <w:pStyle w:val="BodyText"/>
        <w:pBdr/>
        <w:bidi w:val="0"/>
        <w:spacing w:lineRule="auto" w:line="274" w:before="0" w:after="140"/>
        <w:ind w:hanging="0" w:start="0" w:end="0"/>
        <w:jc w:val="start"/>
        <w:rPr/>
      </w:pPr>
      <w:r>
        <w:rPr/>
      </w:r>
    </w:p>
    <w:sectPr>
      <w:type w:val="continuous"/>
      <w:pgSz w:w="11906" w:h="16838"/>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Text">
    <w:altName w:val="sans-serif"/>
    <w:charset w:val="01" w:characterSet="utf-8"/>
    <w:family w:val="auto"/>
    <w:pitch w:val="default"/>
  </w:font>
  <w:font w:name="Poppins">
    <w:altName w:val="sans-serif"/>
    <w:charset w:val="01" w:characterSet="utf-8"/>
    <w:family w:val="auto"/>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0"/>
        </w:tabs>
        <w:ind w:start="0"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olombiacompra.gov.co/sites/cce_public/files/cce_documentos/20170407_guia_minima_cuantia_entidades.pdf" TargetMode="External"/><Relationship Id="rId3" Type="http://schemas.openxmlformats.org/officeDocument/2006/relationships/hyperlink" Target="https://www.colombiacompra.gov.co/sites/cce_public/files/cce_documentos/20170407_licitacion_publica_entidades.pdf" TargetMode="External"/><Relationship Id="rId4" Type="http://schemas.openxmlformats.org/officeDocument/2006/relationships/hyperlink" Target="https://www.colombiacompra.gov.co/sites/cce_public/files/cce_documentos/20170408_seleccion_abreviada_de_menor_cuantia_entidades.pdf" TargetMode="External"/><Relationship Id="rId5" Type="http://schemas.openxmlformats.org/officeDocument/2006/relationships/hyperlink" Target="https://www.colombiacompra.gov.co/sites/cce_public/files/cce_documentos/20170408_concurso_de_meritos_abierto_entidades.pdf" TargetMode="External"/><Relationship Id="rId6" Type="http://schemas.openxmlformats.org/officeDocument/2006/relationships/hyperlink" Target="https://secopii.co/secop-ii-proveedores/" TargetMode="External"/><Relationship Id="rId7" Type="http://schemas.openxmlformats.org/officeDocument/2006/relationships/hyperlink" Target="https://www.colombiacompra.gov.co/manuales-guias-y-pliegos-tipo/manuales-y-guias" TargetMode="External"/><Relationship Id="rId8" Type="http://schemas.openxmlformats.org/officeDocument/2006/relationships/hyperlink" Target="https://secopii.co/secop-ii/" TargetMode="External"/><Relationship Id="rId9" Type="http://schemas.openxmlformats.org/officeDocument/2006/relationships/hyperlink" Target="https://www.colombiacompra.gov.co/secop-ii/formatos-para-compradores-y-proveedores-del-secop-ii" TargetMode="External"/><Relationship Id="rId10" Type="http://schemas.openxmlformats.org/officeDocument/2006/relationships/hyperlink" Target="https://secopii.co/secop-ii/" TargetMode="External"/><Relationship Id="rId11" Type="http://schemas.openxmlformats.org/officeDocument/2006/relationships/hyperlink" Target="https://www.colombiacompra.gov.co/sites/cce_public/files/cce_documentos/20170407_registro_proveedor.pdf" TargetMode="External"/><Relationship Id="rId12" Type="http://schemas.openxmlformats.org/officeDocument/2006/relationships/hyperlink" Target="https://www.colombiacompra.gov.co/sites/cce_public/files/cce_documentos/20170407_presentar_oferta_proveedor.pdf" TargetMode="External"/><Relationship Id="rId13" Type="http://schemas.openxmlformats.org/officeDocument/2006/relationships/hyperlink" Target="https://www.colombiacompra.gov.co/sites/cce_public/files/cce_documentos/20170407_presentar_observaciones_proveedor.pdf" TargetMode="External"/><Relationship Id="rId14" Type="http://schemas.openxmlformats.org/officeDocument/2006/relationships/hyperlink" Target="https://www.colombiacompra.gov.co/sites/cce_public/files/cce_documentos/20170404_manifestar_interes_proveedor.pdf" TargetMode="External"/><Relationship Id="rId15" Type="http://schemas.openxmlformats.org/officeDocument/2006/relationships/hyperlink" Target="https://www.colombiacompra.gov.co/sites/cce_public/files/cce_documentos/20170407_gestion_contractual_proveedores.pdf"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LibreOffice/25.2.6.2$Linux_X86_64 LibreOffice_project/40d1a0e1d5bdf1afaeae24d9ece32bbb00fa66a4</Application>
  <AppVersion>15.0000</AppVersion>
  <Pages>16</Pages>
  <Words>3612</Words>
  <Characters>19243</Characters>
  <CharactersWithSpaces>22717</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2025-12-06T14:53:57Z</dcterms:created>
  <dc:creator/>
  <dc:description/>
  <dc:language>en-US</dc:language>
  <cp:lastModifiedBy/>
  <dcterms:modified xsi:type="dcterms:W3CDTF">2025-12-06T14:57:13Z</dcterms:modified>
  <cp:revision>2</cp:revision>
  <dc:subject/>
  <dc:title/>
</cp:coreProperties>
</file>