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¿Qué es el SECOP II?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 la plataforma oficial donde se hace </w:t>
      </w:r>
      <w:r>
        <w:rPr>
          <w:rStyle w:val="Strong"/>
        </w:rPr>
        <w:t>todo el proceso de contratación pública en línea</w:t>
      </w:r>
      <w:r>
        <w:rPr/>
        <w:t xml:space="preserve">: desde la publicación del proceso hasta la firma y gestión del contrato.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 </w:t>
      </w:r>
      <w:r>
        <w:rPr>
          <w:rStyle w:val="Strong"/>
        </w:rPr>
        <w:t>transaccional y cero papel</w:t>
      </w:r>
      <w:r>
        <w:rPr/>
        <w:t xml:space="preserve">: los documentos se generan a partir de formularios electrónicos, no subiendo escaneos sueltos.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Sirve tanto para: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Entidades estatales</w:t>
      </w:r>
      <w:r>
        <w:rPr/>
        <w:t>: crean y gestionan procesos de contratación.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Proveedores</w:t>
      </w:r>
      <w:r>
        <w:rPr/>
        <w:t xml:space="preserve">: se registran, envían observaciones, presentan ofertas y gestionan la ejecución de sus contratos. </w:t>
      </w:r>
    </w:p>
    <w:p>
      <w:pPr>
        <w:pStyle w:val="BlockQuotation"/>
        <w:bidi w:val="0"/>
        <w:jc w:val="start"/>
        <w:rPr/>
      </w:pPr>
      <w:r>
        <w:rPr/>
        <w:t xml:space="preserve">Ojo: la </w:t>
      </w:r>
      <w:r>
        <w:rPr>
          <w:rStyle w:val="Strong"/>
        </w:rPr>
        <w:t>Tienda Virtual del Estado Colombiano</w:t>
      </w:r>
      <w:r>
        <w:rPr/>
        <w:t xml:space="preserve"> es una plataforma distinta (para Acuerdos Marco), con usuario/clave diferente. SECOP II se usa para el resto de modalidades de contratación.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Módulos principales que debes ubicar</w:t>
      </w:r>
    </w:p>
    <w:p>
      <w:pPr>
        <w:pStyle w:val="BodyText"/>
        <w:bidi w:val="0"/>
        <w:jc w:val="start"/>
        <w:rPr/>
      </w:pPr>
      <w:r>
        <w:rPr/>
        <w:t xml:space="preserve">Aunque la guía oficial está pensada sobre todo para entidades, te sirve para entender la lógica del sistema. En el menú hay secciones como: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Configuración del usuario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Gestión de proveedores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Administración de procesos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Gestión contractual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Herramientas de trabajo</w:t>
      </w:r>
      <w:r>
        <w:rPr/>
        <w:t xml:space="preserve"> (mensajes, notificaciones, tareas, etc.)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Buscar procesos</w:t>
      </w:r>
      <w:r>
        <w:rPr/>
        <w:t xml:space="preserve"> (de otras entidades)</w:t>
      </w:r>
    </w:p>
    <w:p>
      <w:pPr>
        <w:pStyle w:val="BodyText"/>
        <w:bidi w:val="0"/>
        <w:jc w:val="start"/>
        <w:rPr/>
      </w:pPr>
      <w:r>
        <w:rPr/>
        <w:t xml:space="preserve">Como proveedor tú verás algo más sencillo, pero la lógica es similar: pestañas para </w:t>
      </w:r>
      <w:r>
        <w:rPr>
          <w:rStyle w:val="Strong"/>
        </w:rPr>
        <w:t>perfil</w:t>
      </w:r>
      <w:r>
        <w:rPr/>
        <w:t xml:space="preserve">, </w:t>
      </w:r>
      <w:r>
        <w:rPr>
          <w:rStyle w:val="Strong"/>
        </w:rPr>
        <w:t>procesos</w:t>
      </w:r>
      <w:r>
        <w:rPr/>
        <w:t xml:space="preserve">, </w:t>
      </w:r>
      <w:r>
        <w:rPr>
          <w:rStyle w:val="Strong"/>
        </w:rPr>
        <w:t>ofertas</w:t>
      </w:r>
      <w:r>
        <w:rPr/>
        <w:t xml:space="preserve">, </w:t>
      </w:r>
      <w:r>
        <w:rPr>
          <w:rStyle w:val="Strong"/>
        </w:rPr>
        <w:t>contratos</w:t>
      </w:r>
      <w:r>
        <w:rPr/>
        <w:t xml:space="preserve">, </w:t>
      </w:r>
      <w:r>
        <w:rPr>
          <w:rStyle w:val="Strong"/>
        </w:rPr>
        <w:t>notificaciones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Requisitos previos para registrarte como proveedor</w:t>
      </w:r>
    </w:p>
    <w:p>
      <w:pPr>
        <w:pStyle w:val="BodyText"/>
        <w:bidi w:val="0"/>
        <w:jc w:val="start"/>
        <w:rPr/>
      </w:pPr>
      <w:r>
        <w:rPr/>
        <w:t>Antes de entrar al SECOP II, normalmente debes tener listo: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Datos básicos de la empresa / persona natural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NIT o documento de identidad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Razón social o nombres y apellidos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Dirección, teléfono, correo electrónico de contacto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Documentos típicos</w:t>
      </w:r>
      <w:r>
        <w:rPr/>
        <w:t xml:space="preserve"> (no todos se cargan en el registro, pero los vas a necesitar para ofertas y contratos):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RUT</w:t>
      </w:r>
      <w:r>
        <w:rPr/>
        <w:t xml:space="preserve"> actualizado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Certificado de Cámara de Comercio</w:t>
      </w:r>
      <w:r>
        <w:rPr/>
        <w:t xml:space="preserve"> (si eres persona jurídica)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RUP</w:t>
      </w:r>
      <w:r>
        <w:rPr/>
        <w:t xml:space="preserve"> (si aplica, según la actividad y montos)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Estados financieros, experiencia, etc.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Correo electrónico activo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Porque por ahí llega el enlace de activación y las notificaciones.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Registro en el SECOP II (como proveedor) – Paso a paso</w:t>
      </w:r>
    </w:p>
    <w:p>
      <w:pPr>
        <w:pStyle w:val="BodyText"/>
        <w:bidi w:val="0"/>
        <w:jc w:val="start"/>
        <w:rPr/>
      </w:pPr>
      <w:r>
        <w:rPr/>
        <w:t xml:space="preserve">El video que mandaste es precisamente el “cómo inscribirse como proveedor”, que también es referenciado en material oficial junto con la </w:t>
      </w:r>
      <w:r>
        <w:rPr>
          <w:rStyle w:val="Strong"/>
        </w:rPr>
        <w:t>Guía de registro de proveedor</w:t>
      </w:r>
      <w:r>
        <w:rPr/>
        <w:t>. (</w:t>
      </w:r>
      <w:hyperlink r:id="rId2">
        <w:r>
          <w:rPr>
            <w:rStyle w:val="Hyperlink"/>
          </w:rPr>
          <w:t>www.slideshare.net</w:t>
        </w:r>
      </w:hyperlink>
      <w:r>
        <w:rPr/>
        <w:t>)</w:t>
      </w:r>
    </w:p>
    <w:p>
      <w:pPr>
        <w:pStyle w:val="Heading3"/>
        <w:bidi w:val="0"/>
        <w:jc w:val="start"/>
        <w:rPr/>
      </w:pPr>
      <w:r>
        <w:rPr/>
        <w:t>4.1. Ingresar a la página de registro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Abre el navegador y ve a la página de SECOP II (comunidad):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Normalmente comienza por </w:t>
      </w:r>
      <w:r>
        <w:rPr>
          <w:rStyle w:val="SourceText"/>
        </w:rPr>
        <w:t>https://community.secop.gov.co/</w:t>
      </w:r>
      <w:r>
        <w:rPr/>
        <w:t xml:space="preserve"> (a veces con ruta </w:t>
      </w:r>
      <w:r>
        <w:rPr>
          <w:rStyle w:val="SourceText"/>
        </w:rPr>
        <w:t>/Public/Users/UserRegister/Index?...</w:t>
      </w:r>
      <w:r>
        <w:rPr/>
        <w:t>). (</w:t>
      </w:r>
      <w:hyperlink r:id="rId3">
        <w:r>
          <w:rPr>
            <w:rStyle w:val="Hyperlink"/>
          </w:rPr>
          <w:t>www.slideshare.net</w:t>
        </w:r>
      </w:hyperlink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Elige </w:t>
      </w:r>
      <w:r>
        <w:rPr>
          <w:rStyle w:val="Strong"/>
        </w:rPr>
        <w:t>país: Colombia</w:t>
      </w:r>
      <w:r>
        <w:rPr/>
        <w:t xml:space="preserve"> si te lo pide.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en algo tipo </w:t>
      </w:r>
      <w:r>
        <w:rPr>
          <w:rStyle w:val="Strong"/>
        </w:rPr>
        <w:t>“Registrarse”</w:t>
      </w:r>
      <w:r>
        <w:rPr/>
        <w:t xml:space="preserve"> o </w:t>
      </w:r>
      <w:r>
        <w:rPr>
          <w:rStyle w:val="Strong"/>
        </w:rPr>
        <w:t>“Registro de usuario”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4.2. Elegir tipo de usuario</w:t>
      </w:r>
    </w:p>
    <w:p>
      <w:pPr>
        <w:pStyle w:val="BodyText"/>
        <w:bidi w:val="0"/>
        <w:jc w:val="start"/>
        <w:rPr/>
      </w:pPr>
      <w:r>
        <w:rPr/>
        <w:t>En el formulario te preguntará algo como: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¿Te registras como </w:t>
      </w:r>
      <w:r>
        <w:rPr>
          <w:rStyle w:val="Strong"/>
        </w:rPr>
        <w:t>persona natural</w:t>
      </w:r>
      <w:r>
        <w:rPr/>
        <w:t xml:space="preserve"> o </w:t>
      </w:r>
      <w:r>
        <w:rPr>
          <w:rStyle w:val="Strong"/>
        </w:rPr>
        <w:t>persona jurídica</w:t>
      </w:r>
      <w:r>
        <w:rPr/>
        <w:t>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Selecciona la opción que corresponda a tu caso.</w:t>
      </w:r>
    </w:p>
    <w:p>
      <w:pPr>
        <w:pStyle w:val="BodyText"/>
        <w:bidi w:val="0"/>
        <w:jc w:val="start"/>
        <w:rPr/>
      </w:pPr>
      <w:r>
        <w:rPr/>
        <w:t>Esto afecta los campos que vas a diligenciar (nombre/NIT, razón social, etc.).</w:t>
      </w:r>
    </w:p>
    <w:p>
      <w:pPr>
        <w:pStyle w:val="Heading3"/>
        <w:bidi w:val="0"/>
        <w:jc w:val="start"/>
        <w:rPr/>
      </w:pPr>
      <w:r>
        <w:rPr/>
        <w:t>4.3. Diligenciar los datos del formulario</w:t>
      </w:r>
    </w:p>
    <w:p>
      <w:pPr>
        <w:pStyle w:val="BodyText"/>
        <w:bidi w:val="0"/>
        <w:jc w:val="start"/>
        <w:rPr/>
      </w:pPr>
      <w:r>
        <w:rPr/>
        <w:t>Campos típicos: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Datos de identificación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Tipo y número de documento o NIT.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Razón social / nombres y apellidos.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Datos de contacto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Correo electrónico (muy importante, será tu usuario o quedará asociado).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Teléfono fijo y/o celular.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Dirección, ciudad, departamento.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Datos de usuario del sistema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Nombre de usuario (si lo deja definir).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Clave (siguiendo requisitos mínimos).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Preguntas de seguridad (si las pide).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Aceptación de términos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Marca la casilla de </w:t>
      </w:r>
      <w:r>
        <w:rPr>
          <w:rStyle w:val="Strong"/>
        </w:rPr>
        <w:t>aceptar Términos y Condiciones de uso del SECOP II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en </w:t>
      </w:r>
      <w:r>
        <w:rPr>
          <w:rStyle w:val="Strong"/>
        </w:rPr>
        <w:t>“Registrar”</w:t>
      </w:r>
      <w:r>
        <w:rPr/>
        <w:t xml:space="preserve"> o similar.</w:t>
      </w:r>
    </w:p>
    <w:p>
      <w:pPr>
        <w:pStyle w:val="Heading3"/>
        <w:bidi w:val="0"/>
        <w:jc w:val="start"/>
        <w:rPr/>
      </w:pPr>
      <w:r>
        <w:rPr/>
        <w:t>4.4. Activar la cuenta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Revisa tu correo: debe llegar un mensaje desde SECOP II con un enlace de activación.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Haz clic en el enlace dentro del tiempo que indique.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Tras activar, ya puedes </w:t>
      </w:r>
      <w:r>
        <w:rPr>
          <w:rStyle w:val="Strong"/>
        </w:rPr>
        <w:t>iniciar sesión</w:t>
      </w:r>
      <w:r>
        <w:rPr/>
        <w:t xml:space="preserve"> con usuario/clave en la página de login del SECOP II. (</w:t>
      </w:r>
      <w:hyperlink r:id="rId4">
        <w:r>
          <w:rPr>
            <w:rStyle w:val="Hyperlink"/>
          </w:rPr>
          <w:t>www.slideshare.net</w:t>
        </w:r>
      </w:hyperlink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Configurar tu usuario y tu perfil como proveedor</w:t>
      </w:r>
    </w:p>
    <w:p>
      <w:pPr>
        <w:pStyle w:val="BodyText"/>
        <w:bidi w:val="0"/>
        <w:jc w:val="start"/>
        <w:rPr/>
      </w:pPr>
      <w:r>
        <w:rPr/>
        <w:t>Una vez entras por primera vez:</w:t>
      </w:r>
    </w:p>
    <w:p>
      <w:pPr>
        <w:pStyle w:val="Heading3"/>
        <w:bidi w:val="0"/>
        <w:jc w:val="start"/>
        <w:rPr/>
      </w:pPr>
      <w:r>
        <w:rPr/>
        <w:t>5.1. Configuración del usuario</w:t>
      </w:r>
    </w:p>
    <w:p>
      <w:pPr>
        <w:pStyle w:val="BodyText"/>
        <w:bidi w:val="0"/>
        <w:jc w:val="start"/>
        <w:rPr/>
      </w:pPr>
      <w:r>
        <w:rPr/>
        <w:t xml:space="preserve">En la sección tipo </w:t>
      </w:r>
      <w:r>
        <w:rPr>
          <w:rStyle w:val="Strong"/>
        </w:rPr>
        <w:t>“Configuración del usuario”</w:t>
      </w:r>
      <w:r>
        <w:rPr/>
        <w:t xml:space="preserve"> podrás: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 y modificar tus </w:t>
      </w:r>
      <w:r>
        <w:rPr>
          <w:rStyle w:val="Strong"/>
        </w:rPr>
        <w:t>datos personales / de contacto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Cambiar la </w:t>
      </w:r>
      <w:r>
        <w:rPr>
          <w:rStyle w:val="Strong"/>
        </w:rPr>
        <w:t>contraseña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 el </w:t>
      </w:r>
      <w:r>
        <w:rPr>
          <w:rStyle w:val="Strong"/>
        </w:rPr>
        <w:t>historial de accesos</w:t>
      </w:r>
      <w:r>
        <w:rPr/>
        <w:t xml:space="preserve"> a tu cuenta.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Volver a consultar los </w:t>
      </w:r>
      <w:r>
        <w:rPr>
          <w:rStyle w:val="Strong"/>
        </w:rPr>
        <w:t>Términos y Condiciones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5.2. Completar el perfil de proveedor</w:t>
      </w:r>
    </w:p>
    <w:p>
      <w:pPr>
        <w:pStyle w:val="BodyText"/>
        <w:bidi w:val="0"/>
        <w:jc w:val="start"/>
        <w:rPr/>
      </w:pPr>
      <w:r>
        <w:rPr/>
        <w:t>Según la guía de proveedores y otras presentaciones, es normal que debas: (</w:t>
      </w:r>
      <w:hyperlink r:id="rId5">
        <w:r>
          <w:rPr>
            <w:rStyle w:val="Hyperlink"/>
          </w:rPr>
          <w:t>www.slideshare.net</w:t>
        </w:r>
      </w:hyperlink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Indicar los </w:t>
      </w:r>
      <w:r>
        <w:rPr>
          <w:rStyle w:val="Strong"/>
        </w:rPr>
        <w:t>bienes y servicios</w:t>
      </w:r>
      <w:r>
        <w:rPr/>
        <w:t xml:space="preserve"> que ofreces (a menudo con códigos UNSPSC).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Registrar </w:t>
      </w:r>
      <w:r>
        <w:rPr>
          <w:rStyle w:val="Strong"/>
        </w:rPr>
        <w:t>cuenta bancaria</w:t>
      </w:r>
      <w:r>
        <w:rPr/>
        <w:t xml:space="preserve"> para pagos (se ve luego en la sección de contrato).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Adjuntar ciertos </w:t>
      </w:r>
      <w:r>
        <w:rPr>
          <w:rStyle w:val="Strong"/>
        </w:rPr>
        <w:t>documentos soporte</w:t>
      </w:r>
      <w:r>
        <w:rPr/>
        <w:t xml:space="preserve"> (certificados, experiencia, etc.) según lo pida el proceso o la entidad.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Cómo buscar procesos de contratación</w:t>
      </w:r>
    </w:p>
    <w:p>
      <w:pPr>
        <w:pStyle w:val="BodyText"/>
        <w:bidi w:val="0"/>
        <w:jc w:val="start"/>
        <w:rPr/>
      </w:pPr>
      <w:r>
        <w:rPr/>
        <w:t>Puedes buscar procesos sin entrar o desde tu sesión: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 el menú, busca algo tipo </w:t>
      </w:r>
      <w:r>
        <w:rPr>
          <w:rStyle w:val="Strong"/>
        </w:rPr>
        <w:t>“Buscar Procesos de Contratación”</w:t>
      </w:r>
      <w:r>
        <w:rPr/>
        <w:t xml:space="preserve"> o </w:t>
      </w:r>
      <w:r>
        <w:rPr>
          <w:rStyle w:val="Strong"/>
        </w:rPr>
        <w:t>“Buscar procesos”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Filtros típicos: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Entidad Estatal</w:t>
      </w:r>
      <w:r>
        <w:rPr/>
        <w:t xml:space="preserve"> (ministerio, gobernación, alcaldía, etc.)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Modalidad de contratación</w:t>
      </w:r>
      <w:r>
        <w:rPr/>
        <w:t xml:space="preserve"> (licitación, selección abreviada, mínima cuantía, etc.)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Estado del proceso</w:t>
      </w:r>
      <w:r>
        <w:rPr/>
        <w:t xml:space="preserve"> (borrador, publicación de pliegos, recepción de ofertas, evaluación, adjudicado, desierto, etc.).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Palabras clave en el </w:t>
      </w:r>
      <w:r>
        <w:rPr>
          <w:rStyle w:val="Strong"/>
        </w:rPr>
        <w:t>objeto</w:t>
      </w:r>
      <w:r>
        <w:rPr/>
        <w:t xml:space="preserve"> o número del proceso.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Resultados: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Verás una lista con </w:t>
      </w:r>
      <w:r>
        <w:rPr>
          <w:rStyle w:val="Strong"/>
        </w:rPr>
        <w:t>nombre del proceso</w:t>
      </w:r>
      <w:r>
        <w:rPr/>
        <w:t xml:space="preserve">, </w:t>
      </w:r>
      <w:r>
        <w:rPr>
          <w:rStyle w:val="Strong"/>
        </w:rPr>
        <w:t>fase</w:t>
      </w:r>
      <w:r>
        <w:rPr/>
        <w:t xml:space="preserve">, </w:t>
      </w:r>
      <w:r>
        <w:rPr>
          <w:rStyle w:val="Strong"/>
        </w:rPr>
        <w:t>fechas importantes</w:t>
      </w:r>
      <w:r>
        <w:rPr/>
        <w:t xml:space="preserve"> y acceso a la </w:t>
      </w:r>
      <w:r>
        <w:rPr>
          <w:rStyle w:val="Strong"/>
        </w:rPr>
        <w:t>ficha detallada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Desde la ficha del proceso podrás ver: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Documentos del proceso (pliegos, estudios previos, etc.).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Cronograma (fecha límite para presentar ofertas).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Histórico de observaciones, adendas, etc.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Cómo presentar una oferta en SECOP II (visión general y pasos)</w:t>
      </w:r>
    </w:p>
    <w:p>
      <w:pPr>
        <w:pStyle w:val="BodyText"/>
        <w:bidi w:val="0"/>
        <w:jc w:val="start"/>
        <w:rPr/>
      </w:pPr>
      <w:r>
        <w:rPr/>
        <w:t>El video que compartiste complementa un tutorial oficial llamado “Cómo presentar ofertas en SECOP II”, que viene acompañado de una guía PDF. (</w:t>
      </w:r>
      <w:hyperlink r:id="rId6">
        <w:r>
          <w:rPr>
            <w:rStyle w:val="Hyperlink"/>
          </w:rPr>
          <w:t>files.conexioncapital.co</w:t>
        </w:r>
      </w:hyperlink>
      <w:r>
        <w:rPr/>
        <w:t>)</w:t>
      </w:r>
    </w:p>
    <w:p>
      <w:pPr>
        <w:pStyle w:val="Heading3"/>
        <w:bidi w:val="0"/>
        <w:jc w:val="start"/>
        <w:rPr/>
      </w:pPr>
      <w:r>
        <w:rPr/>
        <w:t>7.1. Ingresar al proceso específico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Inicia sesión en SECOP II.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 a </w:t>
      </w:r>
      <w:r>
        <w:rPr>
          <w:rStyle w:val="Strong"/>
        </w:rPr>
        <w:t>Buscar procesos</w:t>
      </w:r>
      <w:r>
        <w:rPr/>
        <w:t xml:space="preserve"> y filtra hasta encontrar el proceso de tu interés.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en el nombre del proceso para entrar al </w:t>
      </w:r>
      <w:r>
        <w:rPr>
          <w:rStyle w:val="Strong"/>
        </w:rPr>
        <w:t>expediente electrónico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7.2. Revisar toda la información del proceso</w:t>
      </w:r>
    </w:p>
    <w:p>
      <w:pPr>
        <w:pStyle w:val="BodyText"/>
        <w:bidi w:val="0"/>
        <w:jc w:val="start"/>
        <w:rPr/>
      </w:pPr>
      <w:r>
        <w:rPr/>
        <w:t>Dentro del expediente: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Lee el </w:t>
      </w:r>
      <w:r>
        <w:rPr>
          <w:rStyle w:val="Strong"/>
        </w:rPr>
        <w:t>objeto del contrato</w:t>
      </w:r>
      <w:r>
        <w:rPr/>
        <w:t xml:space="preserve"> y el </w:t>
      </w:r>
      <w:r>
        <w:rPr>
          <w:rStyle w:val="Strong"/>
        </w:rPr>
        <w:t>pliego de condiciones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Revisa </w:t>
      </w:r>
      <w:r>
        <w:rPr>
          <w:rStyle w:val="Strong"/>
        </w:rPr>
        <w:t>requisitos habilitantes</w:t>
      </w:r>
      <w:r>
        <w:rPr/>
        <w:t xml:space="preserve"> (jurídicos, técnicos, financieros).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Verifica las </w:t>
      </w:r>
      <w:r>
        <w:rPr>
          <w:rStyle w:val="Strong"/>
        </w:rPr>
        <w:t>fechas del cronograma</w:t>
      </w:r>
      <w:r>
        <w:rPr/>
        <w:t>, especialmente: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Límite para </w:t>
      </w:r>
      <w:r>
        <w:rPr>
          <w:rStyle w:val="Strong"/>
        </w:rPr>
        <w:t>observaciones</w:t>
      </w:r>
      <w:r>
        <w:rPr/>
        <w:t>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Límite para </w:t>
      </w:r>
      <w:r>
        <w:rPr>
          <w:rStyle w:val="Strong"/>
        </w:rPr>
        <w:t>presentar ofertas</w:t>
      </w:r>
      <w:r>
        <w:rPr/>
        <w:t xml:space="preserve">. </w:t>
      </w:r>
    </w:p>
    <w:p>
      <w:pPr>
        <w:pStyle w:val="Heading3"/>
        <w:bidi w:val="0"/>
        <w:jc w:val="start"/>
        <w:rPr/>
      </w:pPr>
      <w:r>
        <w:rPr/>
        <w:t>7.3. Botón “Presentar oferta”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 algún lugar del expediente verás un botón tipo </w:t>
      </w:r>
      <w:r>
        <w:rPr>
          <w:rStyle w:val="Strong"/>
        </w:rPr>
        <w:t>“Presentar oferta”</w:t>
      </w:r>
      <w:r>
        <w:rPr/>
        <w:t xml:space="preserve"> (solo disponible mientras la fase de recepción de ofertas está abierta).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 hacer clic, se abre un </w:t>
      </w:r>
      <w:r>
        <w:rPr>
          <w:rStyle w:val="Strong"/>
        </w:rPr>
        <w:t>formulario electrónico</w:t>
      </w:r>
      <w:r>
        <w:rPr/>
        <w:t xml:space="preserve"> con secciones predefinidas por la entidad (esto viene de los cuestionarios que la entidad creó al diseñar el proceso). </w:t>
      </w:r>
    </w:p>
    <w:p>
      <w:pPr>
        <w:pStyle w:val="Heading3"/>
        <w:bidi w:val="0"/>
        <w:jc w:val="start"/>
        <w:rPr/>
      </w:pPr>
      <w:r>
        <w:rPr/>
        <w:t>7.4. Diligenciar el formulario de oferta</w:t>
      </w:r>
    </w:p>
    <w:p>
      <w:pPr>
        <w:pStyle w:val="BodyText"/>
        <w:bidi w:val="0"/>
        <w:jc w:val="start"/>
        <w:rPr/>
      </w:pPr>
      <w:r>
        <w:rPr/>
        <w:t xml:space="preserve">Las secciones típicas incluyen: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Información general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Título de tu oferta.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Nombre de tu empresa o persona natural.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Valor total ofrecido.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Requisitos habilitantes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Responder preguntas sobre: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Capacidad jurídica (representación legal, existencia y representación, etc.).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Capacidad financiera (patrimonio, ingresos, etc.).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Experiencia específica.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Adjuntar documentos requeridos (certificaciones, estados financieros, etc.).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Oferta técnica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Descripción técnica de lo que ofreces.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Metodología, tiempos de entrega, personal, etc.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Oferta económica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Valores unitarios y totales de bienes/servicios (a menudo con códigos UNSPSC).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Documentos anexos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Aquí se suben los archivos (PDF, Excel, etc.) con soportes adicionales.</w:t>
      </w:r>
    </w:p>
    <w:p>
      <w:pPr>
        <w:pStyle w:val="Heading3"/>
        <w:bidi w:val="0"/>
        <w:jc w:val="start"/>
        <w:rPr/>
      </w:pPr>
      <w:r>
        <w:rPr/>
        <w:t>7.5. Firmar y enviar la oferta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Dependiendo del proceso, puede requerirse </w:t>
      </w:r>
      <w:r>
        <w:rPr>
          <w:rStyle w:val="Strong"/>
        </w:rPr>
        <w:t>firma electrónica o digital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Revisa un </w:t>
      </w:r>
      <w:r>
        <w:rPr>
          <w:rStyle w:val="Strong"/>
        </w:rPr>
        <w:t>resumen</w:t>
      </w:r>
      <w:r>
        <w:rPr/>
        <w:t xml:space="preserve"> de la oferta antes de enviar.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en </w:t>
      </w:r>
      <w:r>
        <w:rPr>
          <w:rStyle w:val="Strong"/>
        </w:rPr>
        <w:t>“Enviar”</w:t>
      </w:r>
      <w:r>
        <w:rPr/>
        <w:t xml:space="preserve"> o </w:t>
      </w:r>
      <w:r>
        <w:rPr>
          <w:rStyle w:val="Strong"/>
        </w:rPr>
        <w:t>“Presentar oferta”</w:t>
      </w:r>
      <w:r>
        <w:rPr/>
        <w:t xml:space="preserve"> y espera la confirmación en pantalla y por correo.</w:t>
      </w:r>
    </w:p>
    <w:p>
      <w:pPr>
        <w:pStyle w:val="BodyText"/>
        <w:bidi w:val="0"/>
        <w:jc w:val="start"/>
        <w:rPr/>
      </w:pPr>
      <w:r>
        <w:rPr/>
        <w:t>Luego podrás: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Consultar si la oferta aparece como </w:t>
      </w:r>
      <w:r>
        <w:rPr>
          <w:rStyle w:val="Strong"/>
        </w:rPr>
        <w:t>recibida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 futuras </w:t>
      </w:r>
      <w:r>
        <w:rPr>
          <w:rStyle w:val="Strong"/>
        </w:rPr>
        <w:t>notificaciones</w:t>
      </w:r>
      <w:r>
        <w:rPr/>
        <w:t xml:space="preserve"> (solicitudes de aclaración, observaciones, resultados de evaluación, etc.).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Gestión contractual (después de ser adjudicado)</w:t>
      </w:r>
    </w:p>
    <w:p>
      <w:pPr>
        <w:pStyle w:val="BodyText"/>
        <w:bidi w:val="0"/>
        <w:jc w:val="start"/>
        <w:rPr/>
      </w:pPr>
      <w:r>
        <w:rPr/>
        <w:t xml:space="preserve">Si adjudican el proceso a tu empresa, se genera un </w:t>
      </w:r>
      <w:r>
        <w:rPr>
          <w:rStyle w:val="Strong"/>
        </w:rPr>
        <w:t>contrato electrónico en SECOP II</w:t>
      </w:r>
      <w:r>
        <w:rPr/>
        <w:t xml:space="preserve">. La guía de gestión contractual explica que el contrato tiene 9 secciones: Información general, Condiciones, Bienes y servicios, Documentos del proveedor, Documentos del contrato, Información presupuestal, Ejecución, Modificaciones e Incumplimientos. </w:t>
      </w:r>
    </w:p>
    <w:p>
      <w:pPr>
        <w:pStyle w:val="Heading3"/>
        <w:bidi w:val="0"/>
        <w:jc w:val="start"/>
        <w:rPr/>
      </w:pPr>
      <w:r>
        <w:rPr/>
        <w:t>8.1. Revisar y aprobar el contrato electrónico</w:t>
      </w:r>
    </w:p>
    <w:p>
      <w:pPr>
        <w:pStyle w:val="BodyText"/>
        <w:bidi w:val="0"/>
        <w:jc w:val="start"/>
        <w:rPr/>
      </w:pPr>
      <w:r>
        <w:rPr/>
        <w:t>La entidad: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Diligencia la </w:t>
      </w:r>
      <w:r>
        <w:rPr>
          <w:rStyle w:val="Strong"/>
        </w:rPr>
        <w:t>información general</w:t>
      </w:r>
      <w:r>
        <w:rPr/>
        <w:t xml:space="preserve"> (tipo, valor, duración, objeto, etc.).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Configura las </w:t>
      </w:r>
      <w:r>
        <w:rPr>
          <w:rStyle w:val="Strong"/>
        </w:rPr>
        <w:t>condiciones</w:t>
      </w:r>
      <w:r>
        <w:rPr/>
        <w:t>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Fechas de inicio y fin de ejecución.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Si hay prórrogas posibles.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Esquema de anticipos, forma de pago, plazos de pago de facturas. </w:t>
      </w:r>
    </w:p>
    <w:p>
      <w:pPr>
        <w:pStyle w:val="BodyText"/>
        <w:bidi w:val="0"/>
        <w:jc w:val="start"/>
        <w:rPr/>
      </w:pPr>
      <w:r>
        <w:rPr/>
        <w:t>Como proveedor: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Entras al módulo de contratos de SECOP II.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Buscas el contrato asociado a tu proceso (por número de proceso, número de contrato o tu nombre).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Revisas todas las secciones y luego </w:t>
      </w:r>
      <w:r>
        <w:rPr>
          <w:rStyle w:val="Strong"/>
        </w:rPr>
        <w:t>apruebas o rechazas</w:t>
      </w:r>
      <w:r>
        <w:rPr/>
        <w:t xml:space="preserve"> el contrato según lo que hayan pactado.</w:t>
      </w:r>
    </w:p>
    <w:p>
      <w:pPr>
        <w:pStyle w:val="BlockQuotation"/>
        <w:bidi w:val="0"/>
        <w:jc w:val="start"/>
        <w:rPr/>
      </w:pPr>
      <w:r>
        <w:rPr/>
        <w:t xml:space="preserve">El sistema registra quién aprueba (nombre de usuario) y la fecha/hora exacta de la aprobación. </w:t>
      </w:r>
    </w:p>
    <w:p>
      <w:pPr>
        <w:pStyle w:val="Heading3"/>
        <w:bidi w:val="0"/>
        <w:jc w:val="start"/>
        <w:rPr/>
      </w:pPr>
      <w:r>
        <w:rPr/>
        <w:t>8.2. Cargar garantías, documentos y facturas</w:t>
      </w:r>
    </w:p>
    <w:p>
      <w:pPr>
        <w:pStyle w:val="BodyText"/>
        <w:bidi w:val="0"/>
        <w:jc w:val="start"/>
        <w:rPr/>
      </w:pPr>
      <w:r>
        <w:rPr/>
        <w:t xml:space="preserve">Según la guía de gestión contractual: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 entidad define las </w:t>
      </w:r>
      <w:r>
        <w:rPr>
          <w:rStyle w:val="Strong"/>
        </w:rPr>
        <w:t>garantías</w:t>
      </w:r>
      <w:r>
        <w:rPr/>
        <w:t xml:space="preserve"> (cumplimiento, calidad, etc.), y tú debes cargar los documentos de las pólizas para aprobación.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Hay una sección de </w:t>
      </w:r>
      <w:r>
        <w:rPr>
          <w:rStyle w:val="Strong"/>
        </w:rPr>
        <w:t>Documentos del Proveedor</w:t>
      </w:r>
      <w:r>
        <w:rPr/>
        <w:t xml:space="preserve"> y otra de </w:t>
      </w:r>
      <w:r>
        <w:rPr>
          <w:rStyle w:val="Strong"/>
        </w:rPr>
        <w:t>Documentos del contrato</w:t>
      </w:r>
      <w:r>
        <w:rPr/>
        <w:t xml:space="preserve"> donde se adjuntan pólizas, actas, etc.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puede configurar si se requieren </w:t>
      </w:r>
      <w:r>
        <w:rPr>
          <w:rStyle w:val="Strong"/>
        </w:rPr>
        <w:t>códigos de autorización</w:t>
      </w:r>
      <w:r>
        <w:rPr/>
        <w:t xml:space="preserve"> para cargar facturas; si la entidad lo permite, se cargan y registran allí los pagos asociados al contrato.</w:t>
      </w:r>
    </w:p>
    <w:p>
      <w:pPr>
        <w:pStyle w:val="Heading3"/>
        <w:bidi w:val="0"/>
        <w:jc w:val="start"/>
        <w:rPr/>
      </w:pPr>
      <w:r>
        <w:rPr/>
        <w:t>8.3. Seguimiento y modificaciones</w:t>
      </w:r>
    </w:p>
    <w:p>
      <w:pPr>
        <w:pStyle w:val="BodyText"/>
        <w:bidi w:val="0"/>
        <w:jc w:val="start"/>
        <w:rPr/>
      </w:pPr>
      <w:r>
        <w:rPr/>
        <w:t xml:space="preserve">La sección </w:t>
      </w:r>
      <w:r>
        <w:rPr>
          <w:rStyle w:val="Strong"/>
        </w:rPr>
        <w:t>“Ejecución del contrato”</w:t>
      </w:r>
      <w:r>
        <w:rPr/>
        <w:t xml:space="preserve"> sirve para: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Registrar avances (por porcentaje o hitos).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Dejar registro de </w:t>
      </w:r>
      <w:r>
        <w:rPr>
          <w:rStyle w:val="Strong"/>
        </w:rPr>
        <w:t>modificaciones</w:t>
      </w:r>
      <w:r>
        <w:rPr/>
        <w:t>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Adiciones de valor.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Prórrogas.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Suspensiones.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Terminaciones anticipadas.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Registrar e informar </w:t>
      </w:r>
      <w:r>
        <w:rPr>
          <w:rStyle w:val="Strong"/>
        </w:rPr>
        <w:t>incumplimientos</w:t>
      </w:r>
      <w:r>
        <w:rPr/>
        <w:t xml:space="preserve"> (si los hay).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Herramientas de trabajo, mensajes y notificaciones</w:t>
      </w:r>
    </w:p>
    <w:p>
      <w:pPr>
        <w:pStyle w:val="BodyText"/>
        <w:bidi w:val="0"/>
        <w:jc w:val="start"/>
        <w:rPr/>
      </w:pPr>
      <w:r>
        <w:rPr/>
        <w:t xml:space="preserve">SECOP II incluye herramientas internas para facilitar la gestión: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Gestor de mensajes</w:t>
      </w:r>
      <w:r>
        <w:rPr/>
        <w:t>: comunicaciones entre entidad y proveedores dentro del expediente.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Alertas y notificaciones</w:t>
      </w:r>
      <w:r>
        <w:rPr/>
        <w:t>: avisos de cambios de estado, vencimientos, etc.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Gestor de tareas</w:t>
      </w:r>
      <w:r>
        <w:rPr/>
        <w:t>: flujos de aprobación y tareas internas (más usado por entidades, pero impacta tus tiempos).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Constancias electrónicas</w:t>
      </w:r>
      <w:r>
        <w:rPr/>
        <w:t>: certificados y constancias relacionadas con procesos y contratos.</w:t>
      </w:r>
    </w:p>
    <w:p>
      <w:pPr>
        <w:pStyle w:val="BodyText"/>
        <w:bidi w:val="0"/>
        <w:jc w:val="start"/>
        <w:rPr/>
      </w:pPr>
      <w:r>
        <w:rPr/>
        <w:t>Como proveedor, es clave revisar con frecuencia: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Bandeja de </w:t>
      </w:r>
      <w:r>
        <w:rPr>
          <w:rStyle w:val="Strong"/>
        </w:rPr>
        <w:t>notificaciones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Mensajes en el expediente del proceso/contrato.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Buenas prácticas y recomendaciones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Regístrate y prueba antes de que salga “tu” proceso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 esperes a que haya una licitación interesante: crea tu usuario y haz pruebas buscando procesos, descargando documentos, etc.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Cuida los plazos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Cronograma del proceso = ley. No presentar a tiempo = oferta no recibida.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Revisa siempre el expediente electrónico completo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 te quedes solo con el pliego principal: mira adendas, respuestas a observaciones y todos los documentos.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Organiza tus documentos soporte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Ten carpetas/listas para: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Habilitantes jurídicos.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Habilitantes financieros.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Experiencia.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Certificaciones específicas.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Haz seguimiento a la ejecución del contrato en el sistema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Asegúrate de que: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Las actas y modificaciones queden bien registradas.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Las facturas estén cargadas y asociadas correctamente.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Enlaces oficiales útiles</w:t>
      </w:r>
    </w:p>
    <w:p>
      <w:pPr>
        <w:pStyle w:val="BodyText"/>
        <w:bidi w:val="0"/>
        <w:jc w:val="start"/>
        <w:rPr/>
      </w:pPr>
      <w:r>
        <w:rPr/>
        <w:t>Por si quieres complementar la guía con los documentos originales (además del video):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Minisitio SECOP II – Colombia Compra Eficiente</w:t>
      </w:r>
      <w:r>
        <w:rPr/>
        <w:t xml:space="preserve"> (acceso a todas las guías): (</w:t>
      </w:r>
      <w:hyperlink r:id="rId7">
        <w:r>
          <w:rPr>
            <w:rStyle w:val="Hyperlink"/>
          </w:rPr>
          <w:t>Colombia Compra</w:t>
        </w:r>
      </w:hyperlink>
      <w:r>
        <w:rPr/>
        <w:t>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Guía práctica para registro de entidades y vista general del SECOP II</w:t>
      </w:r>
      <w:r>
        <w:rPr/>
        <w:t xml:space="preserve"> (aunque sea para entidades, te sirve como mapa completo).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Guías de gestión contractual en SECOP II</w:t>
      </w:r>
      <w:r>
        <w:rPr/>
        <w:t xml:space="preserve"> (contratos, modificaciones, ejecución). </w:t>
      </w:r>
    </w:p>
    <w:p>
      <w:pPr>
        <w:pStyle w:val="HorizontalLine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1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s.slideshare.net/slideshow/2-presentacion-colegio-mayor-para-proveedores-copia-1-2pdf/255895951?utm_source=chatgpt.com" TargetMode="External"/><Relationship Id="rId3" Type="http://schemas.openxmlformats.org/officeDocument/2006/relationships/hyperlink" Target="https://es.slideshare.net/slideshow/2-presentacion-colegio-mayor-para-proveedores-copia-1-2pdf/255895951?utm_source=chatgpt.com" TargetMode="External"/><Relationship Id="rId4" Type="http://schemas.openxmlformats.org/officeDocument/2006/relationships/hyperlink" Target="https://es.slideshare.net/slideshow/2-presentacion-colegio-mayor-para-proveedores-copia-1-2pdf/255895951?utm_source=chatgpt.com" TargetMode="External"/><Relationship Id="rId5" Type="http://schemas.openxmlformats.org/officeDocument/2006/relationships/hyperlink" Target="https://es.slideshare.net/slideshow/2-presentacion-colegio-mayor-para-proveedores-copia-1-2pdf/255895951?utm_source=chatgpt.com" TargetMode="External"/><Relationship Id="rId6" Type="http://schemas.openxmlformats.org/officeDocument/2006/relationships/hyperlink" Target="https://files.conexioncapital.co/assets/public/media/file/file/COMUNICADO_No.2_CP_01_2020_PANDEMIA_Y_CP_02_2020_BOGOTA&#769;_GLOCAL%20%281%29.pdf?VersionId=Fq2lrXUB1no3JHF07OSYLsY.rSEdjH5f&amp;utm_source=chatgpt.com" TargetMode="External"/><Relationship Id="rId7" Type="http://schemas.openxmlformats.org/officeDocument/2006/relationships/hyperlink" Target="https://operaciones.colombiacompra.gov.co/manuales-guias-y-documentos-tipo/guias-de-uso-del-secop-ii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LibreOffice_project/40d1a0e1d5bdf1afaeae24d9ece32bbb00fa66a4</Application>
  <AppVersion>15.0000</AppVersion>
  <Pages>8</Pages>
  <Words>1726</Words>
  <Characters>9488</Characters>
  <CharactersWithSpaces>10915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2025-12-06T14:53:57Z</dcterms:created>
  <dc:creator/>
  <dc:description/>
  <dc:language>en-US</dc:language>
  <cp:lastModifiedBy/>
  <dcterms:modified xsi:type="dcterms:W3CDTF">2025-12-06T14:55:45Z</dcterms:modified>
  <cp:revision>1</cp:revision>
  <dc:subject/>
  <dc:title/>
</cp:coreProperties>
</file>