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79431F" w:rsidRDefault="006E4485" w:rsidP="00E26BC4">
      <w:pPr>
        <w:pStyle w:val="ListParagraph"/>
        <w:numPr>
          <w:ilvl w:val="1"/>
          <w:numId w:val="6"/>
        </w:numPr>
        <w:bidi w:val="0"/>
        <w:jc w:val="both"/>
      </w:pPr>
      <w:commentRangeStart w:id="0"/>
      <w:r w:rsidRPr="0079431F">
        <w:t xml:space="preserve">Olefin metathesis </w:t>
      </w:r>
      <w:commentRangeEnd w:id="0"/>
      <w:r w:rsidR="00CF7ED4" w:rsidRPr="0079431F">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a diene</w:t>
      </w:r>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rsidRPr="0011700F">
        <w:rPr>
          <w:b/>
          <w:bCs/>
        </w:rPr>
        <w:t>Figure 1</w:t>
      </w:r>
      <w:r>
        <w:t xml:space="preserve"> Schematic catalytic cycle of olefin metathesis according to the Chauvin mechanism</w:t>
      </w:r>
      <w:commentRangeStart w:id="4"/>
      <w:r>
        <w:rPr>
          <w:vertAlign w:val="superscript"/>
        </w:rPr>
        <w:t>this</w:t>
      </w:r>
      <w:commentRangeEnd w:id="4"/>
      <w:r>
        <w:rPr>
          <w:rStyle w:val="CommentReference"/>
        </w:rPr>
        <w:commentReference w:id="4"/>
      </w:r>
    </w:p>
    <w:p w14:paraId="748D6403" w14:textId="2D5E75DA" w:rsidR="00FC6759" w:rsidRPr="0086415F" w:rsidRDefault="00FC6759" w:rsidP="00AF6F89">
      <w:pPr>
        <w:bidi w:val="0"/>
        <w:jc w:val="both"/>
        <w:rPr>
          <w:vertAlign w:val="superscript"/>
        </w:rPr>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w:t>
      </w:r>
      <w:r w:rsidR="0086415F">
        <w:t xml:space="preserve">In general, </w:t>
      </w:r>
      <w:r w:rsidR="00B85A9E">
        <w:t>most metathesis reactions are not highly selective – in terms of product distribution and stereoselectivity –</w:t>
      </w:r>
      <w:r w:rsidR="0086415F">
        <w:t xml:space="preserve"> unless</w:t>
      </w:r>
      <w:r w:rsidR="00B85A9E">
        <w:t xml:space="preserve"> </w:t>
      </w:r>
      <w:r w:rsidR="0086415F">
        <w:t>reactants with steric bulk or differing reactivity are used.</w:t>
      </w:r>
      <w:commentRangeStart w:id="5"/>
      <w:r w:rsidR="0086415F">
        <w:rPr>
          <w:vertAlign w:val="superscript"/>
        </w:rPr>
        <w:t>this</w:t>
      </w:r>
      <w:commentRangeEnd w:id="5"/>
      <w:r w:rsidR="0086415F">
        <w:rPr>
          <w:rStyle w:val="CommentReference"/>
        </w:rPr>
        <w:commentReference w:id="5"/>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rsidRPr="0011700F">
        <w:rPr>
          <w:b/>
          <w:bCs/>
        </w:rPr>
        <w:t>Figure 2</w:t>
      </w:r>
      <w:r>
        <w:t xml:space="preserve"> Different olefin metathesis reactions</w:t>
      </w:r>
      <w:commentRangeStart w:id="6"/>
      <w:r>
        <w:rPr>
          <w:vertAlign w:val="superscript"/>
        </w:rPr>
        <w:t>this</w:t>
      </w:r>
      <w:commentRangeEnd w:id="6"/>
      <w:r>
        <w:rPr>
          <w:rStyle w:val="CommentReference"/>
        </w:rPr>
        <w:commentReference w:id="6"/>
      </w:r>
      <w:r>
        <w:rPr>
          <w:vertAlign w:val="superscript"/>
        </w:rPr>
        <w:t xml:space="preserve"> and </w:t>
      </w:r>
      <w:commentRangeStart w:id="7"/>
      <w:r>
        <w:rPr>
          <w:vertAlign w:val="superscript"/>
        </w:rPr>
        <w:t>this</w:t>
      </w:r>
      <w:commentRangeEnd w:id="7"/>
      <w:r>
        <w:rPr>
          <w:rStyle w:val="CommentReference"/>
        </w:rPr>
        <w:commentReference w:id="7"/>
      </w:r>
    </w:p>
    <w:p w14:paraId="337C450E" w14:textId="222803A6" w:rsidR="00CF7ED4" w:rsidRDefault="008929F0" w:rsidP="00AF6F89">
      <w:pPr>
        <w:bidi w:val="0"/>
        <w:jc w:val="both"/>
      </w:pPr>
      <w:commentRangeStart w:id="8"/>
      <w:r>
        <w:t>The evolution</w:t>
      </w:r>
      <w:commentRangeEnd w:id="8"/>
      <w:r w:rsidR="00EC6D63" w:rsidRPr="00AF6F89">
        <w:commentReference w:id="8"/>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E51E83">
        <w:t xml:space="preserve">utilized heterogenous catalysts with </w:t>
      </w:r>
      <w:r w:rsidR="001E7795">
        <w:t xml:space="preserve">Ti, Nb and </w:t>
      </w:r>
      <w:r w:rsidR="002B1659">
        <w:t>Al</w:t>
      </w:r>
      <w:r w:rsidR="001E7795">
        <w:t xml:space="preserve"> </w:t>
      </w:r>
      <w:r w:rsidR="00E51E83">
        <w:t>salts</w:t>
      </w:r>
      <w:r w:rsidR="001E7795">
        <w:t>. Later</w:t>
      </w:r>
      <w:r w:rsidR="00E51E83">
        <w:t>, after the cycloaddition-cycloreversion mechanism was proposed</w:t>
      </w:r>
      <w:r w:rsidR="001E7795">
        <w:t xml:space="preserve">, tungsten (W) and molybdenum complexes were introduced </w:t>
      </w:r>
      <w:r w:rsidR="00731839">
        <w:t xml:space="preserve">and enabled – especially in Mo complexes – superior catalytic activity. </w:t>
      </w:r>
      <w:r w:rsidR="002C30FB">
        <w:t>However, their low functional group tolerance and sensitivity to moisture and oxygen were significant drawbacks for many reactions.</w:t>
      </w:r>
      <w:r w:rsidR="002B1659" w:rsidRPr="002B1659">
        <w:rPr>
          <w:vertAlign w:val="superscript"/>
        </w:rPr>
        <w:t xml:space="preserve"> </w:t>
      </w:r>
      <w:commentRangeStart w:id="9"/>
      <w:commentRangeStart w:id="10"/>
      <w:r w:rsidR="002B1659" w:rsidRPr="00E51E83">
        <w:rPr>
          <w:vertAlign w:val="superscript"/>
        </w:rPr>
        <w:t>?</w:t>
      </w:r>
      <w:commentRangeEnd w:id="9"/>
      <w:r w:rsidR="002B1659">
        <w:rPr>
          <w:rStyle w:val="CommentReference"/>
        </w:rPr>
        <w:commentReference w:id="9"/>
      </w:r>
      <w:commentRangeEnd w:id="10"/>
      <w:r w:rsidR="002B1659">
        <w:rPr>
          <w:rStyle w:val="CommentReference"/>
        </w:rPr>
        <w:commentReference w:id="10"/>
      </w:r>
      <w:r w:rsidR="002C30FB">
        <w:t xml:space="preserve"> In 1992, Grubbs</w:t>
      </w:r>
      <w:r w:rsidR="002B1659">
        <w:t xml:space="preserve"> et al.</w:t>
      </w:r>
      <w:r w:rsidR="002C30FB">
        <w:t xml:space="preserve"> introduced the first ruthenium</w:t>
      </w:r>
      <w:r w:rsidR="002B1659">
        <w:t xml:space="preserve"> alkylidene</w:t>
      </w:r>
      <w:r w:rsidR="002C30FB">
        <w:t xml:space="preserve"> complex for olefin metathesis, exhibiting lower activity but a </w:t>
      </w:r>
      <w:r w:rsidR="00EC6D63">
        <w:t>significant improvement in stability in oxygen- and water-containing environments and for various functional groups.</w:t>
      </w:r>
      <w:commentRangeStart w:id="11"/>
      <w:r w:rsidR="00EC6D63" w:rsidRPr="002B1659">
        <w:rPr>
          <w:vertAlign w:val="superscript"/>
        </w:rPr>
        <w:t>?</w:t>
      </w:r>
      <w:commentRangeEnd w:id="11"/>
      <w:r w:rsidR="002B1659">
        <w:rPr>
          <w:rStyle w:val="CommentReference"/>
        </w:rPr>
        <w:commentReference w:id="11"/>
      </w:r>
    </w:p>
    <w:p w14:paraId="4FD40CBC" w14:textId="187DD76F" w:rsidR="0090735D" w:rsidRPr="00F0591C" w:rsidRDefault="00F001E9" w:rsidP="00B83205">
      <w:pPr>
        <w:bidi w:val="0"/>
        <w:jc w:val="both"/>
      </w:pPr>
      <w:r>
        <w:t>The second factor determining the catalyst's characteristics – its ligands – has also progressed significantly.</w:t>
      </w:r>
      <w:r w:rsidR="00BF7B67">
        <w:t xml:space="preserve"> Most Ru catalysts contain the carbene ligand responsible for the initiation – </w:t>
      </w:r>
      <w:r w:rsidR="00195425">
        <w:t>alkylidene or</w:t>
      </w:r>
      <w:r w:rsidR="00BF7B67">
        <w:t xml:space="preserve"> benzylidene – two anionic ligands like chloride and two neutral ligands.</w:t>
      </w:r>
      <w:r w:rsidR="00CC769F">
        <w:t xml:space="preserve"> </w:t>
      </w:r>
      <w:r w:rsidR="005407A4">
        <w:t>I</w:t>
      </w:r>
      <w:r w:rsidR="00CC769F">
        <w:t>n early catalysts these neutral ligands were phosphines</w:t>
      </w:r>
      <w:r w:rsidR="005407A4">
        <w:t>, such as PCy</w:t>
      </w:r>
      <w:r w:rsidR="005407A4">
        <w:rPr>
          <w:vertAlign w:val="subscript"/>
        </w:rPr>
        <w:t>3</w:t>
      </w:r>
      <w:r w:rsidR="005407A4">
        <w:t>, but introduced an inherent tradeoff – because the active species of the catalyst</w:t>
      </w:r>
      <w:r w:rsidR="00853F4B">
        <w:t xml:space="preserve"> is the one most prone to decomposition, so either the reactivity or the stability of the catalyst can be optimized.</w:t>
      </w:r>
      <w:r w:rsidR="006836A7">
        <w:t xml:space="preserve"> </w:t>
      </w:r>
      <w:r w:rsidR="009D760C">
        <w:t xml:space="preserve">The development of carbene ligands resolves this issue, since </w:t>
      </w:r>
      <w:r w:rsidR="006836A7">
        <w:t xml:space="preserve">they are strong </w:t>
      </w:r>
      <w:r w:rsidR="006836A7">
        <w:rPr>
          <w:rFonts w:cstheme="minorHAnsi"/>
        </w:rPr>
        <w:t>σ</w:t>
      </w:r>
      <w:r w:rsidR="006836A7">
        <w:t xml:space="preserve"> donors and so enhance dissociation of the other neutral ligand </w:t>
      </w:r>
      <w:r w:rsidR="009D760C">
        <w:t xml:space="preserve">(i.e. activation) </w:t>
      </w:r>
      <w:r w:rsidR="006836A7">
        <w:t>and stabilize the resulting electron-deficient active species.</w:t>
      </w:r>
      <w:r w:rsidR="009D760C">
        <w:rPr>
          <w:vertAlign w:val="superscript"/>
        </w:rPr>
        <w:t>success story</w:t>
      </w:r>
      <w:r w:rsidR="00412934">
        <w:t xml:space="preserve"> A plethora of N-heterocyclic carbene (NHC), cyclic alkylamino carbene (CAAC) ligands have been developed, which employ various modification for increased efficient, stability of functional group tolerance.</w:t>
      </w:r>
      <w:commentRangeStart w:id="12"/>
      <w:r w:rsidR="00412934">
        <w:rPr>
          <w:vertAlign w:val="superscript"/>
        </w:rPr>
        <w:t>?</w:t>
      </w:r>
      <w:commentRangeEnd w:id="12"/>
      <w:r w:rsidR="00412934">
        <w:rPr>
          <w:rStyle w:val="CommentReference"/>
        </w:rPr>
        <w:commentReference w:id="12"/>
      </w: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13"/>
      <w:r w:rsidRPr="00BF1231">
        <w:rPr>
          <w:highlight w:val="green"/>
        </w:rPr>
        <w:t>Principles of bioorthogonal chemistry</w:t>
      </w:r>
      <w:commentRangeEnd w:id="13"/>
      <w:r w:rsidR="007C00A1" w:rsidRPr="00BF1231">
        <w:rPr>
          <w:rStyle w:val="CommentReference"/>
          <w:highlight w:val="green"/>
        </w:rPr>
        <w:commentReference w:id="13"/>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lastRenderedPageBreak/>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37186FA7"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Changing the phosphine</w:t>
      </w:r>
      <w:r w:rsidR="00F4681B">
        <w:t xml:space="preserve"> </w:t>
      </w:r>
      <w:r w:rsidR="00B83205">
        <w:t xml:space="preserve">to include an "electrophilic trap" that enabled rearrangement to a stable structure </w:t>
      </w:r>
      <w:r w:rsidR="00F04CD2">
        <w:t xml:space="preserve">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w:t>
      </w:r>
      <w:commentRangeStart w:id="14"/>
      <w:r w:rsidR="00644455">
        <w:t>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commentRangeEnd w:id="14"/>
      <w:r w:rsidR="00860E2D">
        <w:rPr>
          <w:rStyle w:val="CommentReference"/>
        </w:rPr>
        <w:commentReference w:id="14"/>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9199C22" w:rsidR="006E4485" w:rsidRPr="002C25F4" w:rsidRDefault="0095607C" w:rsidP="002C25F4">
      <w:pPr>
        <w:pStyle w:val="Heading2"/>
        <w:rPr>
          <w:highlight w:val="blue"/>
        </w:rPr>
      </w:pPr>
      <w:r>
        <w:rPr>
          <w:highlight w:val="blue"/>
        </w:rPr>
        <w:t xml:space="preserve">Use cases </w:t>
      </w:r>
      <w:r w:rsidR="00702EFE">
        <w:rPr>
          <w:highlight w:val="blue"/>
        </w:rPr>
        <w:t>of</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15"/>
      <w:r>
        <w:t xml:space="preserve">biologic </w:t>
      </w:r>
      <w:commentRangeEnd w:id="15"/>
      <w:r>
        <w:rPr>
          <w:rStyle w:val="CommentReference"/>
        </w:rPr>
        <w:commentReference w:id="15"/>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6"/>
      <w:r w:rsidR="00F30B4D">
        <w:t xml:space="preserve">study </w:t>
      </w:r>
      <w:commentRangeEnd w:id="16"/>
      <w:r w:rsidR="00E60C05">
        <w:rPr>
          <w:rStyle w:val="CommentReference"/>
        </w:rPr>
        <w:commentReference w:id="16"/>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lastRenderedPageBreak/>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7"/>
      <w:r w:rsidR="00743A1E">
        <w:t xml:space="preserve">reactions </w:t>
      </w:r>
      <w:commentRangeEnd w:id="17"/>
      <w:r w:rsidR="00864FF0">
        <w:rPr>
          <w:rStyle w:val="CommentReference"/>
        </w:rPr>
        <w:commentReference w:id="17"/>
      </w:r>
      <w:r w:rsidR="00743A1E">
        <w:t>enable.</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5D96E834" w:rsidR="00361D54" w:rsidRDefault="00602E0B" w:rsidP="00602E0B">
      <w:pPr>
        <w:bidi w:val="0"/>
        <w:jc w:val="both"/>
      </w:pPr>
      <w:r>
        <w:t xml:space="preserve">Another </w:t>
      </w:r>
      <w:r w:rsidR="00361D54">
        <w:t>DNA</w:t>
      </w:r>
      <w:r>
        <w:t xml:space="preserve">-related metathesis was reported </w:t>
      </w:r>
      <w:r w:rsidR="00D73DF8">
        <w:t>for the formation of building blocks for DNA libraries – a technology for the identification of small molecules. A ruthenium NHC catalyst used in excess managed to catalyze both CM and RCM on substrates bound to an oligonucleotide backbone.</w:t>
      </w:r>
      <w:commentRangeStart w:id="18"/>
      <w:r w:rsidR="00EE3ACF">
        <w:rPr>
          <w:vertAlign w:val="superscript"/>
        </w:rPr>
        <w:t>?</w:t>
      </w:r>
      <w:commentRangeEnd w:id="18"/>
      <w:r w:rsidR="00EE3ACF">
        <w:rPr>
          <w:rStyle w:val="CommentReference"/>
        </w:rPr>
        <w:commentReference w:id="18"/>
      </w:r>
      <w:r w:rsidR="00D73DF8">
        <w:t xml:space="preserve"> </w:t>
      </w:r>
      <w:r w:rsidR="00EE3ACF">
        <w:t xml:space="preserve"> </w:t>
      </w:r>
      <w:r w:rsidR="000517E3">
        <w:t>Catalysis on nucleic acids themselves was demonstrated for the nucleoside uridine, which was successfully dimerized using an anionic CAAC catalyst</w:t>
      </w:r>
      <w:r w:rsidR="00E714BE">
        <w:t>.</w:t>
      </w:r>
      <w:r w:rsidR="002D6079">
        <w:rPr>
          <w:vertAlign w:val="superscript"/>
        </w:rPr>
        <w:t>12</w:t>
      </w:r>
      <w:r w:rsidR="000517E3">
        <w:t xml:space="preserve"> The ability to modify DNA</w:t>
      </w:r>
      <w:r w:rsidR="00361A5D">
        <w:t xml:space="preserve"> </w:t>
      </w:r>
      <w:r w:rsidR="000517E3">
        <w:t xml:space="preserve">and </w:t>
      </w:r>
      <w:r w:rsidR="00361A5D">
        <w:t>DNA</w:t>
      </w:r>
      <w:r w:rsidR="000517E3">
        <w:t>-bonding molecules can be used to regulate genes, identify mutations and detect gene expression.</w:t>
      </w:r>
    </w:p>
    <w:p w14:paraId="2384A8EA" w14:textId="30947048" w:rsidR="00361A5D" w:rsidRPr="00361A5D" w:rsidRDefault="00361A5D" w:rsidP="00953BD1">
      <w:pPr>
        <w:bidi w:val="0"/>
        <w:jc w:val="both"/>
      </w:pPr>
      <w:r>
        <w:t xml:space="preserve">Ring-closing metathesis was also applied to RNA dinucleotides, in order to increase the steric bulk of the RNA and </w:t>
      </w:r>
      <w:r w:rsidR="00953BD1">
        <w:t>control its secondary structure.</w:t>
      </w:r>
      <w:commentRangeStart w:id="19"/>
      <w:r w:rsidR="00953BD1">
        <w:rPr>
          <w:vertAlign w:val="superscript"/>
        </w:rPr>
        <w:t>?</w:t>
      </w:r>
      <w:commentRangeEnd w:id="19"/>
      <w:r w:rsidR="00953BD1">
        <w:rPr>
          <w:rStyle w:val="CommentReference"/>
        </w:rPr>
        <w:commentReference w:id="19"/>
      </w:r>
      <w:r w:rsidRPr="00361A5D">
        <w:t>‌</w:t>
      </w:r>
      <w:r w:rsidR="00953BD1">
        <w:t xml:space="preserve"> The purpose of the study utilizing this reaction was to create a conformationally restricted oligonucleotide, but an similar reaction design may also be used to enhance three-dimensional folding or </w:t>
      </w:r>
      <w:r w:rsidR="00784C2E">
        <w:t>change</w:t>
      </w:r>
      <w:r w:rsidR="00953BD1">
        <w:t xml:space="preserve"> the specific structure of the RNA, to </w:t>
      </w:r>
      <w:r w:rsidR="00784C2E">
        <w:t>control</w:t>
      </w:r>
      <w:r w:rsidR="00953BD1">
        <w:t xml:space="preserve"> its affinity and reactivity.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4992D3BD" w:rsidR="007B50CE" w:rsidRDefault="00ED6380" w:rsidP="007B50CE">
      <w:pPr>
        <w:bidi w:val="0"/>
        <w:jc w:val="both"/>
      </w:pPr>
      <w:r>
        <w:t xml:space="preserve">Prodrug activation was investigated with the antitumor drug </w:t>
      </w:r>
      <w:commentRangeStart w:id="20"/>
      <w:r>
        <w:t>SW620</w:t>
      </w:r>
      <w:commentRangeEnd w:id="20"/>
      <w:r w:rsidR="00152B6A">
        <w:rPr>
          <w:rStyle w:val="CommentReference"/>
        </w:rPr>
        <w:commentReference w:id="20"/>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r w:rsidR="00BC167B">
        <w:t>in vivo</w:t>
      </w:r>
      <w:r w:rsidR="00152B6A">
        <w:t>, in mice</w:t>
      </w:r>
      <w:r w:rsidR="002D473D">
        <w:t xml:space="preserve"> with implanted tumors. </w:t>
      </w:r>
      <w:r w:rsidR="009C1E33">
        <w:t>The</w:t>
      </w:r>
      <w:r w:rsidR="002D473D">
        <w:t xml:space="preserve"> prodrug </w:t>
      </w:r>
      <w:r w:rsidR="009C1E33">
        <w:lastRenderedPageBreak/>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21"/>
      <w:r w:rsidR="005562EC">
        <w:t xml:space="preserve">study </w:t>
      </w:r>
      <w:commentRangeEnd w:id="21"/>
      <w:r w:rsidR="00FA2182">
        <w:rPr>
          <w:rStyle w:val="CommentReference"/>
        </w:rPr>
        <w:commentReference w:id="21"/>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22"/>
      <w:r>
        <w:t>temperature</w:t>
      </w:r>
      <w:commentRangeEnd w:id="22"/>
      <w:r w:rsidR="00C37389">
        <w:rPr>
          <w:rStyle w:val="CommentReference"/>
        </w:rPr>
        <w:commentReference w:id="22"/>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w:t>
      </w:r>
      <w:r>
        <w:lastRenderedPageBreak/>
        <w:t>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23"/>
      <w:r w:rsidR="00B64233">
        <w:t xml:space="preserve">isomerization </w:t>
      </w:r>
      <w:commentRangeEnd w:id="23"/>
      <w:r w:rsidR="00B64233">
        <w:rPr>
          <w:rStyle w:val="CommentReference"/>
        </w:rPr>
        <w:commentReference w:id="23"/>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4F483FAB" w:rsidR="006E4485" w:rsidRPr="007E4298" w:rsidRDefault="007E4298" w:rsidP="00C82E69">
      <w:pPr>
        <w:pStyle w:val="Heading3"/>
      </w:pPr>
      <w:r>
        <w:t>Substrate</w:t>
      </w:r>
      <w:r w:rsidR="006E4485" w:rsidRPr="007E4298">
        <w:t>-specific</w:t>
      </w:r>
      <w:r w:rsidR="00497433" w:rsidRPr="007E4298">
        <w:t xml:space="preserve"> challenges</w:t>
      </w:r>
    </w:p>
    <w:p w14:paraId="2C2A4CFE" w14:textId="4EBAD33F" w:rsidR="00BC167B" w:rsidRDefault="001B4BC1" w:rsidP="00BC167B">
      <w:pPr>
        <w:bidi w:val="0"/>
        <w:jc w:val="both"/>
      </w:pPr>
      <w:r>
        <w:t xml:space="preserve">Not all olefins react with the same rate and yield, and catalysts that seem successful in simple lab reactions may fail to convert biological compounds. This challenge has two </w:t>
      </w:r>
      <w:r w:rsidR="003435CD">
        <w:t>main</w:t>
      </w:r>
      <w:r>
        <w:t xml:space="preserve"> causes – steric </w:t>
      </w:r>
      <w:r w:rsidR="007E00B7">
        <w:t>congestion</w:t>
      </w:r>
      <w:r>
        <w:t xml:space="preserve"> and </w:t>
      </w:r>
      <w:r w:rsidR="001D05F1">
        <w:t>electronic properties.</w:t>
      </w:r>
    </w:p>
    <w:p w14:paraId="7C99E72F" w14:textId="002534DB" w:rsidR="007E00B7" w:rsidRDefault="007E00B7" w:rsidP="007E00B7">
      <w:pPr>
        <w:bidi w:val="0"/>
        <w:jc w:val="both"/>
      </w:pPr>
      <w:r>
        <w:t>The steric demand of metathesis is simple – the mechanism in fig. 1 demonstrates how coordination of the alkene to the metal atom is required for each step in the conversion. If either of the reactants</w:t>
      </w:r>
      <w:r w:rsidR="00DF528D">
        <w:t xml:space="preserve"> or the catalyst</w:t>
      </w:r>
      <w:r>
        <w:t xml:space="preserve"> contain bulky group</w:t>
      </w:r>
      <w:r w:rsidR="00DF528D">
        <w:t>s</w:t>
      </w:r>
      <w:r>
        <w:t xml:space="preserve"> which impede this coordination, the reaction will not proceed</w:t>
      </w:r>
      <w:r w:rsidR="00DF528D">
        <w:t xml:space="preserve"> or achieve lower yields</w:t>
      </w:r>
      <w:r>
        <w:t>.</w:t>
      </w:r>
      <w:r w:rsidR="00283FC9">
        <w:t xml:space="preserve"> This effect is prominent for </w:t>
      </w:r>
      <w:r>
        <w:t xml:space="preserve"> </w:t>
      </w:r>
      <w:r w:rsidR="00C623EC">
        <w:t xml:space="preserve">protein-conjugated catalysts and hindered sugar derivatives like </w:t>
      </w:r>
      <w:r w:rsidR="00C623EC" w:rsidRPr="00C623EC">
        <w:t>GlcNAc</w:t>
      </w:r>
      <w:r w:rsidR="00F30D91">
        <w:t>, which either require longer reaction times or fail to catalyze at all in comparison to equivalent small reactants</w:t>
      </w:r>
      <w:r w:rsidR="00C623EC">
        <w:t>.</w:t>
      </w:r>
      <w:r w:rsidR="00A40AC7">
        <w:rPr>
          <w:vertAlign w:val="superscript"/>
        </w:rPr>
        <w:t>10</w:t>
      </w:r>
    </w:p>
    <w:p w14:paraId="5EEDA6F0" w14:textId="5DCF654D" w:rsidR="00F30D91" w:rsidRDefault="00F30D91" w:rsidP="00F30D91">
      <w:pPr>
        <w:bidi w:val="0"/>
        <w:jc w:val="both"/>
      </w:pPr>
      <w:r>
        <w:t xml:space="preserve">Electron-withdrawing groups like ammonium also </w:t>
      </w:r>
      <w:r w:rsidR="00B33E5A">
        <w:t>reduce metathesis efficiency.</w:t>
      </w:r>
      <w:r w:rsidR="00E35CEB">
        <w:rPr>
          <w:vertAlign w:val="superscript"/>
        </w:rPr>
        <w:t>10</w:t>
      </w:r>
      <w:r w:rsidR="00B33E5A">
        <w:t xml:space="preserve"> The catalytic cycle explains this as well – an electron-deficient moiety prevents coordination with the electron deficient catalyst.</w:t>
      </w:r>
    </w:p>
    <w:p w14:paraId="704BD42D" w14:textId="0477C1F4" w:rsidR="0014293B" w:rsidRPr="0014293B" w:rsidRDefault="00317258" w:rsidP="0014293B">
      <w:pPr>
        <w:bidi w:val="0"/>
        <w:jc w:val="both"/>
      </w:pPr>
      <w: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t>. This effect was observed for bulky allyl sulfides.</w:t>
      </w:r>
      <w:r w:rsidR="0066773B">
        <w:rPr>
          <w:vertAlign w:val="superscript"/>
        </w:rPr>
        <w:t>10</w:t>
      </w:r>
      <w:r w:rsidR="0014293B">
        <w:t xml:space="preserve"> The metathesis reactant must therefore be reactive, but not too reactive in order to form the desired product.</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 xml:space="preserve">Water can also lower metathesis yield by changing the reactant's conformation – hydrogen bonding to water molecules changes the free energy of the alkene. For some RCMs tested, </w:t>
      </w:r>
      <w:r>
        <w:lastRenderedPageBreak/>
        <w:t>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3024F61" w:rsidR="006E4485" w:rsidRPr="00213D8F" w:rsidRDefault="000A1714" w:rsidP="00904915">
      <w:pPr>
        <w:pStyle w:val="Heading3"/>
      </w:pPr>
      <w:r w:rsidRPr="00213D8F">
        <w:t>B</w:t>
      </w:r>
      <w:r w:rsidR="006E4485" w:rsidRPr="00213D8F">
        <w:t>iology-related</w:t>
      </w:r>
      <w:r w:rsidR="00213D8F" w:rsidRPr="00213D8F">
        <w:t xml:space="preserve"> constraints</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24"/>
      <w:r>
        <w:t>be maximized as well</w:t>
      </w:r>
      <w:commentRangeEnd w:id="24"/>
      <w:r w:rsidR="00281D0D">
        <w:rPr>
          <w:rStyle w:val="CommentReference"/>
        </w:rPr>
        <w:commentReference w:id="24"/>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25"/>
      <w:r w:rsidR="00E97B8E">
        <w:t>to bind to DNA</w:t>
      </w:r>
      <w:commentRangeEnd w:id="25"/>
      <w:r w:rsidR="00E97B8E">
        <w:rPr>
          <w:rStyle w:val="CommentReference"/>
        </w:rPr>
        <w:commentReference w:id="25"/>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26"/>
      <w:r w:rsidR="001864F7">
        <w:t>that binds preferentially near the reaction environment</w:t>
      </w:r>
      <w:commentRangeEnd w:id="26"/>
      <w:r w:rsidR="001864F7">
        <w:rPr>
          <w:rStyle w:val="CommentReference"/>
        </w:rPr>
        <w:commentReference w:id="26"/>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and servers as an important antioxidant that aids in the removal of peroxides.</w:t>
      </w:r>
      <w:commentRangeStart w:id="27"/>
      <w:r w:rsidR="0025227D">
        <w:rPr>
          <w:vertAlign w:val="superscript"/>
        </w:rPr>
        <w:t>yay</w:t>
      </w:r>
      <w:commentRangeEnd w:id="27"/>
      <w:r w:rsidR="0025227D">
        <w:rPr>
          <w:rStyle w:val="CommentReference"/>
        </w:rPr>
        <w:commentReference w:id="27"/>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649989D8" w14:textId="14093970" w:rsidR="00D866BC" w:rsidRDefault="002F4DE8" w:rsidP="000A2B34">
      <w:pPr>
        <w:bidi w:val="0"/>
        <w:jc w:val="both"/>
      </w:pPr>
      <w: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Pr>
          <w:vertAlign w:val="superscript"/>
        </w:rPr>
        <w:t>last paper in textbook</w:t>
      </w:r>
      <w:r>
        <w:t xml:space="preserve"> Obviously</w:t>
      </w:r>
      <w:r w:rsidR="00150C69">
        <w:t xml:space="preserve">, none of these can be utilized if the cellular environment should remain living and functioning. An alternative should be found to scavenge the catalyst while keeping the cell intact, or to use such small </w:t>
      </w:r>
      <w:r w:rsidR="00150C69">
        <w:lastRenderedPageBreak/>
        <w:t>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8"/>
      <w:r w:rsidR="00A91F21">
        <w:t>effects</w:t>
      </w:r>
      <w:commentRangeEnd w:id="28"/>
      <w:r w:rsidR="00A91F21">
        <w:rPr>
          <w:rStyle w:val="CommentReference"/>
        </w:rPr>
        <w:commentReference w:id="28"/>
      </w:r>
      <w:r w:rsidR="00A91F21">
        <w:t>, special care should be taken to avoid its aggregation (?).</w:t>
      </w:r>
    </w:p>
    <w:p w14:paraId="73771C49" w14:textId="77777777" w:rsidR="00812DAF" w:rsidRDefault="00812DAF" w:rsidP="00812DAF">
      <w:pPr>
        <w:pStyle w:val="ListParagraph"/>
        <w:bidi w:val="0"/>
        <w:ind w:left="1800"/>
        <w:jc w:val="both"/>
      </w:pPr>
    </w:p>
    <w:p w14:paraId="18B60075" w14:textId="0C561270" w:rsidR="00650015" w:rsidRDefault="006E4485" w:rsidP="00650015">
      <w:pPr>
        <w:pStyle w:val="Heading2"/>
      </w:pPr>
      <w:r w:rsidRPr="002C25F4">
        <w:rPr>
          <w:rStyle w:val="Heading2Char"/>
        </w:rPr>
        <w:t>Solutions</w:t>
      </w:r>
      <w:r>
        <w:t xml:space="preserve"> </w:t>
      </w:r>
    </w:p>
    <w:p w14:paraId="3198F0FA" w14:textId="2AFD582A" w:rsidR="00650015" w:rsidRPr="00650015" w:rsidRDefault="00650015" w:rsidP="00650015">
      <w:pPr>
        <w:bidi w:val="0"/>
        <w:jc w:val="both"/>
      </w:pPr>
      <w: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9"/>
      <w:r>
        <w:t>Some downside</w:t>
      </w:r>
      <w:r w:rsidR="00E30202">
        <w:t>s</w:t>
      </w:r>
      <w:r>
        <w:t xml:space="preserve"> of neutral, hydrophobic catalysts can be resolved by attaching ionic moieties. </w:t>
      </w:r>
      <w:r w:rsidR="00801450">
        <w:t xml:space="preserve">AquaMet </w:t>
      </w:r>
      <w:commentRangeEnd w:id="29"/>
      <w:r w:rsidR="00710332">
        <w:rPr>
          <w:rStyle w:val="CommentReference"/>
        </w:rPr>
        <w:commentReference w:id="29"/>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w:t>
      </w:r>
      <w:r w:rsidR="004B5C43">
        <w:lastRenderedPageBreak/>
        <w:t>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w:t>
      </w:r>
      <w:r w:rsidR="00613CA9">
        <w:lastRenderedPageBreak/>
        <w:t xml:space="preserve">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lastRenderedPageBreak/>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t>C</w:t>
      </w:r>
      <w:r w:rsidR="00E44A9C">
        <w:t>hemical modification</w:t>
      </w:r>
      <w:r>
        <w:t xml:space="preserve"> can be achieved by direct allylation with allyl halides. This method was used to convert cysteine to S-allylcysteine (Sac), </w:t>
      </w:r>
      <w:r w:rsidR="00AF3870">
        <w:t xml:space="preserve">and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Se-allyl selenenylsulfide</w:t>
      </w:r>
      <w:r w:rsidR="009F04A4">
        <w:t xml:space="preserve"> using allyl selenocyanate and then underwent rearrangement to form Sac.</w:t>
      </w:r>
      <w:r w:rsidR="00902CAA">
        <w:t xml:space="preserve"> Both methods provided an active protein that also reacted in olefin metathesis with allyl </w:t>
      </w:r>
      <w:commentRangeStart w:id="30"/>
      <w:r w:rsidR="00902CAA">
        <w:t>alcohol</w:t>
      </w:r>
      <w:commentRangeEnd w:id="30"/>
      <w:r w:rsidR="007B0199">
        <w:rPr>
          <w:rStyle w:val="CommentReference"/>
        </w:rPr>
        <w:commentReference w:id="30"/>
      </w:r>
      <w:r w:rsidR="00902CAA">
        <w:t>.</w:t>
      </w:r>
    </w:p>
    <w:p w14:paraId="37102E56" w14:textId="65DDB337" w:rsidR="00E44A9C"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w:t>
      </w:r>
      <w:r w:rsidR="002C117A">
        <w:t>(</w:t>
      </w:r>
      <w:r w:rsidR="00203D63">
        <w:t xml:space="preserve"> </w:t>
      </w:r>
      <w:r w:rsidR="007126CB">
        <w:t>look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r>
        <w:rPr>
          <w:vertAlign w:val="superscript"/>
        </w:rPr>
        <w:t>?</w:t>
      </w:r>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lastRenderedPageBreak/>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31"/>
      <w:r w:rsidRPr="00DC3008">
        <w:rPr>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31"/>
      <w:r>
        <w:rPr>
          <w:rStyle w:val="CommentReference"/>
        </w:rPr>
        <w:commentReference w:id="31"/>
      </w:r>
    </w:p>
    <w:p w14:paraId="364E07DC" w14:textId="54D4400F" w:rsidR="00E33E32" w:rsidRDefault="00023038" w:rsidP="00E33E32">
      <w:pPr>
        <w:pStyle w:val="ListParagraph"/>
        <w:bidi w:val="0"/>
        <w:ind w:left="1800"/>
        <w:jc w:val="both"/>
      </w:pPr>
      <w:r>
        <w:t>All the nice things that facilitate reactions</w:t>
      </w:r>
    </w:p>
    <w:p w14:paraId="2D8B1A6F" w14:textId="00F4E991" w:rsidR="006E4485" w:rsidRPr="00A91298" w:rsidRDefault="000E5E95" w:rsidP="00A91298">
      <w:pPr>
        <w:pStyle w:val="Heading3"/>
      </w:pPr>
      <w:r w:rsidRPr="00A91298">
        <w:t>A</w:t>
      </w:r>
      <w:r w:rsidR="006E4485" w:rsidRPr="00A91298">
        <w:t>dditional reagents</w:t>
      </w:r>
    </w:p>
    <w:p w14:paraId="101A327F" w14:textId="36B3EAF7" w:rsidR="000E5E95" w:rsidRPr="001209C7" w:rsidRDefault="00655536" w:rsidP="000E5E95">
      <w:pPr>
        <w:bidi w:val="0"/>
        <w:jc w:val="both"/>
      </w:pPr>
      <w:r>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reactions</w:t>
      </w:r>
      <w:r w:rsidR="001209C7">
        <w:rPr>
          <w:vertAlign w:val="superscript"/>
        </w:rPr>
        <w:t>also 17</w:t>
      </w:r>
      <w:commentRangeStart w:id="32"/>
      <w:r w:rsidR="006C6999">
        <w:t>,</w:t>
      </w:r>
      <w:commentRangeEnd w:id="32"/>
      <w:r w:rsidR="006C6999">
        <w:rPr>
          <w:rStyle w:val="CommentReference"/>
        </w:rPr>
        <w:commentReference w:id="32"/>
      </w:r>
      <w:r w:rsidR="006C6999">
        <w:t xml:space="preserve"> </w:t>
      </w:r>
      <w:r w:rsidR="001209C7">
        <w:t xml:space="preserve"> in part because the Mg</w:t>
      </w:r>
      <w:r w:rsidR="001209C7">
        <w:rPr>
          <w:vertAlign w:val="superscript"/>
        </w:rPr>
        <w:t>+2</w:t>
      </w:r>
      <w:r w:rsidR="001209C7">
        <w:t>, a soft lewis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dichloro form </w:t>
      </w:r>
      <w:commentRangeStart w:id="33"/>
      <w:r w:rsidR="00875A54">
        <w:t xml:space="preserve">of </w:t>
      </w:r>
      <w:commentRangeEnd w:id="33"/>
      <w:r w:rsidR="00A91298">
        <w:rPr>
          <w:rStyle w:val="CommentReference"/>
        </w:rPr>
        <w:commentReference w:id="33"/>
      </w:r>
      <w:r w:rsidR="00875A54">
        <w:t xml:space="preserve">the </w:t>
      </w:r>
      <w:commentRangeStart w:id="34"/>
      <w:r w:rsidR="00875A54">
        <w:t>catalyst</w:t>
      </w:r>
      <w:commentRangeEnd w:id="34"/>
      <w:r w:rsidR="00986504">
        <w:rPr>
          <w:rStyle w:val="CommentReference"/>
        </w:rPr>
        <w:commentReference w:id="34"/>
      </w:r>
      <w:r w:rsidR="00875A54">
        <w:t>.</w:t>
      </w:r>
    </w:p>
    <w:p w14:paraId="3702B966" w14:textId="77777777" w:rsidR="000E5E95" w:rsidRDefault="000E5E95" w:rsidP="000E5E95">
      <w:pPr>
        <w:bidi w:val="0"/>
        <w:jc w:val="both"/>
      </w:pPr>
    </w:p>
    <w:p w14:paraId="4C81D583" w14:textId="10DBB82E" w:rsidR="006E4485" w:rsidRPr="00AC79F9" w:rsidRDefault="006E4485" w:rsidP="008D3646">
      <w:pPr>
        <w:pStyle w:val="Heading3"/>
      </w:pPr>
      <w:r w:rsidRPr="00AC79F9">
        <w:t xml:space="preserve">Choice of the </w:t>
      </w:r>
      <w:r w:rsidR="0045138A" w:rsidRPr="00AC79F9">
        <w:t>biological system</w:t>
      </w:r>
    </w:p>
    <w:p w14:paraId="6107F545" w14:textId="633F73E4" w:rsidR="008D3646" w:rsidRDefault="00E93BC6" w:rsidP="008D3646">
      <w:pPr>
        <w:bidi w:val="0"/>
        <w:jc w:val="both"/>
      </w:pPr>
      <w:r w:rsidRPr="00E93BC6">
        <w:t xml:space="preserve">Although </w:t>
      </w:r>
      <w:r w:rsidR="00C95327">
        <w:t xml:space="preserve">metathesis inside cells poses many challenges, careful choice of the environment can minimize them. </w:t>
      </w:r>
      <w:r w:rsidR="008D3646">
        <w:t>For example, to eliminate catalyst decomposition by GSH reduction, olefin metathesis in E. coli was localized to the cell's periplasm – the space between the two bacterial membranes – where glutathione is present in its harmless oxidized form.</w:t>
      </w:r>
      <w:r w:rsidR="008D3646">
        <w:rPr>
          <w:vertAlign w:val="superscript"/>
        </w:rPr>
        <w:t>2</w:t>
      </w:r>
    </w:p>
    <w:p w14:paraId="5A49BC6D" w14:textId="0EE70750" w:rsidR="00620EFC" w:rsidRDefault="00BC12AB" w:rsidP="00620EFC">
      <w:pPr>
        <w:bidi w:val="0"/>
        <w:jc w:val="both"/>
      </w:pPr>
      <w:r>
        <w:t>The cytotoxicity of metathesis catalysts is established, for multiple cell types,</w:t>
      </w:r>
      <w:r>
        <w:rPr>
          <w:vertAlign w:val="superscript"/>
        </w:rPr>
        <w:t>1, 22,23</w:t>
      </w:r>
      <w:r>
        <w:t xml:space="preserve"> but is not equal for every cell. As a dose-dependent comparison of AquaMet effect on viability has shown, </w:t>
      </w:r>
      <w:r w:rsidR="00AC79F9">
        <w:t>the cell lines HeLa and 1MEA show drastically different survival rates.</w:t>
      </w:r>
      <w:r w:rsidR="00AC79F9">
        <w:rPr>
          <w:vertAlign w:val="superscript"/>
        </w:rPr>
        <w:t>23</w:t>
      </w:r>
      <w:r w:rsidR="00AC79F9">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Default="00AC79F9" w:rsidP="00AC79F9">
      <w:pPr>
        <w:bidi w:val="0"/>
        <w:jc w:val="both"/>
      </w:pPr>
      <w:r>
        <w:t xml:space="preserve">Another </w:t>
      </w:r>
      <w:r w:rsidR="00025BCA">
        <w:t>encouraging</w:t>
      </w:r>
      <w:r>
        <w:t xml:space="preserve"> </w:t>
      </w:r>
      <w:r w:rsidR="00025BCA">
        <w:t xml:space="preserve">result is the high cell viability achieved when the catalyst is delivered by polymersomes. The study testing this technique also measured HeLa viability, and achieved </w:t>
      </w:r>
      <w:r w:rsidR="00DB3462">
        <w:t>about 80% viability in polymersome concentrations as high as 1 mg/mL, whereas with unprotected AquaMet viability dropped to 50% for concentration of 0.46 mg/mL.</w:t>
      </w:r>
      <w:r w:rsidR="00DB3462">
        <w:rPr>
          <w:vertAlign w:val="superscript"/>
        </w:rPr>
        <w:t>22, 23</w:t>
      </w:r>
      <w:r w:rsidR="00DE2EA5">
        <w:t xml:space="preserve"> </w:t>
      </w:r>
      <w:r w:rsidR="00DE2EA5">
        <w:lastRenderedPageBreak/>
        <w:t>Therefore, localizing the reaction in an intracellular compartment or organelle may protect the cell.</w:t>
      </w:r>
    </w:p>
    <w:p w14:paraId="60A81BBA" w14:textId="77777777" w:rsidR="00780FA6" w:rsidRPr="00DE2EA5" w:rsidRDefault="00780FA6" w:rsidP="00780FA6">
      <w:pPr>
        <w:bidi w:val="0"/>
        <w:jc w:val="both"/>
      </w:pPr>
    </w:p>
    <w:p w14:paraId="36008314" w14:textId="4A8D81A1" w:rsidR="00D07590" w:rsidRDefault="006E4485" w:rsidP="00D07590">
      <w:pPr>
        <w:pStyle w:val="Heading1"/>
      </w:pPr>
      <w:r>
        <w:t>Discussion</w:t>
      </w:r>
    </w:p>
    <w:p w14:paraId="33CDB0C5" w14:textId="75ED2692" w:rsidR="00D07590" w:rsidRDefault="00D07590" w:rsidP="00D07590">
      <w:pPr>
        <w:bidi w:val="0"/>
      </w:pPr>
    </w:p>
    <w:p w14:paraId="2926BDC2" w14:textId="67D09FF9" w:rsidR="00D07590" w:rsidRDefault="00BC655A" w:rsidP="00631023">
      <w:pPr>
        <w:bidi w:val="0"/>
        <w:jc w:val="both"/>
      </w:pPr>
      <w:r>
        <w:t xml:space="preserve">The scope, both for reactions and application, for in vivo olefin metathesis is wide and the challenges are significant – the few </w:t>
      </w:r>
      <w:r w:rsidR="00631023">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Default="00274C3E" w:rsidP="00274C3E">
      <w:pPr>
        <w:bidi w:val="0"/>
        <w:jc w:val="both"/>
      </w:pPr>
      <w:r>
        <w:t xml:space="preserve">The most significant and easily controlled factor is the catalyst. </w:t>
      </w:r>
      <w:r w:rsidR="0094049C">
        <w:t>As c</w:t>
      </w:r>
      <w:r w:rsidR="009D58A1">
        <w:t xml:space="preserve">ommon </w:t>
      </w:r>
      <w:r w:rsidR="0094049C">
        <w:t>industry-level GHII catalysts are not water tolerant and biologically safe, one of two alternative paths may be taken – optimizing small ruthenium complexes for solubility and cell viability</w:t>
      </w:r>
      <w:r w:rsidR="000B1958">
        <w:t xml:space="preserve"> (</w:t>
      </w:r>
      <w:r w:rsidR="0094049C">
        <w:t xml:space="preserve">for example, by adding anionic </w:t>
      </w:r>
      <w:r w:rsidR="006014AF">
        <w:t>groups</w:t>
      </w:r>
      <w:r w:rsidR="00B4030A">
        <w:t xml:space="preserve"> or changing the halides</w:t>
      </w:r>
      <w:r w:rsidR="000B1958">
        <w:t>)</w:t>
      </w:r>
      <w:r w:rsidR="0094049C">
        <w:t>, or synthesizing artificial metalloenzymes.</w:t>
      </w:r>
      <w:r w:rsidR="006014AF">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t>, which should involve site-specific mutations for further optimization, will probably provide better results which are necessary for products with a strong effect (e.g. drugs) or experiments in living animals.</w:t>
      </w:r>
    </w:p>
    <w:p w14:paraId="00A00451" w14:textId="1CB10ADA" w:rsidR="00B4030A" w:rsidRDefault="001344D2" w:rsidP="00B4030A">
      <w:pPr>
        <w:bidi w:val="0"/>
        <w:jc w:val="both"/>
      </w:pPr>
      <w:r>
        <w:t xml:space="preserve">Although the theoretic </w:t>
      </w:r>
      <w:r w:rsidR="00EC14F8">
        <w:t>range</w:t>
      </w:r>
      <w:r>
        <w:t xml:space="preserve"> of metathesis reactions is very wide – every CM, RCM, ROMP and more – the </w:t>
      </w:r>
      <w:r w:rsidR="00A17F3D">
        <w:t>number of truly possible reactions is low</w:t>
      </w:r>
      <w:r w:rsidR="00C871CA">
        <w:t>er</w:t>
      </w:r>
      <w:r w:rsidR="00A17F3D">
        <w:t>.</w:t>
      </w:r>
      <w:r w:rsidR="00C871CA">
        <w:t xml:space="preserve"> Olefins with bulky or electron-deficient groups – which are frequent in biological setting – often convert slowly, with low yields or fail to react at all. </w:t>
      </w:r>
      <w:r w:rsidR="005B41F4">
        <w:t>When possible, at least one of the reacting alkenes should be designed to maximize the length of the link to the hindering molecule</w:t>
      </w:r>
      <w:r w:rsidR="00231738">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t>, so they are recommended for testing new catalysts or reaction methods.</w:t>
      </w:r>
    </w:p>
    <w:p w14:paraId="11800F09" w14:textId="722C24C2" w:rsidR="003419FB" w:rsidRDefault="003419FB" w:rsidP="003419FB">
      <w:pPr>
        <w:bidi w:val="0"/>
        <w:jc w:val="both"/>
      </w:pPr>
      <w:r>
        <w:t>Aqueous olefin metathesis experiments showed that some reagents prevent catalyst decomposition and increase yield, the most prominent being MgCl</w:t>
      </w:r>
      <w:r>
        <w:rPr>
          <w:vertAlign w:val="subscript"/>
        </w:rPr>
        <w:t>2</w:t>
      </w:r>
      <w:r>
        <w:t>. However, cell cytoplasm can't be modified easily so we shouldn't rely on such modification, unless the reaction is localized to a compartment with distinct ion content (like the sarcoplasmic reticulum contains high Ca</w:t>
      </w:r>
      <w:r>
        <w:rPr>
          <w:vertAlign w:val="superscript"/>
        </w:rPr>
        <w:t>+2</w:t>
      </w:r>
      <w:r>
        <w:t xml:space="preserve"> concentration).</w:t>
      </w:r>
      <w:r w:rsidR="00A91298">
        <w:t xml:space="preserve"> Instead, catalyst delivery techniques like polymersomes can be used to minimize contact with deactivating agents.</w:t>
      </w:r>
    </w:p>
    <w:p w14:paraId="50A30670" w14:textId="15217B2B" w:rsidR="00205C31" w:rsidRDefault="00205C31" w:rsidP="00D46197">
      <w:pPr>
        <w:bidi w:val="0"/>
        <w:jc w:val="both"/>
      </w:pPr>
      <w:r>
        <w:t>Some usages for olefin metathesis in living cells were proposed and even less experimentally tested, most of them concerning protein modification.</w:t>
      </w:r>
      <w:r w:rsidR="00780FA6">
        <w:t xml:space="preserve"> The results so far seem promising, especially histone modification, which was demonstrated in a reversible manner and could be utilized for "genetic switches"</w:t>
      </w:r>
      <w:r w:rsidR="00D46197">
        <w:t>. Another interesting modification can be ubiquitylation, which can be used to control protein lifecycle</w:t>
      </w:r>
      <w:r w:rsidR="00780FA6">
        <w:t xml:space="preserve">. </w:t>
      </w:r>
      <w:r w:rsidR="00B55C4B">
        <w:t xml:space="preserve">Further research on other important proteins is needed, and on potential metabolic utilization of fatty acids metathesis, which proceeded </w:t>
      </w:r>
      <w:r w:rsidR="00B55C4B">
        <w:lastRenderedPageBreak/>
        <w:t>successfully in microalgae cells.</w:t>
      </w:r>
      <w:r w:rsidR="00D46197">
        <w:t xml:space="preserve"> Sugar modification was achieved for monomers</w:t>
      </w:r>
      <w:r w:rsidR="001F0B81">
        <w:t xml:space="preserve"> and its usage in multicellular systems can </w:t>
      </w:r>
      <w:r w:rsidR="00553D69">
        <w:t>alter</w:t>
      </w:r>
      <w:r w:rsidR="001F0B81">
        <w:t xml:space="preserve"> metabolic and cell signaling processes.</w:t>
      </w:r>
      <w:r w:rsidR="00D46197">
        <w:t xml:space="preserve"> </w:t>
      </w:r>
    </w:p>
    <w:p w14:paraId="3454205F" w14:textId="3179D26B" w:rsidR="00E804C3" w:rsidRDefault="00B337F9" w:rsidP="00E804C3">
      <w:pPr>
        <w:bidi w:val="0"/>
        <w:jc w:val="both"/>
      </w:pPr>
      <w: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t>few</w:t>
      </w:r>
      <w:r>
        <w:t xml:space="preserve"> suggestion</w:t>
      </w:r>
      <w:r w:rsidR="00834EF6">
        <w:t>s</w:t>
      </w:r>
      <w:r>
        <w:t xml:space="preserve"> for bio-compatible scavenging methods </w:t>
      </w:r>
      <w:r w:rsidR="00E804C3">
        <w:t>have been</w:t>
      </w:r>
      <w:r>
        <w:t xml:space="preserve"> published and this remains an obstacle.</w:t>
      </w:r>
    </w:p>
    <w:p w14:paraId="35F32781" w14:textId="38A3B761" w:rsidR="00E804C3" w:rsidRPr="00E804C3" w:rsidRDefault="00E804C3" w:rsidP="00E804C3">
      <w:pPr>
        <w:bidi w:val="0"/>
        <w:jc w:val="both"/>
      </w:pPr>
      <w:r>
        <w:t xml:space="preserve">This obstacle can be at least partially bypassed by using cells that should be destroyed, like cancer cells. Here, the decreased viability caused by ruthenium-carbene complexes becomes an advantage and because of the lowered </w:t>
      </w:r>
      <w:r w:rsidR="009B7A8D">
        <w:t xml:space="preserve">extracellular </w:t>
      </w:r>
      <w:r>
        <w:t xml:space="preserve">pH in tumor </w:t>
      </w:r>
      <w:r w:rsidR="009B7A8D">
        <w:t>microenvironments</w:t>
      </w:r>
      <w:commentRangeStart w:id="35"/>
      <w:r>
        <w:rPr>
          <w:vertAlign w:val="superscript"/>
        </w:rPr>
        <w:t>?</w:t>
      </w:r>
      <w:commentRangeEnd w:id="35"/>
      <w:r>
        <w:rPr>
          <w:rStyle w:val="CommentReference"/>
        </w:rPr>
        <w:commentReference w:id="35"/>
      </w:r>
      <w:r>
        <w:t xml:space="preserve"> , olefin metathesis can be fav</w:t>
      </w:r>
      <w:r w:rsidR="009B7A8D">
        <w:t>o</w:t>
      </w:r>
      <w:r>
        <w:t>red</w:t>
      </w:r>
      <w:r w:rsidR="009B7A8D">
        <w:t xml:space="preserve"> there</w:t>
      </w:r>
      <w:r>
        <w:t>.</w:t>
      </w:r>
    </w:p>
    <w:p w14:paraId="1BAC4DAC" w14:textId="77777777" w:rsidR="006E4485" w:rsidRDefault="006E4485" w:rsidP="00591C6A">
      <w:pPr>
        <w:pStyle w:val="Heading1"/>
      </w:pPr>
      <w:r>
        <w:t>Conclusion</w:t>
      </w:r>
    </w:p>
    <w:p w14:paraId="4C68A1CF" w14:textId="77777777" w:rsidR="00205C31" w:rsidRPr="003419FB" w:rsidRDefault="00205C31" w:rsidP="00205C31">
      <w:pPr>
        <w:bidi w:val="0"/>
        <w:jc w:val="both"/>
      </w:pPr>
      <w:r>
        <w:t>As a new member of the bioorthogonal toolkit</w:t>
      </w:r>
    </w:p>
    <w:p w14:paraId="54D595E3" w14:textId="77777777" w:rsidR="001D04D4" w:rsidRDefault="001D04D4" w:rsidP="00205C31">
      <w:pPr>
        <w:bidi w:val="0"/>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45:00Z" w:initials="HG">
    <w:p w14:paraId="3C0051A1" w14:textId="77777777" w:rsidR="0086415F" w:rsidRDefault="0086415F" w:rsidP="0086415F">
      <w:pPr>
        <w:pStyle w:val="CommentText"/>
        <w:bidi w:val="0"/>
      </w:pPr>
      <w:r>
        <w:rPr>
          <w:rStyle w:val="CommentReference"/>
        </w:rPr>
        <w:annotationRef/>
      </w:r>
      <w:hyperlink r:id="rId2" w:history="1">
        <w:r w:rsidRPr="00E03FD4">
          <w:rPr>
            <w:rStyle w:val="Hyperlink"/>
          </w:rPr>
          <w:t>https://pubs-acs-org.elib.openu.ac.il/doi/10.1021/ja0214882</w:t>
        </w:r>
      </w:hyperlink>
    </w:p>
  </w:comment>
  <w:comment w:id="6" w:author="Hadas Gayer" w:date="2024-12-17T12:03:00Z" w:initials="HG">
    <w:p w14:paraId="1ED89EE5" w14:textId="521C3CE6" w:rsidR="00686761" w:rsidRDefault="00686761" w:rsidP="00686761">
      <w:pPr>
        <w:pStyle w:val="CommentText"/>
        <w:bidi w:val="0"/>
      </w:pPr>
      <w:r>
        <w:rPr>
          <w:rStyle w:val="CommentReference"/>
        </w:rPr>
        <w:annotationRef/>
      </w:r>
      <w:hyperlink r:id="rId3" w:history="1">
        <w:r w:rsidRPr="00B22F14">
          <w:rPr>
            <w:rStyle w:val="Hyperlink"/>
          </w:rPr>
          <w:t>https://www-sciencedirect-com.elib.openu.ac.il/science/article/pii/S0079670016301113?via%3Dihub</w:t>
        </w:r>
      </w:hyperlink>
    </w:p>
  </w:comment>
  <w:comment w:id="7"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8"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9" w:author="Hadas Gayer" w:date="2024-12-17T13:31:00Z" w:initials="HG">
    <w:p w14:paraId="3435B220" w14:textId="77777777" w:rsidR="002B1659" w:rsidRDefault="002B1659" w:rsidP="002B1659">
      <w:pPr>
        <w:pStyle w:val="CommentText"/>
        <w:bidi w:val="0"/>
      </w:pPr>
      <w:r>
        <w:rPr>
          <w:rStyle w:val="CommentReference"/>
        </w:rPr>
        <w:annotationRef/>
      </w:r>
      <w:r>
        <w:t>The Development of</w:t>
      </w:r>
    </w:p>
    <w:p w14:paraId="0AFF5516" w14:textId="77777777" w:rsidR="002B1659" w:rsidRDefault="002B1659" w:rsidP="002B1659">
      <w:pPr>
        <w:pStyle w:val="CommentText"/>
        <w:bidi w:val="0"/>
      </w:pPr>
      <w:r>
        <w:t>L2X2RudCHR Olefin Metathesis</w:t>
      </w:r>
    </w:p>
    <w:p w14:paraId="006FF035" w14:textId="77777777" w:rsidR="002B1659" w:rsidRDefault="002B1659" w:rsidP="002B1659">
      <w:pPr>
        <w:pStyle w:val="CommentText"/>
        <w:bidi w:val="0"/>
      </w:pPr>
      <w:r>
        <w:t>Catalysts: An Organometallic</w:t>
      </w:r>
    </w:p>
    <w:p w14:paraId="615ED21B" w14:textId="77777777" w:rsidR="002B1659" w:rsidRDefault="002B1659" w:rsidP="002B1659">
      <w:pPr>
        <w:pStyle w:val="CommentText"/>
        <w:bidi w:val="0"/>
      </w:pPr>
      <w:r>
        <w:t>Success Story</w:t>
      </w:r>
    </w:p>
  </w:comment>
  <w:comment w:id="10" w:author="Hadas Gayer" w:date="2024-12-17T13:41:00Z" w:initials="HG">
    <w:p w14:paraId="0DAF4023" w14:textId="77777777" w:rsidR="002B1659" w:rsidRDefault="002B1659" w:rsidP="002B1659">
      <w:pPr>
        <w:pStyle w:val="CommentText"/>
        <w:bidi w:val="0"/>
      </w:pPr>
      <w:r>
        <w:rPr>
          <w:rStyle w:val="CommentReference"/>
        </w:rPr>
        <w:annotationRef/>
      </w:r>
      <w:r>
        <w:t>Ruthenium-Based Heterocyclic Carbene-Coordinated Olefin Metathesis</w:t>
      </w:r>
    </w:p>
    <w:p w14:paraId="173C33FE" w14:textId="77777777" w:rsidR="002B1659" w:rsidRDefault="002B1659" w:rsidP="002B1659">
      <w:pPr>
        <w:pStyle w:val="CommentText"/>
        <w:bidi w:val="0"/>
      </w:pPr>
      <w:r>
        <w:t>Catalysts</w:t>
      </w:r>
    </w:p>
  </w:comment>
  <w:comment w:id="11" w:author="Hadas Gayer" w:date="2024-12-17T13:46:00Z" w:initials="HG">
    <w:p w14:paraId="562076CC" w14:textId="77777777" w:rsidR="002B1659" w:rsidRDefault="002B1659" w:rsidP="002B1659">
      <w:pPr>
        <w:pStyle w:val="CommentText"/>
        <w:bidi w:val="0"/>
      </w:pPr>
      <w:r>
        <w:rPr>
          <w:rStyle w:val="CommentReference"/>
        </w:rPr>
        <w:annotationRef/>
      </w:r>
      <w:r>
        <w:rPr>
          <w:color w:val="231F20"/>
        </w:rPr>
        <w:t>Nguyen, S. T.; Johnson, L. K.; Grubbs, R. H.; Ziller, J. W. Ring-</w:t>
      </w:r>
    </w:p>
    <w:p w14:paraId="367A62AD" w14:textId="77777777" w:rsidR="002B1659" w:rsidRDefault="002B1659" w:rsidP="002B1659">
      <w:pPr>
        <w:pStyle w:val="CommentText"/>
        <w:bidi w:val="0"/>
      </w:pPr>
      <w:r>
        <w:rPr>
          <w:color w:val="231F20"/>
        </w:rPr>
        <w:t>Opening Metathesis Polymerization (ROMP) of Norbornene by a</w:t>
      </w:r>
    </w:p>
    <w:p w14:paraId="10285646" w14:textId="77777777" w:rsidR="002B1659" w:rsidRDefault="002B1659" w:rsidP="002B1659">
      <w:pPr>
        <w:pStyle w:val="CommentText"/>
        <w:bidi w:val="0"/>
      </w:pPr>
      <w:r>
        <w:rPr>
          <w:color w:val="231F20"/>
        </w:rPr>
        <w:t>Group VIII Carbene Complex in Protic Media. J. Am. Chem. Soc.</w:t>
      </w:r>
    </w:p>
    <w:p w14:paraId="7420C1DB" w14:textId="77777777" w:rsidR="002B1659" w:rsidRDefault="002B1659" w:rsidP="002B1659">
      <w:pPr>
        <w:pStyle w:val="CommentText"/>
        <w:bidi w:val="0"/>
      </w:pPr>
      <w:r>
        <w:rPr>
          <w:b/>
          <w:bCs/>
          <w:color w:val="231F20"/>
        </w:rPr>
        <w:t>1992</w:t>
      </w:r>
      <w:r>
        <w:rPr>
          <w:color w:val="231F20"/>
        </w:rPr>
        <w:t>, 114, 3974-3975</w:t>
      </w:r>
    </w:p>
  </w:comment>
  <w:comment w:id="12" w:author="Hadas Gayer" w:date="2024-12-17T14:07:00Z" w:initials="HG">
    <w:p w14:paraId="65C529E1" w14:textId="77777777" w:rsidR="00412934" w:rsidRDefault="00412934" w:rsidP="00412934">
      <w:pPr>
        <w:pStyle w:val="CommentText"/>
        <w:bidi w:val="0"/>
      </w:pPr>
      <w:r>
        <w:rPr>
          <w:rStyle w:val="CommentReference"/>
        </w:rPr>
        <w:annotationRef/>
      </w:r>
      <w:r>
        <w:t>Ruthenium-Based Heterocyclic Carbene-Coordinated Olefin Metathesis</w:t>
      </w:r>
    </w:p>
    <w:p w14:paraId="29C3331E" w14:textId="77777777" w:rsidR="00412934" w:rsidRDefault="00412934" w:rsidP="00412934">
      <w:pPr>
        <w:pStyle w:val="CommentText"/>
        <w:bidi w:val="0"/>
      </w:pPr>
      <w:r>
        <w:t>Catalysts</w:t>
      </w:r>
    </w:p>
  </w:comment>
  <w:comment w:id="13"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14" w:author="Hadas Gayer" w:date="2024-12-17T14:14:00Z" w:initials="HG">
    <w:p w14:paraId="7B8964E2" w14:textId="77777777" w:rsidR="00860E2D" w:rsidRDefault="00860E2D" w:rsidP="00860E2D">
      <w:pPr>
        <w:pStyle w:val="CommentText"/>
        <w:bidi w:val="0"/>
      </w:pPr>
      <w:r>
        <w:rPr>
          <w:rStyle w:val="CommentReference"/>
        </w:rPr>
        <w:annotationRef/>
      </w:r>
      <w:r>
        <w:t>Delete??</w:t>
      </w:r>
    </w:p>
  </w:comment>
  <w:comment w:id="15" w:author="Hadas Gayer" w:date="2024-11-15T09:22:00Z" w:initials="HG">
    <w:p w14:paraId="5C646504" w14:textId="1A0DEE55" w:rsidR="005C0228" w:rsidRDefault="005C0228" w:rsidP="005C0228">
      <w:pPr>
        <w:pStyle w:val="CommentText"/>
        <w:bidi w:val="0"/>
      </w:pPr>
      <w:r>
        <w:rPr>
          <w:rStyle w:val="CommentReference"/>
        </w:rPr>
        <w:annotationRef/>
      </w:r>
      <w:r>
        <w:t>Is this the word?</w:t>
      </w:r>
    </w:p>
  </w:comment>
  <w:comment w:id="16"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7"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8" w:author="Hadas Gayer" w:date="2024-12-17T14:42:00Z" w:initials="HG">
    <w:p w14:paraId="5A7C8DDE" w14:textId="77777777" w:rsidR="00EE3ACF" w:rsidRDefault="00EE3ACF" w:rsidP="00EE3ACF">
      <w:pPr>
        <w:pStyle w:val="CommentText"/>
        <w:bidi w:val="0"/>
      </w:pPr>
      <w:r>
        <w:rPr>
          <w:rStyle w:val="CommentReference"/>
        </w:rPr>
        <w:annotationRef/>
      </w:r>
      <w:r>
        <w:rPr>
          <w:color w:val="000000"/>
          <w:highlight w:val="white"/>
        </w:rPr>
        <w:t>Xiaojie Lu, Lijun Fan, Christopher B. Phelps, Christopher P. Davie, and Christine P. Donahue</w:t>
      </w:r>
    </w:p>
    <w:p w14:paraId="775B62A6" w14:textId="77777777" w:rsidR="00EE3ACF" w:rsidRDefault="00EE3ACF" w:rsidP="00EE3ACF">
      <w:pPr>
        <w:pStyle w:val="CommentText"/>
        <w:bidi w:val="0"/>
      </w:pPr>
      <w:r>
        <w:rPr>
          <w:color w:val="000000"/>
          <w:highlight w:val="white"/>
        </w:rPr>
        <w:t>Bioconjugate Chemistry </w:t>
      </w:r>
      <w:r>
        <w:rPr>
          <w:b/>
          <w:bCs/>
          <w:color w:val="000000"/>
          <w:highlight w:val="white"/>
        </w:rPr>
        <w:t>2017</w:t>
      </w:r>
      <w:r>
        <w:rPr>
          <w:color w:val="000000"/>
          <w:highlight w:val="white"/>
        </w:rPr>
        <w:t> </w:t>
      </w:r>
      <w:r>
        <w:rPr>
          <w:i/>
          <w:iCs/>
          <w:color w:val="000000"/>
          <w:highlight w:val="white"/>
        </w:rPr>
        <w:t>28</w:t>
      </w:r>
      <w:r>
        <w:rPr>
          <w:color w:val="000000"/>
          <w:highlight w:val="white"/>
        </w:rPr>
        <w:t> (6), 1625-1629</w:t>
      </w:r>
    </w:p>
    <w:p w14:paraId="71AB89D3" w14:textId="77777777" w:rsidR="00EE3ACF" w:rsidRDefault="00EE3ACF" w:rsidP="00EE3ACF">
      <w:pPr>
        <w:pStyle w:val="CommentText"/>
        <w:bidi w:val="0"/>
      </w:pPr>
      <w:r>
        <w:rPr>
          <w:color w:val="000000"/>
          <w:highlight w:val="white"/>
        </w:rPr>
        <w:t>DOI: 10.1021/acs.bioconjchem.7b00292</w:t>
      </w:r>
      <w:r>
        <w:t xml:space="preserve"> </w:t>
      </w:r>
    </w:p>
  </w:comment>
  <w:comment w:id="19" w:author="Hadas Gayer" w:date="2024-12-17T15:25:00Z" w:initials="HG">
    <w:p w14:paraId="52328677" w14:textId="77777777" w:rsidR="00953BD1" w:rsidRDefault="00953BD1" w:rsidP="00953BD1">
      <w:pPr>
        <w:pStyle w:val="CommentText"/>
        <w:bidi w:val="0"/>
      </w:pPr>
      <w:r>
        <w:rPr>
          <w:rStyle w:val="CommentReference"/>
        </w:rPr>
        <w:annotationRef/>
      </w:r>
      <w:r>
        <w:t>Steffansen, S. I.; Christensen, M. S.; Børsting, P.; Nielsen, P. Synthesis of Conformationally Restricted Nucleic Acid Fragments Using Ring-Closing Alkene and Enyne Metathesis Reactions. </w:t>
      </w:r>
      <w:r>
        <w:rPr>
          <w:i/>
          <w:iCs/>
        </w:rPr>
        <w:t>Nucleosides, nucleotides &amp; nucleic acids</w:t>
      </w:r>
      <w:r>
        <w:t> </w:t>
      </w:r>
      <w:r>
        <w:rPr>
          <w:b/>
          <w:bCs/>
        </w:rPr>
        <w:t>2005</w:t>
      </w:r>
      <w:r>
        <w:t>, </w:t>
      </w:r>
      <w:r>
        <w:rPr>
          <w:i/>
          <w:iCs/>
        </w:rPr>
        <w:t>24</w:t>
      </w:r>
      <w:r>
        <w:t> (5-7), 1015–1018. https://doi.org/10.1081/ncn-200060347.</w:t>
      </w:r>
    </w:p>
  </w:comment>
  <w:comment w:id="20" w:author="Hadas Gayer" w:date="2024-12-03T07:41:00Z" w:initials="HG">
    <w:p w14:paraId="1A95F04E" w14:textId="47589285" w:rsidR="00152B6A" w:rsidRDefault="00152B6A" w:rsidP="00152B6A">
      <w:pPr>
        <w:pStyle w:val="CommentText"/>
        <w:bidi w:val="0"/>
      </w:pPr>
      <w:r>
        <w:rPr>
          <w:rStyle w:val="CommentReference"/>
        </w:rPr>
        <w:annotationRef/>
      </w:r>
      <w:r>
        <w:t>Check if it’s really this one</w:t>
      </w:r>
    </w:p>
  </w:comment>
  <w:comment w:id="21" w:author="Hadas Gayer" w:date="2024-12-06T14:34:00Z" w:initials="HG">
    <w:p w14:paraId="7A955F4A" w14:textId="77777777" w:rsidR="00FA2182" w:rsidRDefault="00FA2182" w:rsidP="00FA2182">
      <w:pPr>
        <w:pStyle w:val="CommentText"/>
        <w:bidi w:val="0"/>
      </w:pPr>
      <w:r>
        <w:rPr>
          <w:rStyle w:val="CommentReference"/>
        </w:rPr>
        <w:annotationRef/>
      </w:r>
      <w:hyperlink r:id="rId4" w:anchor="SD2" w:history="1">
        <w:r w:rsidRPr="0071700C">
          <w:rPr>
            <w:rStyle w:val="Hyperlink"/>
          </w:rPr>
          <w:t>https://pmc.ncbi.nlm.nih.gov/articles/PMC7610402/#SD2</w:t>
        </w:r>
      </w:hyperlink>
      <w:r>
        <w:t xml:space="preserve"> </w:t>
      </w:r>
    </w:p>
  </w:comment>
  <w:comment w:id="22"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23"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24" w:author="Hadas Gayer" w:date="2024-12-07T13:53:00Z" w:initials="HG">
    <w:p w14:paraId="079F33A1" w14:textId="77777777" w:rsidR="00281D0D" w:rsidRDefault="00281D0D" w:rsidP="00281D0D">
      <w:pPr>
        <w:pStyle w:val="CommentText"/>
        <w:bidi w:val="0"/>
      </w:pPr>
      <w:r>
        <w:rPr>
          <w:rStyle w:val="CommentReference"/>
        </w:rPr>
        <w:annotationRef/>
      </w:r>
      <w:hyperlink r:id="rId5"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25"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26"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27"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8" w:author="Hadas Gayer" w:date="2024-12-09T21:26:00Z" w:initials="HG">
    <w:p w14:paraId="5AAA273C" w14:textId="77777777" w:rsidR="00A91F21" w:rsidRDefault="00A91F21" w:rsidP="00A91F21">
      <w:pPr>
        <w:pStyle w:val="CommentText"/>
        <w:bidi w:val="0"/>
      </w:pPr>
      <w:r>
        <w:rPr>
          <w:rStyle w:val="CommentReference"/>
        </w:rPr>
        <w:annotationRef/>
      </w:r>
      <w:hyperlink r:id="rId6" w:history="1">
        <w:r w:rsidRPr="00C77E40">
          <w:rPr>
            <w:rStyle w:val="Hyperlink"/>
          </w:rPr>
          <w:t>https://www.sciencedirect.com/science/article/abs/pii/000927978090023X</w:t>
        </w:r>
      </w:hyperlink>
    </w:p>
  </w:comment>
  <w:comment w:id="29"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30"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31"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32" w:author="Hadas Gayer" w:date="2024-12-13T19:14:00Z" w:initials="HG">
    <w:p w14:paraId="11DF9FC7" w14:textId="77777777" w:rsidR="006C6999" w:rsidRDefault="006C6999" w:rsidP="006C6999">
      <w:pPr>
        <w:pStyle w:val="CommentText"/>
        <w:bidi w:val="0"/>
      </w:pPr>
      <w:r>
        <w:rPr>
          <w:rStyle w:val="CommentReference"/>
        </w:rPr>
        <w:annotationRef/>
      </w:r>
      <w:hyperlink r:id="rId7" w:anchor="SD2" w:history="1">
        <w:r w:rsidRPr="00360B55">
          <w:rPr>
            <w:rStyle w:val="Hyperlink"/>
          </w:rPr>
          <w:t>https://pmc.ncbi.nlm.nih.gov/articles/PMC7610402/#SD2</w:t>
        </w:r>
      </w:hyperlink>
    </w:p>
  </w:comment>
  <w:comment w:id="33"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34" w:author="Hadas Gayer" w:date="2024-12-14T17:58:00Z" w:initials="HG">
    <w:p w14:paraId="2993ECEE" w14:textId="29451978" w:rsidR="00986504" w:rsidRDefault="00986504" w:rsidP="00986504">
      <w:pPr>
        <w:pStyle w:val="CommentText"/>
        <w:bidi w:val="0"/>
      </w:pPr>
      <w:r>
        <w:rPr>
          <w:rStyle w:val="CommentReference"/>
        </w:rPr>
        <w:annotationRef/>
      </w:r>
      <w:hyperlink r:id="rId8" w:history="1">
        <w:r w:rsidRPr="008E18FB">
          <w:rPr>
            <w:rStyle w:val="Hyperlink"/>
          </w:rPr>
          <w:t>https://pmc-ncbi-nlm-nih-gov.elib.openu.ac.il/articles/PMC8009303/</w:t>
        </w:r>
      </w:hyperlink>
    </w:p>
  </w:comment>
  <w:comment w:id="35" w:author="Hadas Gayer" w:date="2024-12-18T01:22:00Z" w:initials="HG">
    <w:p w14:paraId="2BB06A6D" w14:textId="77777777" w:rsidR="009B7A8D" w:rsidRDefault="00E804C3" w:rsidP="009B7A8D">
      <w:pPr>
        <w:pStyle w:val="CommentText"/>
        <w:bidi w:val="0"/>
      </w:pPr>
      <w:r>
        <w:rPr>
          <w:rStyle w:val="CommentReference"/>
        </w:rPr>
        <w:annotationRef/>
      </w:r>
      <w:hyperlink r:id="rId9"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3C0051A1" w15:done="0"/>
  <w15:commentEx w15:paraId="1ED89EE5" w15:done="0"/>
  <w15:commentEx w15:paraId="7490C0B8" w15:done="0"/>
  <w15:commentEx w15:paraId="2B92CE55" w15:done="0"/>
  <w15:commentEx w15:paraId="615ED21B" w15:done="0"/>
  <w15:commentEx w15:paraId="173C33FE" w15:paraIdParent="615ED21B" w15:done="0"/>
  <w15:commentEx w15:paraId="7420C1DB" w15:done="0"/>
  <w15:commentEx w15:paraId="29C3331E" w15:done="0"/>
  <w15:commentEx w15:paraId="512EE406" w15:done="0"/>
  <w15:commentEx w15:paraId="7B8964E2" w15:done="0"/>
  <w15:commentEx w15:paraId="5C646504" w15:done="0"/>
  <w15:commentEx w15:paraId="2E1F72D1" w15:done="0"/>
  <w15:commentEx w15:paraId="6BA73EA4" w15:done="0"/>
  <w15:commentEx w15:paraId="71AB89D3" w15:done="0"/>
  <w15:commentEx w15:paraId="52328677"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7D9D0185" w16cex:dateUtc="2024-12-17T10:45:00Z"/>
  <w16cex:commentExtensible w16cex:durableId="65537373" w16cex:dateUtc="2024-12-17T10:03:00Z"/>
  <w16cex:commentExtensible w16cex:durableId="618EA3B6" w16cex:dateUtc="2024-12-17T10:03:00Z"/>
  <w16cex:commentExtensible w16cex:durableId="46284CAC" w16cex:dateUtc="2024-11-06T15:50:00Z"/>
  <w16cex:commentExtensible w16cex:durableId="23B819D3" w16cex:dateUtc="2024-12-17T11:31:00Z"/>
  <w16cex:commentExtensible w16cex:durableId="2E193575" w16cex:dateUtc="2024-12-17T11:41:00Z"/>
  <w16cex:commentExtensible w16cex:durableId="1E437500" w16cex:dateUtc="2024-12-17T11:46:00Z"/>
  <w16cex:commentExtensible w16cex:durableId="0DD9CE53" w16cex:dateUtc="2024-12-17T12:07:00Z"/>
  <w16cex:commentExtensible w16cex:durableId="33CF7641" w16cex:dateUtc="2024-11-09T07:40:00Z"/>
  <w16cex:commentExtensible w16cex:durableId="2BD99D3F" w16cex:dateUtc="2024-12-17T12:14:00Z"/>
  <w16cex:commentExtensible w16cex:durableId="042E239D" w16cex:dateUtc="2024-11-15T07:22:00Z"/>
  <w16cex:commentExtensible w16cex:durableId="37BC3526" w16cex:dateUtc="2024-12-06T14:17:00Z"/>
  <w16cex:commentExtensible w16cex:durableId="0695308C" w16cex:dateUtc="2024-12-06T11:45:00Z"/>
  <w16cex:commentExtensible w16cex:durableId="2A9E125F" w16cex:dateUtc="2024-12-17T12:42:00Z"/>
  <w16cex:commentExtensible w16cex:durableId="0CB87E39" w16cex:dateUtc="2024-12-17T13:2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3C0051A1" w16cid:durableId="7D9D0185"/>
  <w16cid:commentId w16cid:paraId="1ED89EE5" w16cid:durableId="65537373"/>
  <w16cid:commentId w16cid:paraId="7490C0B8" w16cid:durableId="618EA3B6"/>
  <w16cid:commentId w16cid:paraId="2B92CE55" w16cid:durableId="46284CAC"/>
  <w16cid:commentId w16cid:paraId="615ED21B" w16cid:durableId="23B819D3"/>
  <w16cid:commentId w16cid:paraId="173C33FE" w16cid:durableId="2E193575"/>
  <w16cid:commentId w16cid:paraId="7420C1DB" w16cid:durableId="1E437500"/>
  <w16cid:commentId w16cid:paraId="29C3331E" w16cid:durableId="0DD9CE53"/>
  <w16cid:commentId w16cid:paraId="512EE406" w16cid:durableId="33CF7641"/>
  <w16cid:commentId w16cid:paraId="7B8964E2" w16cid:durableId="2BD99D3F"/>
  <w16cid:commentId w16cid:paraId="5C646504" w16cid:durableId="042E239D"/>
  <w16cid:commentId w16cid:paraId="2E1F72D1" w16cid:durableId="37BC3526"/>
  <w16cid:commentId w16cid:paraId="6BA73EA4" w16cid:durableId="0695308C"/>
  <w16cid:commentId w16cid:paraId="71AB89D3" w16cid:durableId="2A9E125F"/>
  <w16cid:commentId w16cid:paraId="52328677" w16cid:durableId="0CB87E39"/>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46EEB"/>
    <w:rsid w:val="000505A9"/>
    <w:rsid w:val="000517E3"/>
    <w:rsid w:val="00051E0D"/>
    <w:rsid w:val="00052B77"/>
    <w:rsid w:val="00054048"/>
    <w:rsid w:val="00057F75"/>
    <w:rsid w:val="00061116"/>
    <w:rsid w:val="000622DA"/>
    <w:rsid w:val="00073773"/>
    <w:rsid w:val="00081AFE"/>
    <w:rsid w:val="00082A19"/>
    <w:rsid w:val="00095F20"/>
    <w:rsid w:val="00096AEF"/>
    <w:rsid w:val="00097573"/>
    <w:rsid w:val="000A1714"/>
    <w:rsid w:val="000A2B34"/>
    <w:rsid w:val="000A3821"/>
    <w:rsid w:val="000B15A9"/>
    <w:rsid w:val="000B1958"/>
    <w:rsid w:val="000C48F3"/>
    <w:rsid w:val="000D5EA5"/>
    <w:rsid w:val="000E5E95"/>
    <w:rsid w:val="00101630"/>
    <w:rsid w:val="0011082D"/>
    <w:rsid w:val="001126E3"/>
    <w:rsid w:val="0011700F"/>
    <w:rsid w:val="001209C7"/>
    <w:rsid w:val="00123B7E"/>
    <w:rsid w:val="00126D1E"/>
    <w:rsid w:val="00130AE9"/>
    <w:rsid w:val="001315AC"/>
    <w:rsid w:val="001344D2"/>
    <w:rsid w:val="00137679"/>
    <w:rsid w:val="0014293B"/>
    <w:rsid w:val="00150C69"/>
    <w:rsid w:val="00152B6A"/>
    <w:rsid w:val="00171480"/>
    <w:rsid w:val="00175CDD"/>
    <w:rsid w:val="001864F7"/>
    <w:rsid w:val="001930C3"/>
    <w:rsid w:val="00195425"/>
    <w:rsid w:val="001A3767"/>
    <w:rsid w:val="001A69C0"/>
    <w:rsid w:val="001B4BC1"/>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227D"/>
    <w:rsid w:val="00254523"/>
    <w:rsid w:val="002572E6"/>
    <w:rsid w:val="0026074E"/>
    <w:rsid w:val="00261F6B"/>
    <w:rsid w:val="00264DCA"/>
    <w:rsid w:val="00270130"/>
    <w:rsid w:val="0027394C"/>
    <w:rsid w:val="00274C3E"/>
    <w:rsid w:val="002761A0"/>
    <w:rsid w:val="00281D0D"/>
    <w:rsid w:val="00283FC9"/>
    <w:rsid w:val="00284D89"/>
    <w:rsid w:val="0029215B"/>
    <w:rsid w:val="00292D7B"/>
    <w:rsid w:val="0029574A"/>
    <w:rsid w:val="00297A08"/>
    <w:rsid w:val="002A4871"/>
    <w:rsid w:val="002B1659"/>
    <w:rsid w:val="002B523A"/>
    <w:rsid w:val="002C0A66"/>
    <w:rsid w:val="002C117A"/>
    <w:rsid w:val="002C25F4"/>
    <w:rsid w:val="002C30FB"/>
    <w:rsid w:val="002D473D"/>
    <w:rsid w:val="002D6079"/>
    <w:rsid w:val="002E3400"/>
    <w:rsid w:val="002F05B3"/>
    <w:rsid w:val="002F4DE8"/>
    <w:rsid w:val="00306DA9"/>
    <w:rsid w:val="00317258"/>
    <w:rsid w:val="00320280"/>
    <w:rsid w:val="003221F6"/>
    <w:rsid w:val="00323D29"/>
    <w:rsid w:val="00330EEF"/>
    <w:rsid w:val="00335EA1"/>
    <w:rsid w:val="003419FB"/>
    <w:rsid w:val="003435CD"/>
    <w:rsid w:val="00344A43"/>
    <w:rsid w:val="00356372"/>
    <w:rsid w:val="003612E7"/>
    <w:rsid w:val="00361A5D"/>
    <w:rsid w:val="00361D54"/>
    <w:rsid w:val="003629B4"/>
    <w:rsid w:val="003722D4"/>
    <w:rsid w:val="00387390"/>
    <w:rsid w:val="00395EEA"/>
    <w:rsid w:val="00396893"/>
    <w:rsid w:val="003A3CE4"/>
    <w:rsid w:val="003A4CEA"/>
    <w:rsid w:val="003A7853"/>
    <w:rsid w:val="003C33A9"/>
    <w:rsid w:val="003C4FA3"/>
    <w:rsid w:val="003C6BD6"/>
    <w:rsid w:val="003D1BA0"/>
    <w:rsid w:val="003D6527"/>
    <w:rsid w:val="003D7522"/>
    <w:rsid w:val="003E40DC"/>
    <w:rsid w:val="003E48E1"/>
    <w:rsid w:val="003F14AE"/>
    <w:rsid w:val="003F5484"/>
    <w:rsid w:val="003F6215"/>
    <w:rsid w:val="00410B65"/>
    <w:rsid w:val="00410C2C"/>
    <w:rsid w:val="00412934"/>
    <w:rsid w:val="004173B6"/>
    <w:rsid w:val="0042683B"/>
    <w:rsid w:val="00431C5C"/>
    <w:rsid w:val="00434584"/>
    <w:rsid w:val="00437388"/>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860BC"/>
    <w:rsid w:val="00591C6A"/>
    <w:rsid w:val="005976B5"/>
    <w:rsid w:val="005B41F4"/>
    <w:rsid w:val="005B5DB3"/>
    <w:rsid w:val="005B6429"/>
    <w:rsid w:val="005C0228"/>
    <w:rsid w:val="005C241A"/>
    <w:rsid w:val="005C31E7"/>
    <w:rsid w:val="005C5295"/>
    <w:rsid w:val="005E406B"/>
    <w:rsid w:val="005E4B0B"/>
    <w:rsid w:val="006014AF"/>
    <w:rsid w:val="00602E0B"/>
    <w:rsid w:val="0060707D"/>
    <w:rsid w:val="00613CA9"/>
    <w:rsid w:val="006140C8"/>
    <w:rsid w:val="00620EFC"/>
    <w:rsid w:val="00621937"/>
    <w:rsid w:val="00631023"/>
    <w:rsid w:val="00644455"/>
    <w:rsid w:val="00650015"/>
    <w:rsid w:val="00653A51"/>
    <w:rsid w:val="00655536"/>
    <w:rsid w:val="00660ED9"/>
    <w:rsid w:val="006664F7"/>
    <w:rsid w:val="00666537"/>
    <w:rsid w:val="0066773B"/>
    <w:rsid w:val="0067774E"/>
    <w:rsid w:val="00680522"/>
    <w:rsid w:val="00681901"/>
    <w:rsid w:val="006836A7"/>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3A1E"/>
    <w:rsid w:val="00745911"/>
    <w:rsid w:val="0074628E"/>
    <w:rsid w:val="00776B55"/>
    <w:rsid w:val="00780FA6"/>
    <w:rsid w:val="00782A14"/>
    <w:rsid w:val="00783B75"/>
    <w:rsid w:val="00784C2E"/>
    <w:rsid w:val="0079431F"/>
    <w:rsid w:val="00796070"/>
    <w:rsid w:val="007A5F5F"/>
    <w:rsid w:val="007B0199"/>
    <w:rsid w:val="007B1FC5"/>
    <w:rsid w:val="007B50CE"/>
    <w:rsid w:val="007B5187"/>
    <w:rsid w:val="007B70CB"/>
    <w:rsid w:val="007C00A1"/>
    <w:rsid w:val="007D4776"/>
    <w:rsid w:val="007E00B7"/>
    <w:rsid w:val="007E4298"/>
    <w:rsid w:val="007E6755"/>
    <w:rsid w:val="007F1019"/>
    <w:rsid w:val="007F3936"/>
    <w:rsid w:val="00801450"/>
    <w:rsid w:val="00806E97"/>
    <w:rsid w:val="008070A3"/>
    <w:rsid w:val="00807BCA"/>
    <w:rsid w:val="008117FE"/>
    <w:rsid w:val="00812DAF"/>
    <w:rsid w:val="008160C6"/>
    <w:rsid w:val="0081712B"/>
    <w:rsid w:val="00834EF6"/>
    <w:rsid w:val="00853C4F"/>
    <w:rsid w:val="00853F4B"/>
    <w:rsid w:val="00860E2D"/>
    <w:rsid w:val="0086415F"/>
    <w:rsid w:val="00864FF0"/>
    <w:rsid w:val="00866366"/>
    <w:rsid w:val="0086644A"/>
    <w:rsid w:val="00870DAB"/>
    <w:rsid w:val="00872C65"/>
    <w:rsid w:val="008738AD"/>
    <w:rsid w:val="008749B1"/>
    <w:rsid w:val="0087549B"/>
    <w:rsid w:val="00875A54"/>
    <w:rsid w:val="008929F0"/>
    <w:rsid w:val="0089488F"/>
    <w:rsid w:val="008A6C7E"/>
    <w:rsid w:val="008B2362"/>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71ABA"/>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F04A4"/>
    <w:rsid w:val="009F509C"/>
    <w:rsid w:val="00A05263"/>
    <w:rsid w:val="00A05467"/>
    <w:rsid w:val="00A17F3D"/>
    <w:rsid w:val="00A26DE5"/>
    <w:rsid w:val="00A34F49"/>
    <w:rsid w:val="00A37B2B"/>
    <w:rsid w:val="00A40AC7"/>
    <w:rsid w:val="00A50885"/>
    <w:rsid w:val="00A540A3"/>
    <w:rsid w:val="00A57619"/>
    <w:rsid w:val="00A60A80"/>
    <w:rsid w:val="00A7669A"/>
    <w:rsid w:val="00A80DF9"/>
    <w:rsid w:val="00A81620"/>
    <w:rsid w:val="00A83454"/>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79F9"/>
    <w:rsid w:val="00AD0888"/>
    <w:rsid w:val="00AE16F8"/>
    <w:rsid w:val="00AE3174"/>
    <w:rsid w:val="00AF3870"/>
    <w:rsid w:val="00AF6F89"/>
    <w:rsid w:val="00B07F4A"/>
    <w:rsid w:val="00B113D0"/>
    <w:rsid w:val="00B15FDB"/>
    <w:rsid w:val="00B24414"/>
    <w:rsid w:val="00B337F9"/>
    <w:rsid w:val="00B33E5A"/>
    <w:rsid w:val="00B4030A"/>
    <w:rsid w:val="00B4226C"/>
    <w:rsid w:val="00B44ADD"/>
    <w:rsid w:val="00B55C4B"/>
    <w:rsid w:val="00B56463"/>
    <w:rsid w:val="00B61681"/>
    <w:rsid w:val="00B64233"/>
    <w:rsid w:val="00B83205"/>
    <w:rsid w:val="00B84E6F"/>
    <w:rsid w:val="00B85A9E"/>
    <w:rsid w:val="00B908FC"/>
    <w:rsid w:val="00B91A12"/>
    <w:rsid w:val="00B92B06"/>
    <w:rsid w:val="00BB08A8"/>
    <w:rsid w:val="00BB10DC"/>
    <w:rsid w:val="00BB77D2"/>
    <w:rsid w:val="00BC12AB"/>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51738"/>
    <w:rsid w:val="00C623EC"/>
    <w:rsid w:val="00C63365"/>
    <w:rsid w:val="00C7032E"/>
    <w:rsid w:val="00C823B3"/>
    <w:rsid w:val="00C82E69"/>
    <w:rsid w:val="00C852B1"/>
    <w:rsid w:val="00C871CA"/>
    <w:rsid w:val="00C95327"/>
    <w:rsid w:val="00C95888"/>
    <w:rsid w:val="00CA0153"/>
    <w:rsid w:val="00CA4D46"/>
    <w:rsid w:val="00CB4138"/>
    <w:rsid w:val="00CC0056"/>
    <w:rsid w:val="00CC6ADB"/>
    <w:rsid w:val="00CC769F"/>
    <w:rsid w:val="00CE0AD4"/>
    <w:rsid w:val="00CE24C6"/>
    <w:rsid w:val="00CE6558"/>
    <w:rsid w:val="00CF1EAD"/>
    <w:rsid w:val="00CF7ED4"/>
    <w:rsid w:val="00D05F85"/>
    <w:rsid w:val="00D07590"/>
    <w:rsid w:val="00D17317"/>
    <w:rsid w:val="00D1785C"/>
    <w:rsid w:val="00D2477B"/>
    <w:rsid w:val="00D2715C"/>
    <w:rsid w:val="00D46197"/>
    <w:rsid w:val="00D6107D"/>
    <w:rsid w:val="00D7089F"/>
    <w:rsid w:val="00D73AA5"/>
    <w:rsid w:val="00D73DF8"/>
    <w:rsid w:val="00D73F56"/>
    <w:rsid w:val="00D766BC"/>
    <w:rsid w:val="00D839F7"/>
    <w:rsid w:val="00D866BC"/>
    <w:rsid w:val="00D87840"/>
    <w:rsid w:val="00DA2403"/>
    <w:rsid w:val="00DA4AAE"/>
    <w:rsid w:val="00DB0E24"/>
    <w:rsid w:val="00DB3462"/>
    <w:rsid w:val="00DB3AF0"/>
    <w:rsid w:val="00DC3008"/>
    <w:rsid w:val="00DD3FC5"/>
    <w:rsid w:val="00DD4482"/>
    <w:rsid w:val="00DE2EA5"/>
    <w:rsid w:val="00DE6080"/>
    <w:rsid w:val="00DF528D"/>
    <w:rsid w:val="00E0395B"/>
    <w:rsid w:val="00E1258E"/>
    <w:rsid w:val="00E13B16"/>
    <w:rsid w:val="00E174E1"/>
    <w:rsid w:val="00E23DB7"/>
    <w:rsid w:val="00E24A92"/>
    <w:rsid w:val="00E26BC4"/>
    <w:rsid w:val="00E30202"/>
    <w:rsid w:val="00E33E32"/>
    <w:rsid w:val="00E35CEB"/>
    <w:rsid w:val="00E41765"/>
    <w:rsid w:val="00E44A9C"/>
    <w:rsid w:val="00E44B36"/>
    <w:rsid w:val="00E45E60"/>
    <w:rsid w:val="00E47B16"/>
    <w:rsid w:val="00E51E83"/>
    <w:rsid w:val="00E52820"/>
    <w:rsid w:val="00E54CD7"/>
    <w:rsid w:val="00E56818"/>
    <w:rsid w:val="00E60C05"/>
    <w:rsid w:val="00E714BE"/>
    <w:rsid w:val="00E804C3"/>
    <w:rsid w:val="00E87014"/>
    <w:rsid w:val="00E9282E"/>
    <w:rsid w:val="00E93BC6"/>
    <w:rsid w:val="00E97B8E"/>
    <w:rsid w:val="00EA71C6"/>
    <w:rsid w:val="00EB2497"/>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2AD4"/>
    <w:rsid w:val="00F30B4D"/>
    <w:rsid w:val="00F30D91"/>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elib.openu.ac.il/articles/PMC8009303/" TargetMode="External"/><Relationship Id="rId3" Type="http://schemas.openxmlformats.org/officeDocument/2006/relationships/hyperlink" Target="https://www-sciencedirect-com.elib.openu.ac.il/science/article/pii/S0079670016301113?via%3Dihub" TargetMode="External"/><Relationship Id="rId7" Type="http://schemas.openxmlformats.org/officeDocument/2006/relationships/hyperlink" Target="https://pmc.ncbi.nlm.nih.gov/articles/PMC7610402/" TargetMode="External"/><Relationship Id="rId2" Type="http://schemas.openxmlformats.org/officeDocument/2006/relationships/hyperlink" Target="https://pubs-acs-org.elib.openu.ac.il/doi/10.1021/ja0214882"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www.sciencedirect.com/science/article/abs/pii/000927978090023X" TargetMode="External"/><Relationship Id="rId5" Type="http://schemas.openxmlformats.org/officeDocument/2006/relationships/hyperlink" Target="https://pubs-acs-org.elib.openu.ac.il/doi/10.1021/cb4009292" TargetMode="External"/><Relationship Id="rId4" Type="http://schemas.openxmlformats.org/officeDocument/2006/relationships/hyperlink" Target="https://pmc.ncbi.nlm.nih.gov/articles/PMC7610402/" TargetMode="External"/><Relationship Id="rId9" Type="http://schemas.openxmlformats.org/officeDocument/2006/relationships/hyperlink" Target="https://pmc.ncbi.nlm.nih.gov/articles/PMC940073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44794</TotalTime>
  <Pages>14</Pages>
  <Words>7140</Words>
  <Characters>35703</Characters>
  <Application>Microsoft Office Word</Application>
  <DocSecurity>0</DocSecurity>
  <Lines>297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421</cp:revision>
  <dcterms:created xsi:type="dcterms:W3CDTF">2024-10-31T16:10:00Z</dcterms:created>
  <dcterms:modified xsi:type="dcterms:W3CDTF">2024-12-17T23:28:00Z</dcterms:modified>
</cp:coreProperties>
</file>