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AD1334A" w:rsidR="006E4485" w:rsidRDefault="006E4485" w:rsidP="006E4485">
      <w:pPr>
        <w:bidi w:val="0"/>
        <w:jc w:val="both"/>
        <w:rPr>
          <w:rFonts w:cstheme="minorHAnsi"/>
          <w:b/>
          <w:bCs/>
          <w:sz w:val="32"/>
          <w:szCs w:val="32"/>
        </w:rPr>
      </w:pPr>
      <w:r w:rsidRPr="007E1A19">
        <w:rPr>
          <w:rFonts w:cstheme="minorHAnsi"/>
          <w:b/>
          <w:bCs/>
          <w:sz w:val="32"/>
          <w:szCs w:val="32"/>
        </w:rPr>
        <w:t xml:space="preserve">In Vivo Olefin Metathesis – </w:t>
      </w:r>
      <w:r w:rsidR="00EE24B6">
        <w:rPr>
          <w:rFonts w:cstheme="minorHAnsi"/>
          <w:b/>
          <w:bCs/>
          <w:sz w:val="32"/>
          <w:szCs w:val="32"/>
        </w:rPr>
        <w:t>C</w:t>
      </w:r>
      <w:r w:rsidRPr="007E1A19">
        <w:rPr>
          <w:rFonts w:cstheme="minorHAnsi"/>
          <w:b/>
          <w:bCs/>
          <w:sz w:val="32"/>
          <w:szCs w:val="32"/>
        </w:rPr>
        <w:t xml:space="preserve">hallenges, </w:t>
      </w:r>
      <w:r w:rsidR="00EE24B6">
        <w:rPr>
          <w:rFonts w:cstheme="minorHAnsi"/>
          <w:b/>
          <w:bCs/>
          <w:sz w:val="32"/>
          <w:szCs w:val="32"/>
        </w:rPr>
        <w:t>A</w:t>
      </w:r>
      <w:r w:rsidRPr="007E1A19">
        <w:rPr>
          <w:rFonts w:cstheme="minorHAnsi"/>
          <w:b/>
          <w:bCs/>
          <w:sz w:val="32"/>
          <w:szCs w:val="32"/>
        </w:rPr>
        <w:t xml:space="preserve">pproaches and </w:t>
      </w:r>
      <w:r w:rsidR="00EE24B6">
        <w:rPr>
          <w:rFonts w:cstheme="minorHAnsi"/>
          <w:b/>
          <w:bCs/>
          <w:sz w:val="32"/>
          <w:szCs w:val="32"/>
        </w:rPr>
        <w:t>A</w:t>
      </w:r>
      <w:r w:rsidRPr="007E1A19">
        <w:rPr>
          <w:rFonts w:cstheme="minorHAnsi"/>
          <w:b/>
          <w:bCs/>
          <w:sz w:val="32"/>
          <w:szCs w:val="32"/>
        </w:rPr>
        <w:t>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627B253D" w:rsidR="008E3265" w:rsidRPr="00327748" w:rsidRDefault="008E3265" w:rsidP="00327748">
      <w:pPr>
        <w:spacing w:after="0"/>
        <w:jc w:val="both"/>
        <w:rPr>
          <w:rFonts w:cstheme="minorHAnsi"/>
          <w:sz w:val="20"/>
          <w:szCs w:val="20"/>
          <w:vertAlign w:val="superscript"/>
        </w:rPr>
      </w:pPr>
      <w:r w:rsidRPr="00327748">
        <w:rPr>
          <w:rFonts w:cstheme="minorHAnsi"/>
          <w:sz w:val="20"/>
          <w:szCs w:val="20"/>
        </w:rPr>
        <w:t>according to the Chauvin mechanism</w:t>
      </w:r>
      <w:r w:rsidR="00DC3021">
        <w:rPr>
          <w:rFonts w:cstheme="minorHAnsi"/>
          <w:sz w:val="20"/>
          <w:szCs w:val="20"/>
        </w:rPr>
        <w:t>, taken from Reany et al., 2017</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639F27A7"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9F625E">
        <w:rPr>
          <w:rFonts w:cstheme="minorHAnsi"/>
        </w:rPr>
        <w:t xml:space="preserve"> (adapted from </w:t>
      </w:r>
      <w:r w:rsidR="009F625E" w:rsidRPr="00243B1C">
        <w:t>Vougioukalakis</w:t>
      </w:r>
      <w:r w:rsidR="009F625E">
        <w:t xml:space="preserve"> and Grubbs, 2010; Da Silva et al., 2016)</w:t>
      </w:r>
      <w:r w:rsidR="009F625E">
        <w:rPr>
          <w:rFonts w:cstheme="minorHAnsi"/>
          <w:vertAlign w:val="superscript"/>
        </w:rPr>
        <w:t xml:space="preserve"> </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r w:rsidRPr="007E1A19">
        <w:rPr>
          <w:rFonts w:cstheme="minorHAnsi"/>
        </w:rPr>
        <w:t xml:space="preserve">The evolution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r w:rsidRPr="00257FB8">
        <w:rPr>
          <w:rFonts w:cstheme="minorHAnsi"/>
        </w:rPr>
        <w:t>Principles of bioorthogonal chemistry</w:t>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(CuAAC)</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w:t>
      </w:r>
      <w:r w:rsidRPr="007E1A19">
        <w:rPr>
          <w:rFonts w:cstheme="minorHAnsi"/>
        </w:rPr>
        <w:lastRenderedPageBreak/>
        <w:t xml:space="preserve">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for 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D011B" w:rsidRDefault="0095607C" w:rsidP="002C25F4">
      <w:pPr>
        <w:pStyle w:val="Heading2"/>
        <w:rPr>
          <w:rFonts w:cstheme="minorHAnsi"/>
        </w:rPr>
      </w:pPr>
      <w:r w:rsidRPr="007D011B">
        <w:rPr>
          <w:rFonts w:cstheme="minorHAnsi"/>
        </w:rPr>
        <w:t xml:space="preserve">Use cases </w:t>
      </w:r>
      <w:r w:rsidR="00EA6B49" w:rsidRPr="007D011B">
        <w:rPr>
          <w:rFonts w:cstheme="minorHAnsi"/>
        </w:rPr>
        <w:t>for</w:t>
      </w:r>
      <w:r w:rsidR="006E4485" w:rsidRPr="007D011B">
        <w:rPr>
          <w:rFonts w:cstheme="minorHAnsi"/>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study 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lastRenderedPageBreak/>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for the formation of building blocks for DNA libraries – a technology for the identification of small molecules. A ruthenium NHC catalyst 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in order to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43E5C5B9"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3"/>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00D234D9">
        <w:rPr>
          <w:rFonts w:cstheme="minorHAnsi"/>
          <w:sz w:val="20"/>
          <w:szCs w:val="20"/>
        </w:rPr>
        <w:t xml:space="preserve"> (taken from Kelly et al., 2020)</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7FC6A5D"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xml:space="preserve">. An artificial metalloenzyme (ArM) was synthesized, containing a </w:t>
      </w:r>
      <w:r w:rsidR="00665D9E">
        <w:rPr>
          <w:rFonts w:cstheme="minorHAnsi"/>
        </w:rPr>
        <w:t>Hoveyda-</w:t>
      </w:r>
      <w:r w:rsidRPr="007E1A19">
        <w:rPr>
          <w:rFonts w:cstheme="minorHAnsi"/>
        </w:rPr>
        <w:t xml:space="preserve">Grubbs second-generation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ArM so metathesis only proceeded near tumors. </w:t>
      </w:r>
      <w:r w:rsidR="00152B6A" w:rsidRPr="007E1A19">
        <w:rPr>
          <w:rFonts w:cstheme="minorHAnsi"/>
        </w:rPr>
        <w:t xml:space="preserve">The metalloenzyme managed to catalyze the formation of the </w:t>
      </w:r>
      <w:r w:rsidR="00152B6A" w:rsidRPr="007E1A19">
        <w:rPr>
          <w:rFonts w:cstheme="minorHAnsi"/>
        </w:rPr>
        <w:lastRenderedPageBreak/>
        <w:t>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t>The</w:t>
      </w:r>
      <w:r w:rsidR="002D473D" w:rsidRPr="007E1A19">
        <w:rPr>
          <w:rFonts w:cstheme="minorHAnsi"/>
        </w:rPr>
        <w:t xml:space="preserve"> prodrug </w:t>
      </w:r>
      <w:r w:rsidR="009C1E33" w:rsidRPr="007E1A19">
        <w:rPr>
          <w:rFonts w:cstheme="minorHAnsi"/>
        </w:rPr>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09FBF8B3"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ArMs </w:t>
      </w:r>
      <w:r w:rsidR="00297A08" w:rsidRPr="007E1A19">
        <w:rPr>
          <w:rFonts w:cstheme="minorHAnsi"/>
        </w:rPr>
        <w:t xml:space="preserve">– </w:t>
      </w:r>
      <w:r w:rsidR="005723E8" w:rsidRPr="007E1A19">
        <w:rPr>
          <w:rFonts w:cstheme="minorHAnsi"/>
        </w:rPr>
        <w:t>Hoveyda</w:t>
      </w:r>
      <w:r w:rsidR="005723E8">
        <w:rPr>
          <w:rFonts w:cstheme="minorHAnsi"/>
        </w:rPr>
        <w:t>-</w:t>
      </w:r>
      <w:r w:rsidR="00297A08" w:rsidRPr="007E1A19">
        <w:rPr>
          <w:rFonts w:cstheme="minorHAnsi"/>
        </w:rPr>
        <w:t>Grubbs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The ArM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lastRenderedPageBreak/>
        <w:t>Optimizing catalyst reactivity in aqueous conditions often involves addition of a cosolvent – DMSO, tBuOH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4">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aqua-complex</w:t>
      </w:r>
    </w:p>
    <w:p w14:paraId="1874F0FA" w14:textId="58C40D73"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00A01C0E">
        <w:rPr>
          <w:rFonts w:cstheme="minorHAnsi"/>
          <w:sz w:val="20"/>
          <w:szCs w:val="20"/>
        </w:rPr>
        <w:t xml:space="preserve"> (taken from Blanco et al., 2024)</w:t>
      </w:r>
      <w:r w:rsidR="001A0184">
        <w:rPr>
          <w:rFonts w:cstheme="minorHAnsi"/>
          <w:sz w:val="20"/>
          <w:szCs w:val="20"/>
          <w:vertAlign w:val="superscript"/>
        </w:rPr>
        <w:t xml:space="preserve"> </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lastRenderedPageBreak/>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be maximized as well.</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6D693972"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0032E1">
        <w:rPr>
          <w:rFonts w:cstheme="minorHAnsi"/>
          <w:vertAlign w:val="superscript"/>
        </w:rPr>
        <w:t>23</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3A7529">
        <w:rPr>
          <w:rFonts w:cstheme="minorHAnsi"/>
          <w:vertAlign w:val="superscript"/>
        </w:rPr>
        <w:t>29</w:t>
      </w:r>
      <w:r w:rsidR="00C27254" w:rsidRPr="007E1A19">
        <w:rPr>
          <w:rFonts w:cstheme="minorHAnsi"/>
        </w:rPr>
        <w:t xml:space="preserve"> and should therefore be optimized to achieve effective yields in-vivo.</w:t>
      </w:r>
    </w:p>
    <w:p w14:paraId="68173F78" w14:textId="5C51C215" w:rsidR="00D866BC" w:rsidRPr="00B92D71"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ruthenium complexes demonstrate an ability to bind to DNA, which can inactivate them.</w:t>
      </w:r>
      <w:r w:rsidR="00B92D71">
        <w:rPr>
          <w:rFonts w:cstheme="minorHAnsi"/>
          <w:vertAlign w:val="superscript"/>
        </w:rPr>
        <w:t>15</w:t>
      </w:r>
    </w:p>
    <w:p w14:paraId="37FFF857" w14:textId="152FDB1F"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r w:rsidR="00124A3F">
        <w:rPr>
          <w:rFonts w:cstheme="minorHAnsi"/>
        </w:rPr>
        <w:t xml:space="preserve">but it </w:t>
      </w:r>
      <w:r w:rsidR="00610D3E">
        <w:rPr>
          <w:rFonts w:cstheme="minorHAnsi"/>
        </w:rPr>
        <w:t>should</w:t>
      </w:r>
      <w:r w:rsidR="00124A3F">
        <w:rPr>
          <w:rFonts w:cstheme="minorHAnsi"/>
        </w:rPr>
        <w:t xml:space="preserve"> not change its reactivity.</w:t>
      </w:r>
    </w:p>
    <w:p w14:paraId="790C0481" w14:textId="41F2F9C5"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r w:rsidR="00B661B0">
        <w:rPr>
          <w:rFonts w:cstheme="minorHAnsi"/>
          <w:vertAlign w:val="superscript"/>
        </w:rPr>
        <w:t>31</w:t>
      </w:r>
      <w:r w:rsidR="0025227D" w:rsidRPr="007E1A19">
        <w:rPr>
          <w:rFonts w:cstheme="minorHAnsi"/>
        </w:rPr>
        <w:t xml:space="preserve"> This </w:t>
      </w:r>
      <w:r w:rsidR="00A72811">
        <w:rPr>
          <w:rFonts w:cstheme="minorHAnsi"/>
        </w:rPr>
        <w:t xml:space="preserve">reduction </w:t>
      </w:r>
      <w:r w:rsidR="0025227D" w:rsidRPr="007E1A19">
        <w:rPr>
          <w:rFonts w:cstheme="minorHAnsi"/>
        </w:rPr>
        <w:t xml:space="preserve">tendency makes it a potent inhibitor for metathesis </w:t>
      </w:r>
      <w:r w:rsidR="0025227D" w:rsidRPr="007E1A19">
        <w:rPr>
          <w:rFonts w:cstheme="minorHAnsi"/>
        </w:rPr>
        <w:lastRenderedPageBreak/>
        <w:t>complexes – it coordinates to the metal center and deactivates it. The amino acid histidine has similar properties and damages yield in a comparable manner.</w:t>
      </w:r>
      <w:r w:rsidR="00FF3304">
        <w:rPr>
          <w:rFonts w:cstheme="minorHAnsi"/>
          <w:vertAlign w:val="superscript"/>
        </w:rPr>
        <w:t>32</w:t>
      </w:r>
      <w:r w:rsidR="0025227D" w:rsidRPr="007E1A19">
        <w:rPr>
          <w:rFonts w:cstheme="minorHAnsi"/>
        </w:rPr>
        <w:t xml:space="preserve"> Since removal of these two vital molecules will damage the cell, overcoming the deactivation should be achieved by preventing interaction between the catalyst and GSH.</w:t>
      </w:r>
    </w:p>
    <w:p w14:paraId="649989D8" w14:textId="28F78987" w:rsidR="00D866BC" w:rsidRPr="00C16A7F" w:rsidRDefault="002F4DE8" w:rsidP="000A2B34">
      <w:pPr>
        <w:bidi w:val="0"/>
        <w:jc w:val="both"/>
        <w:rPr>
          <w:rFonts w:cstheme="minorHAnsi"/>
          <w:vertAlign w:val="superscript"/>
        </w:rPr>
      </w:pPr>
      <w:r w:rsidRPr="007E1A19">
        <w:rPr>
          <w:rFonts w:cstheme="minorHAnsi"/>
        </w:rPr>
        <w:t xml:space="preserve">Removal of the catalyst from the reaction site is a challenge for </w:t>
      </w:r>
      <w:r w:rsidR="005C5897">
        <w:rPr>
          <w:rFonts w:cstheme="minorHAnsi"/>
        </w:rPr>
        <w:t>every</w:t>
      </w:r>
      <w:r w:rsidRPr="007E1A19">
        <w:rPr>
          <w:rFonts w:cstheme="minorHAnsi"/>
        </w:rPr>
        <w:t xml:space="preserve"> reaction, but in this case the set of available tools is much smaller – most techniques employ additives like phosphines, DMSO, supercritical fluid etc. or tagging the catalyst with a group that binds it to another material (e.g. solid support) followed by washing.</w:t>
      </w:r>
      <w:r w:rsidR="008929AA">
        <w:rPr>
          <w:rFonts w:cstheme="minorHAnsi"/>
          <w:vertAlign w:val="superscript"/>
        </w:rPr>
        <w:t>33</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Since ruthenium complexes are known to have toxic and mutagenic effects, special care should be taken to avoid its aggregation.</w:t>
      </w:r>
      <w:r w:rsidR="00C16A7F">
        <w:rPr>
          <w:rFonts w:cstheme="minorHAnsi"/>
          <w:vertAlign w:val="superscript"/>
        </w:rPr>
        <w:t>34</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59526A9C" w:rsidR="00650015" w:rsidRDefault="00650015" w:rsidP="00650015">
      <w:pPr>
        <w:bidi w:val="0"/>
        <w:jc w:val="both"/>
        <w:rPr>
          <w:rFonts w:cstheme="minorHAnsi"/>
        </w:rPr>
      </w:pPr>
      <w:r w:rsidRPr="007E1A19">
        <w:rPr>
          <w:rFonts w:cstheme="minorHAnsi"/>
        </w:rPr>
        <w:t xml:space="preserve">Most of the challenges and limitations presented above can be resolved or minimized by </w:t>
      </w:r>
      <w:r w:rsidR="00C305B6" w:rsidRPr="007E1A19">
        <w:rPr>
          <w:rFonts w:cstheme="minorHAnsi"/>
        </w:rPr>
        <w:t>careful</w:t>
      </w:r>
      <w:r w:rsidRPr="007E1A19">
        <w:rPr>
          <w:rFonts w:cstheme="minorHAnsi"/>
        </w:rPr>
        <w:t xml:space="preserve"> design of reaction components and </w:t>
      </w:r>
      <w:r w:rsidR="008F2D45">
        <w:rPr>
          <w:rFonts w:cstheme="minorHAnsi"/>
        </w:rPr>
        <w:t>conditions</w:t>
      </w:r>
      <w:r w:rsidRPr="007E1A19">
        <w:rPr>
          <w:rFonts w:cstheme="minorHAnsi"/>
        </w:rPr>
        <w:t>. Since limited data on in-vivo metathesis was reported to date, I will also include results regarding aqueous media that may apply to living systems.</w:t>
      </w:r>
    </w:p>
    <w:p w14:paraId="516E8895" w14:textId="77777777" w:rsidR="00FE3494" w:rsidRPr="007E1A19" w:rsidRDefault="00FE3494" w:rsidP="00FE3494">
      <w:pPr>
        <w:bidi w:val="0"/>
        <w:jc w:val="both"/>
        <w:rPr>
          <w:rFonts w:cstheme="minorHAnsi"/>
        </w:rPr>
      </w:pP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599B1622" w:rsidR="006E4485" w:rsidRPr="00DB5455" w:rsidRDefault="00C305B6" w:rsidP="006E4485">
      <w:pPr>
        <w:pStyle w:val="ListParagraph"/>
        <w:numPr>
          <w:ilvl w:val="2"/>
          <w:numId w:val="1"/>
        </w:numPr>
        <w:bidi w:val="0"/>
        <w:jc w:val="both"/>
        <w:rPr>
          <w:rFonts w:cstheme="minorHAnsi"/>
        </w:rPr>
      </w:pPr>
      <w:r w:rsidRPr="00DB5455">
        <w:rPr>
          <w:rFonts w:cstheme="minorHAnsi"/>
        </w:rPr>
        <w:t>Hoveyda-Grubbs</w:t>
      </w:r>
      <w:r w:rsidR="006E4485" w:rsidRPr="00DB5455">
        <w:rPr>
          <w:rFonts w:cstheme="minorHAnsi"/>
        </w:rPr>
        <w:t xml:space="preserve">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14BAD892"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B256A7">
        <w:rPr>
          <w:rFonts w:cstheme="minorHAnsi"/>
          <w:vertAlign w:val="superscript"/>
        </w:rPr>
        <w:t>21</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 Their early versions, with phosphine ligands, were very air sensitive and could catalyze a limited range of metathesis reactions,</w:t>
      </w:r>
      <w:r w:rsidR="00365A67">
        <w:rPr>
          <w:rFonts w:cstheme="minorHAnsi"/>
          <w:vertAlign w:val="superscript"/>
        </w:rPr>
        <w:t>35</w:t>
      </w:r>
      <w:r w:rsidR="00B15FDB" w:rsidRPr="007E1A19">
        <w:rPr>
          <w:rFonts w:cstheme="minorHAnsi"/>
        </w:rPr>
        <w:t xml:space="preserve"> even when equipped with cationic groups to increase solubility.</w:t>
      </w:r>
      <w:r w:rsidR="00DB5455">
        <w:rPr>
          <w:rFonts w:cstheme="minorHAnsi"/>
          <w:vertAlign w:val="superscript"/>
        </w:rPr>
        <w:t>21</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Hoveyda</w:t>
      </w:r>
      <w:r w:rsidR="0073076A">
        <w:rPr>
          <w:rFonts w:cstheme="minorHAnsi"/>
        </w:rPr>
        <w:t>-</w:t>
      </w:r>
      <w:r w:rsidR="0073076A" w:rsidRPr="0073076A">
        <w:rPr>
          <w:rFonts w:cstheme="minorHAnsi"/>
        </w:rPr>
        <w:t>Grubbs</w:t>
      </w:r>
      <w:r w:rsidR="0069521A" w:rsidRPr="007E1A19">
        <w:rPr>
          <w:rFonts w:cstheme="minorHAnsi"/>
        </w:rPr>
        <w:t xml:space="preserve"> second generation catalyst (</w:t>
      </w:r>
      <w:r w:rsidR="00804C00">
        <w:rPr>
          <w:rFonts w:cstheme="minorHAnsi"/>
        </w:rPr>
        <w:t>HGII</w:t>
      </w:r>
      <w:r w:rsidR="0069521A" w:rsidRPr="007E1A19">
        <w:rPr>
          <w:rFonts w:cstheme="minorHAnsi"/>
        </w:rPr>
        <w:t>),</w:t>
      </w:r>
      <w:r w:rsidR="00801450" w:rsidRPr="007E1A19">
        <w:rPr>
          <w:rFonts w:cstheme="minorHAnsi"/>
        </w:rPr>
        <w:t xml:space="preserve"> </w:t>
      </w:r>
      <w:r w:rsidR="00804C00">
        <w:rPr>
          <w:rFonts w:cstheme="minorHAnsi"/>
        </w:rPr>
        <w:t>a group of common, efficient and tolerant catalysts.</w:t>
      </w:r>
      <w:r w:rsidR="00804C00">
        <w:rPr>
          <w:rFonts w:cstheme="minorHAnsi"/>
          <w:vertAlign w:val="superscript"/>
        </w:rPr>
        <w:t>36</w:t>
      </w:r>
      <w:r w:rsidR="0069521A" w:rsidRPr="007E1A19">
        <w:rPr>
          <w:rFonts w:cstheme="minorHAnsi"/>
        </w:rPr>
        <w:t xml:space="preserve"> </w:t>
      </w:r>
    </w:p>
    <w:p w14:paraId="34ABBDA2" w14:textId="1DF30A97" w:rsidR="00081AFE" w:rsidRDefault="00FF10A2" w:rsidP="00081AFE">
      <w:pPr>
        <w:bidi w:val="0"/>
        <w:jc w:val="both"/>
        <w:rPr>
          <w:rFonts w:cstheme="minorHAnsi"/>
        </w:rPr>
      </w:pPr>
      <w:r w:rsidRPr="007E1A19">
        <w:rPr>
          <w:rFonts w:cstheme="minorHAnsi"/>
        </w:rPr>
        <w:t xml:space="preserve">Despite these advantages, </w:t>
      </w:r>
      <w:r w:rsidR="00635F10">
        <w:rPr>
          <w:rFonts w:cstheme="minorHAnsi"/>
        </w:rPr>
        <w:t>HGII</w:t>
      </w:r>
      <w:r w:rsidRPr="007E1A19">
        <w:rPr>
          <w:rFonts w:cstheme="minorHAnsi"/>
        </w:rPr>
        <w:t xml:space="preserve"> catalysts have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931D64">
        <w:rPr>
          <w:rFonts w:cstheme="minorHAnsi"/>
          <w:vertAlign w:val="superscript"/>
        </w:rPr>
        <w:t>15</w:t>
      </w:r>
      <w:r w:rsidR="002179CD" w:rsidRPr="007E1A19">
        <w:rPr>
          <w:rFonts w:cstheme="minorHAnsi"/>
        </w:rPr>
        <w:t xml:space="preserve"> The basic structure of the </w:t>
      </w:r>
      <w:r w:rsidR="00635F10">
        <w:rPr>
          <w:rFonts w:cstheme="minorHAnsi"/>
        </w:rPr>
        <w:t>HGII</w:t>
      </w:r>
      <w:r w:rsidR="002179CD" w:rsidRPr="007E1A19">
        <w:rPr>
          <w:rFonts w:cstheme="minorHAnsi"/>
        </w:rPr>
        <w:t xml:space="preserve"> should be optimized to fit the conditions inside cells.</w:t>
      </w:r>
    </w:p>
    <w:p w14:paraId="32A9F353" w14:textId="77777777" w:rsidR="00FE3494" w:rsidRPr="007E1A19" w:rsidRDefault="00FE3494" w:rsidP="00FE3494">
      <w:pPr>
        <w:bidi w:val="0"/>
        <w:jc w:val="both"/>
        <w:rPr>
          <w:rFonts w:cstheme="minorHAnsi"/>
        </w:rPr>
      </w:pPr>
    </w:p>
    <w:p w14:paraId="02251518" w14:textId="05CBF1E1" w:rsidR="00EF7B5B" w:rsidRPr="009C6C94" w:rsidRDefault="006E4485" w:rsidP="00C56AAE">
      <w:pPr>
        <w:pStyle w:val="ListParagraph"/>
        <w:numPr>
          <w:ilvl w:val="2"/>
          <w:numId w:val="1"/>
        </w:numPr>
        <w:bidi w:val="0"/>
        <w:jc w:val="both"/>
        <w:rPr>
          <w:rFonts w:cstheme="minorHAnsi"/>
        </w:rPr>
      </w:pPr>
      <w:r w:rsidRPr="009C6C94">
        <w:rPr>
          <w:rFonts w:cstheme="minorHAnsi"/>
        </w:rPr>
        <w:t>Charged catalysts</w:t>
      </w:r>
    </w:p>
    <w:p w14:paraId="31521B51" w14:textId="66B9DDCC" w:rsidR="00801450" w:rsidRPr="007E1A19" w:rsidRDefault="003E40DC" w:rsidP="00801450">
      <w:pPr>
        <w:bidi w:val="0"/>
        <w:jc w:val="both"/>
        <w:rPr>
          <w:rFonts w:cstheme="minorHAnsi"/>
        </w:rPr>
      </w:pPr>
      <w:r w:rsidRPr="007E1A19">
        <w:rPr>
          <w:rFonts w:cstheme="minorHAnsi"/>
        </w:rPr>
        <w:lastRenderedPageBreak/>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AquaMet</w:t>
      </w:r>
      <w:r w:rsidR="00BA3F9D">
        <w:rPr>
          <w:rFonts w:cstheme="minorHAnsi"/>
        </w:rPr>
        <w:t>, for example,</w:t>
      </w:r>
      <w:r w:rsidR="00801450" w:rsidRPr="007E1A19">
        <w:rPr>
          <w:rFonts w:cstheme="minorHAnsi"/>
        </w:rPr>
        <w:t xml:space="preserve"> is a</w:t>
      </w:r>
      <w:r w:rsidR="00B536E7">
        <w:rPr>
          <w:rFonts w:cstheme="minorHAnsi"/>
        </w:rPr>
        <w:t>n</w:t>
      </w:r>
      <w:r w:rsidR="00801450" w:rsidRPr="007E1A19">
        <w:rPr>
          <w:rFonts w:cstheme="minorHAnsi"/>
        </w:rPr>
        <w:t xml:space="preserve"> </w:t>
      </w:r>
      <w:r w:rsidR="00F16D38">
        <w:rPr>
          <w:rFonts w:cstheme="minorHAnsi"/>
        </w:rPr>
        <w:t>HGII</w:t>
      </w:r>
      <w:r w:rsidR="00801450" w:rsidRPr="007E1A19">
        <w:rPr>
          <w:rFonts w:cstheme="minorHAnsi"/>
        </w:rPr>
        <w:t xml:space="preserve">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16D38">
        <w:rPr>
          <w:rFonts w:cstheme="minorHAnsi"/>
          <w:vertAlign w:val="superscript"/>
        </w:rPr>
        <w:t>30,37</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w:t>
      </w:r>
      <w:r w:rsidR="00F16D38">
        <w:rPr>
          <w:rFonts w:cstheme="minorHAnsi"/>
        </w:rPr>
        <w:t>but</w:t>
      </w:r>
      <w:r w:rsidR="00D2477B" w:rsidRPr="007E1A19">
        <w:rPr>
          <w:rFonts w:cstheme="minorHAnsi"/>
        </w:rPr>
        <w:t xml:space="preserve"> not harming 1MEA cells in </w:t>
      </w:r>
      <w:r w:rsidR="00262477">
        <w:rPr>
          <w:rFonts w:cstheme="minorHAnsi"/>
        </w:rPr>
        <w:t>similar</w:t>
      </w:r>
      <w:r w:rsidR="00D2477B" w:rsidRPr="007E1A19">
        <w:rPr>
          <w:rFonts w:cstheme="minorHAnsi"/>
        </w:rPr>
        <w:t xml:space="preserve"> concentrations</w:t>
      </w:r>
      <w:r w:rsidR="00201824" w:rsidRPr="007E1A19">
        <w:rPr>
          <w:rFonts w:cstheme="minorHAnsi"/>
        </w:rPr>
        <w:t>.</w:t>
      </w:r>
      <w:r w:rsidR="00A66F63">
        <w:rPr>
          <w:rFonts w:cstheme="minorHAnsi"/>
          <w:vertAlign w:val="superscript"/>
        </w:rPr>
        <w:t>17</w:t>
      </w:r>
      <w:r w:rsidR="00201824" w:rsidRPr="007E1A19">
        <w:rPr>
          <w:rFonts w:cstheme="minorHAnsi"/>
        </w:rPr>
        <w:t xml:space="preserve"> </w:t>
      </w:r>
    </w:p>
    <w:p w14:paraId="15A3600B" w14:textId="209D418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w:t>
      </w:r>
      <w:r w:rsidR="00C56AAE">
        <w:rPr>
          <w:rFonts w:cstheme="minorHAnsi"/>
          <w:vertAlign w:val="superscript"/>
        </w:rPr>
        <w:t>15</w:t>
      </w:r>
      <w:r w:rsidR="00E13B16" w:rsidRPr="007E1A19">
        <w:rPr>
          <w:rFonts w:cstheme="minorHAnsi"/>
        </w:rPr>
        <w:t xml:space="preserve"> </w:t>
      </w:r>
    </w:p>
    <w:p w14:paraId="4E77A8AF" w14:textId="39EBA607" w:rsidR="00ED7A9E" w:rsidRPr="007E1A19" w:rsidRDefault="00ED7A9E" w:rsidP="00ED7A9E">
      <w:pPr>
        <w:bidi w:val="0"/>
        <w:jc w:val="both"/>
        <w:rPr>
          <w:rFonts w:cstheme="minorHAnsi"/>
        </w:rPr>
      </w:pPr>
      <w:r w:rsidRPr="007E1A19">
        <w:rPr>
          <w:rFonts w:cstheme="minorHAnsi"/>
        </w:rPr>
        <w:t>AqueMet</w:t>
      </w:r>
      <w:r w:rsidR="00C55D7F">
        <w:rPr>
          <w:rFonts w:cstheme="minorHAnsi"/>
        </w:rPr>
        <w:t>'s</w:t>
      </w:r>
      <w:r w:rsidRPr="007E1A19">
        <w:rPr>
          <w:rFonts w:cstheme="minorHAnsi"/>
        </w:rPr>
        <w:t xml:space="preserve">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00572BFA">
        <w:rPr>
          <w:rFonts w:cstheme="minorHAnsi"/>
          <w:vertAlign w:val="superscript"/>
        </w:rPr>
        <w:t>32</w:t>
      </w:r>
      <w:r w:rsidRPr="007E1A19">
        <w:rPr>
          <w:rFonts w:cstheme="minorHAnsi"/>
        </w:rPr>
        <w:t xml:space="preserve"> </w:t>
      </w:r>
    </w:p>
    <w:p w14:paraId="1D32BB86" w14:textId="708232B1" w:rsidR="003E40DC" w:rsidRDefault="00E13B16" w:rsidP="002C117A">
      <w:pPr>
        <w:bidi w:val="0"/>
        <w:jc w:val="both"/>
        <w:rPr>
          <w:rFonts w:cstheme="minorHAnsi"/>
        </w:rPr>
      </w:pPr>
      <w:r w:rsidRPr="007E1A19">
        <w:rPr>
          <w:rFonts w:cstheme="minorHAnsi"/>
        </w:rPr>
        <w:t xml:space="preserve">Anionic tags </w:t>
      </w:r>
      <w:r w:rsidR="009C6C94">
        <w:rPr>
          <w:rFonts w:cstheme="minorHAnsi"/>
        </w:rPr>
        <w:t>provide</w:t>
      </w:r>
      <w:r w:rsidR="00ED7A9E" w:rsidRPr="007E1A19">
        <w:rPr>
          <w:rFonts w:cstheme="minorHAnsi"/>
        </w:rPr>
        <w:t xml:space="preserv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alkylaminocarbene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w:t>
      </w:r>
      <w:r w:rsidR="009C6C94">
        <w:rPr>
          <w:rFonts w:cstheme="minorHAnsi"/>
          <w:vertAlign w:val="superscript"/>
        </w:rPr>
        <w:t>5</w:t>
      </w:r>
      <w:r w:rsidR="00323D29" w:rsidRPr="007E1A19">
        <w:rPr>
          <w:rFonts w:cstheme="minorHAnsi"/>
        </w:rPr>
        <w:t xml:space="preserve"> They also managed to achieve </w:t>
      </w:r>
      <w:r w:rsidR="00B53480">
        <w:rPr>
          <w:rFonts w:cstheme="minorHAnsi"/>
        </w:rPr>
        <w:t>usable</w:t>
      </w:r>
      <w:r w:rsidR="00323D29" w:rsidRPr="007E1A19">
        <w:rPr>
          <w:rFonts w:cstheme="minorHAnsi"/>
        </w:rPr>
        <w:t xml:space="preserve"> TONs (70-1520, depending on the reaction) for RCM and CM of various challenging substrates like the sugar galactopyranoside and</w:t>
      </w:r>
      <w:r w:rsidR="00B179B9">
        <w:rPr>
          <w:rFonts w:cstheme="minorHAnsi"/>
        </w:rPr>
        <w:t xml:space="preserve"> the nucleoside</w:t>
      </w:r>
      <w:r w:rsidR="00323D29" w:rsidRPr="007E1A19">
        <w:rPr>
          <w:rFonts w:cstheme="minorHAnsi"/>
        </w:rPr>
        <w:t xml:space="preserve"> uridin</w:t>
      </w:r>
      <w:r w:rsidR="00336EB4">
        <w:rPr>
          <w:rFonts w:cstheme="minorHAnsi"/>
        </w:rPr>
        <w:t>e</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xml:space="preserve">. </w:t>
      </w:r>
      <w:r w:rsidR="00CE558E">
        <w:rPr>
          <w:rFonts w:cstheme="minorHAnsi"/>
        </w:rPr>
        <w:t>However, t</w:t>
      </w:r>
      <w:r w:rsidR="00323D29" w:rsidRPr="007E1A19">
        <w:rPr>
          <w:rFonts w:cstheme="minorHAnsi"/>
        </w:rPr>
        <w: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5BDED1DA" w14:textId="77777777" w:rsidR="00FE3494" w:rsidRPr="007E1A19" w:rsidRDefault="00FE3494" w:rsidP="00FE3494">
      <w:pPr>
        <w:bidi w:val="0"/>
        <w:jc w:val="both"/>
        <w:rPr>
          <w:rFonts w:cstheme="minorHAnsi"/>
        </w:rPr>
      </w:pPr>
    </w:p>
    <w:p w14:paraId="0623FC1A" w14:textId="1F2D85D0" w:rsidR="006E4485" w:rsidRPr="00873E2E" w:rsidRDefault="006E4485" w:rsidP="006E4485">
      <w:pPr>
        <w:pStyle w:val="ListParagraph"/>
        <w:numPr>
          <w:ilvl w:val="2"/>
          <w:numId w:val="1"/>
        </w:numPr>
        <w:bidi w:val="0"/>
        <w:jc w:val="both"/>
        <w:rPr>
          <w:rFonts w:cstheme="minorHAnsi"/>
        </w:rPr>
      </w:pPr>
      <w:r w:rsidRPr="00873E2E">
        <w:rPr>
          <w:rFonts w:cstheme="minorHAnsi"/>
        </w:rPr>
        <w:t>Metalloproteins</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(ArMs)</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A5676A3"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009143D6">
        <w:rPr>
          <w:rFonts w:cstheme="minorHAnsi"/>
          <w:vertAlign w:val="superscript"/>
        </w:rPr>
        <w:t>3</w:t>
      </w:r>
      <w:r w:rsidRPr="007E1A19">
        <w:rPr>
          <w:rFonts w:cstheme="minorHAnsi"/>
          <w:vertAlign w:val="superscript"/>
        </w:rPr>
        <w:t>8</w:t>
      </w:r>
    </w:p>
    <w:p w14:paraId="2848A971" w14:textId="4FFE157F" w:rsidR="00C1717E" w:rsidRPr="00C1717E" w:rsidRDefault="001315AC" w:rsidP="00C1717E">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 xml:space="preserve">ferric hydroxamate uptake protein component A (FhuA) </w:t>
      </w:r>
      <w:r w:rsidR="0068426C" w:rsidRPr="007E1A19">
        <w:rPr>
          <w:rFonts w:cstheme="minorHAnsi"/>
        </w:rPr>
        <w:t xml:space="preserve">- a transmembrane β-barrel protein </w:t>
      </w:r>
      <w:r w:rsidR="00681901" w:rsidRPr="007E1A19">
        <w:rPr>
          <w:rFonts w:cstheme="minorHAnsi"/>
        </w:rPr>
        <w:t xml:space="preserve">isolated from E. coli. After attaching a maleimide linking unit and a cysteine residue to the NHC ligand of a </w:t>
      </w:r>
      <w:r w:rsidR="00513F9F">
        <w:rPr>
          <w:rFonts w:cstheme="minorHAnsi"/>
        </w:rPr>
        <w:t>H</w:t>
      </w:r>
      <w:r w:rsidR="00681901" w:rsidRPr="007E1A19">
        <w:rPr>
          <w:rFonts w:cstheme="minorHAnsi"/>
        </w:rPr>
        <w:t>GII catalyst</w:t>
      </w:r>
      <w:r w:rsidR="00D6107D" w:rsidRPr="007E1A19">
        <w:rPr>
          <w:rFonts w:cstheme="minorHAnsi"/>
        </w:rPr>
        <w:t xml:space="preserve">, the catalyst was successfully anchored to the protein and catalyzed a ROMP reaction in aqueous conditions of </w:t>
      </w:r>
      <w:r w:rsidR="00F01F4F" w:rsidRPr="007E1A19">
        <w:rPr>
          <w:rFonts w:cstheme="minorHAnsi"/>
        </w:rPr>
        <w:t>oxanorbornene</w:t>
      </w:r>
      <w:r w:rsidR="00D6107D" w:rsidRPr="007E1A19">
        <w:rPr>
          <w:rFonts w:cstheme="minorHAnsi"/>
        </w:rPr>
        <w:t xml:space="preserve"> with high TONs (300-500) but without cis/trans selectivity. It's worth noting that for such a large protein the conjugation required </w:t>
      </w:r>
      <w:r w:rsidR="003F14AE" w:rsidRPr="007E1A19">
        <w:rPr>
          <w:rFonts w:cstheme="minorHAnsi"/>
        </w:rPr>
        <w:t xml:space="preserve">genetically engineering a protease </w:t>
      </w:r>
      <w:r w:rsidR="003F14AE" w:rsidRPr="007E1A19">
        <w:rPr>
          <w:rFonts w:cstheme="minorHAnsi"/>
        </w:rPr>
        <w:lastRenderedPageBreak/>
        <w:t>cleavage site, denaturing and digesting the protein and renaturing it afterwards to achieve refolding to the original secondary structure.</w:t>
      </w:r>
      <w:r w:rsidR="009D6EE9">
        <w:rPr>
          <w:rFonts w:cstheme="minorHAnsi"/>
          <w:vertAlign w:val="superscript"/>
        </w:rPr>
        <w:t>39</w:t>
      </w:r>
    </w:p>
    <w:p w14:paraId="706263DE" w14:textId="1FA6F8E9" w:rsidR="004508CB" w:rsidRPr="007E1A19" w:rsidRDefault="004508CB" w:rsidP="004508CB">
      <w:pPr>
        <w:bidi w:val="0"/>
        <w:jc w:val="both"/>
        <w:rPr>
          <w:rFonts w:cstheme="minorHAnsi"/>
        </w:rPr>
      </w:pPr>
      <w:r w:rsidRPr="007E1A19">
        <w:rPr>
          <w:rFonts w:cstheme="minorHAnsi"/>
        </w:rPr>
        <w:t xml:space="preserve">Streptavidin is a small bacterial β-barrel protein with very high affinity to biotin.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H</w:t>
      </w:r>
      <w:r w:rsidR="00513F9F">
        <w:rPr>
          <w:rFonts w:cstheme="minorHAnsi"/>
        </w:rPr>
        <w:t>G</w:t>
      </w:r>
      <w:r w:rsidRPr="007E1A19">
        <w:rPr>
          <w:rFonts w:cstheme="minorHAnsi"/>
        </w:rPr>
        <w:t>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H</w:t>
      </w:r>
      <w:r w:rsidR="00513F9F">
        <w:rPr>
          <w:rFonts w:cstheme="minorHAnsi"/>
        </w:rPr>
        <w:t>G</w:t>
      </w:r>
      <w:r w:rsidR="00A50885" w:rsidRPr="007E1A19">
        <w:rPr>
          <w:rFonts w:cstheme="minorHAnsi"/>
        </w:rPr>
        <w:t>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r w:rsidR="009D6EE9">
        <w:rPr>
          <w:rFonts w:cstheme="minorHAnsi"/>
          <w:vertAlign w:val="superscript"/>
        </w:rPr>
        <w:t>5</w:t>
      </w:r>
    </w:p>
    <w:p w14:paraId="23724E69" w14:textId="6CFD0749"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 xml:space="preserve">uman carbonic anhydrase II (hCAII) </w:t>
      </w:r>
      <w:r w:rsidRPr="007E1A19">
        <w:rPr>
          <w:rFonts w:cstheme="minorHAnsi"/>
        </w:rPr>
        <w:t>ArM.</w:t>
      </w:r>
      <w:r w:rsidR="00613CA9" w:rsidRPr="007E1A19">
        <w:rPr>
          <w:rFonts w:cstheme="minorHAnsi"/>
        </w:rPr>
        <w:t xml:space="preserve"> Since this enzyme natively contains a Zn ion, installing an arylsulfonamide anchor on a H</w:t>
      </w:r>
      <w:r w:rsidR="00513F9F">
        <w:rPr>
          <w:rFonts w:cstheme="minorHAnsi"/>
        </w:rPr>
        <w:t>G</w:t>
      </w:r>
      <w:r w:rsidR="00613CA9" w:rsidRPr="007E1A19">
        <w:rPr>
          <w:rFonts w:cstheme="minorHAnsi"/>
        </w:rPr>
        <w:t xml:space="preserve">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A07B3F">
        <w:rPr>
          <w:rFonts w:cstheme="minorHAnsi"/>
          <w:vertAlign w:val="superscript"/>
        </w:rPr>
        <w:t>40</w:t>
      </w:r>
    </w:p>
    <w:p w14:paraId="6DF6A022" w14:textId="0E9A14DB"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r w:rsidR="00724D37" w:rsidRPr="007E1A19">
        <w:rPr>
          <w:rFonts w:cstheme="minorHAnsi"/>
        </w:rPr>
        <w:t>FhuA</w:t>
      </w:r>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FuhA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E51E0B">
        <w:rPr>
          <w:rFonts w:cstheme="minorHAnsi"/>
          <w:vertAlign w:val="superscript"/>
        </w:rPr>
        <w:t>39</w:t>
      </w:r>
      <w:r w:rsidR="00D05F85" w:rsidRPr="007E1A19">
        <w:rPr>
          <w:rFonts w:cstheme="minorHAnsi"/>
        </w:rPr>
        <w:t xml:space="preserve"> However, </w:t>
      </w:r>
      <w:r w:rsidR="00B92B06" w:rsidRPr="007E1A19">
        <w:rPr>
          <w:rFonts w:cstheme="minorHAnsi"/>
        </w:rPr>
        <w:t>when the same catalyst was incorporated to the smaller β-barrel protein nitrobindin, a longer spacer was required both for successful synthesis of the metalloenzyme – to accommodate the bulky NHC ligand – and achieved the highest TONs in ROMP reaction.</w:t>
      </w:r>
      <w:r w:rsidR="00702872">
        <w:rPr>
          <w:rFonts w:cstheme="minorHAnsi"/>
          <w:vertAlign w:val="superscript"/>
        </w:rPr>
        <w:t>41</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xml:space="preserve">, </w:t>
      </w:r>
      <w:r w:rsidR="00443907">
        <w:rPr>
          <w:rFonts w:cstheme="minorHAnsi"/>
        </w:rPr>
        <w:t>a balance that</w:t>
      </w:r>
      <w:r w:rsidR="00026CA2" w:rsidRPr="007E1A19">
        <w:rPr>
          <w:rFonts w:cstheme="minorHAnsi"/>
        </w:rPr>
        <w:t xml:space="preserve"> depends on the protein</w:t>
      </w:r>
      <w:r w:rsidR="00061116" w:rsidRPr="007E1A19">
        <w:rPr>
          <w:rFonts w:cstheme="minorHAnsi"/>
        </w:rPr>
        <w:t>, the catalyst</w:t>
      </w:r>
      <w:r w:rsidR="00026CA2" w:rsidRPr="007E1A19">
        <w:rPr>
          <w:rFonts w:cstheme="minorHAnsi"/>
        </w:rPr>
        <w:t xml:space="preserve"> and the catalyzed reaction.</w:t>
      </w:r>
    </w:p>
    <w:p w14:paraId="19B0E0D7" w14:textId="361B341B" w:rsidR="008160C6" w:rsidRPr="007E1A19" w:rsidRDefault="008160C6" w:rsidP="008160C6">
      <w:pPr>
        <w:bidi w:val="0"/>
        <w:jc w:val="both"/>
        <w:rPr>
          <w:rFonts w:cstheme="minorHAnsi"/>
        </w:rPr>
      </w:pPr>
      <w:r w:rsidRPr="007E1A19">
        <w:rPr>
          <w:rFonts w:cstheme="minorHAnsi"/>
        </w:rPr>
        <w:t>The stability and reactivity of the metalloenzyme may be affected by the anionic ligand bound to the ruthenium. A</w:t>
      </w:r>
      <w:r w:rsidR="00870365">
        <w:rPr>
          <w:rFonts w:cstheme="minorHAnsi"/>
        </w:rPr>
        <w:t>n experiment</w:t>
      </w:r>
      <w:r w:rsidRPr="007E1A19">
        <w:rPr>
          <w:rFonts w:cstheme="minorHAnsi"/>
        </w:rPr>
        <w:t xml:space="preserve">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w:t>
      </w:r>
      <w:r w:rsidR="0091012C">
        <w:rPr>
          <w:rFonts w:cstheme="minorHAnsi"/>
        </w:rPr>
        <w:t xml:space="preserve">n HGII </w:t>
      </w:r>
      <w:r w:rsidR="00AC5FE5" w:rsidRPr="007E1A19">
        <w:rPr>
          <w:rFonts w:cstheme="minorHAnsi"/>
        </w:rPr>
        <w:t xml:space="preserve">catalyst conjugated to nitrobindin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E6CE2">
        <w:rPr>
          <w:rFonts w:cstheme="minorHAnsi"/>
          <w:vertAlign w:val="superscript"/>
        </w:rPr>
        <w:t>22</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effect – both for catalyst stability and RCM yield – was observed for a different metalloenzyme containing albumin, suggesting that iodide substitution will be helpful for any ArM in which the catalyst is exposed to the aqueous environment.</w:t>
      </w:r>
      <w:r w:rsidR="00F223B6">
        <w:rPr>
          <w:rFonts w:cstheme="minorHAnsi"/>
          <w:vertAlign w:val="superscript"/>
        </w:rPr>
        <w:t>18</w:t>
      </w:r>
      <w:r w:rsidR="007D4776" w:rsidRPr="007E1A19">
        <w:rPr>
          <w:rFonts w:cstheme="minorHAnsi"/>
        </w:rPr>
        <w:t xml:space="preserve"> </w:t>
      </w:r>
      <w:r w:rsidR="00C63365" w:rsidRPr="007E1A19">
        <w:rPr>
          <w:rFonts w:cstheme="minorHAnsi"/>
        </w:rPr>
        <w:t xml:space="preserve"> </w:t>
      </w:r>
    </w:p>
    <w:p w14:paraId="7FCA3C20" w14:textId="17A418BC" w:rsidR="00A80DF9" w:rsidRPr="007E1A19" w:rsidRDefault="00A80DF9" w:rsidP="00A80DF9">
      <w:pPr>
        <w:bidi w:val="0"/>
        <w:jc w:val="both"/>
        <w:rPr>
          <w:rFonts w:cstheme="minorHAnsi"/>
        </w:rPr>
      </w:pPr>
      <w:r w:rsidRPr="007E1A19">
        <w:rPr>
          <w:rFonts w:cstheme="minorHAnsi"/>
        </w:rPr>
        <w:t>The synthesis of the FhuA ArM required mutagenesis</w:t>
      </w:r>
      <w:r w:rsidR="00C06DE3" w:rsidRPr="007E1A19">
        <w:rPr>
          <w:rFonts w:cstheme="minorHAnsi"/>
        </w:rPr>
        <w:t xml:space="preserve"> to insert a cleavage site for the incorporation of the H</w:t>
      </w:r>
      <w:r w:rsidR="00513F9F">
        <w:rPr>
          <w:rFonts w:cstheme="minorHAnsi"/>
        </w:rPr>
        <w:t>G</w:t>
      </w:r>
      <w:r w:rsidR="00C06DE3" w:rsidRPr="007E1A19">
        <w:rPr>
          <w:rFonts w:cstheme="minorHAnsi"/>
        </w:rPr>
        <w:t>II catalyst</w:t>
      </w:r>
      <w:r w:rsidR="00DB0E24" w:rsidRPr="007E1A19">
        <w:rPr>
          <w:rFonts w:cstheme="minorHAnsi"/>
        </w:rPr>
        <w:t>;</w:t>
      </w:r>
      <w:r w:rsidR="00F223B6">
        <w:rPr>
          <w:rFonts w:cstheme="minorHAnsi"/>
          <w:vertAlign w:val="superscript"/>
        </w:rPr>
        <w:t>39</w:t>
      </w:r>
      <w:r w:rsidR="00C06DE3" w:rsidRPr="007E1A19">
        <w:rPr>
          <w:rFonts w:cstheme="minorHAnsi"/>
        </w:rPr>
        <w:t xml:space="preserve"> </w:t>
      </w:r>
      <w:r w:rsidR="00DB0E24" w:rsidRPr="007E1A19">
        <w:rPr>
          <w:rFonts w:cstheme="minorHAnsi"/>
        </w:rPr>
        <w:t xml:space="preserve">experiments </w:t>
      </w:r>
      <w:r w:rsidR="00F85C6D">
        <w:rPr>
          <w:rFonts w:cstheme="minorHAnsi"/>
        </w:rPr>
        <w:t>using</w:t>
      </w:r>
      <w:r w:rsidR="00DB0E24" w:rsidRPr="007E1A19">
        <w:rPr>
          <w:rFonts w:cstheme="minorHAnsi"/>
        </w:rPr>
        <w:t xml:space="preserve"> the smaller protein nitrobindin introduced mutations to construct a hydrophobic cavity for catalyst anchoring.</w:t>
      </w:r>
      <w:r w:rsidR="00F223B6">
        <w:rPr>
          <w:rFonts w:cstheme="minorHAnsi"/>
          <w:vertAlign w:val="superscript"/>
        </w:rPr>
        <w:t>41</w:t>
      </w:r>
      <w:r w:rsidR="005860BC" w:rsidRPr="007E1A19">
        <w:rPr>
          <w:rFonts w:cstheme="minorHAnsi"/>
        </w:rPr>
        <w:t xml:space="preserve"> </w:t>
      </w:r>
      <w:r w:rsidR="00DB0E24" w:rsidRPr="007E1A19">
        <w:rPr>
          <w:rFonts w:cstheme="minorHAnsi"/>
        </w:rPr>
        <w:t xml:space="preserve">The most striking usage of mutagenesis for ArM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ArM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w:t>
      </w:r>
      <w:r w:rsidR="00270130" w:rsidRPr="007E1A19">
        <w:rPr>
          <w:rFonts w:cstheme="minorHAnsi"/>
        </w:rPr>
        <w:lastRenderedPageBreak/>
        <w:t>or increase the entropy</w:t>
      </w:r>
      <w:r w:rsidR="00DD4482" w:rsidRPr="007E1A19">
        <w:rPr>
          <w:rFonts w:cstheme="minorHAnsi"/>
        </w:rPr>
        <w:t xml:space="preserve"> </w:t>
      </w:r>
      <w:r w:rsidR="00270130" w:rsidRPr="007E1A19">
        <w:rPr>
          <w:rFonts w:cstheme="minorHAnsi"/>
        </w:rPr>
        <w:t>of reaction</w:t>
      </w:r>
      <w:r w:rsidR="007060D7">
        <w:rPr>
          <w:rFonts w:cstheme="minorHAnsi"/>
        </w:rPr>
        <w:t>.</w:t>
      </w:r>
      <w:r w:rsidR="00434BD1">
        <w:rPr>
          <w:rFonts w:cstheme="minorHAnsi"/>
          <w:vertAlign w:val="superscript"/>
        </w:rPr>
        <w:t>25</w:t>
      </w:r>
      <w:r w:rsidR="007060D7">
        <w:rPr>
          <w:rFonts w:cstheme="minorHAnsi"/>
        </w:rPr>
        <w:t xml:space="preserve"> </w:t>
      </w:r>
      <w:r w:rsidR="00027D48" w:rsidRPr="007E1A19">
        <w:rPr>
          <w:rFonts w:cstheme="minorHAnsi"/>
        </w:rPr>
        <w:t xml:space="preserve">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p>
    <w:p w14:paraId="5EDEFB7F" w14:textId="05642640" w:rsidR="002C25F4"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w:t>
      </w:r>
      <w:r w:rsidR="00A969BF">
        <w:rPr>
          <w:rFonts w:cstheme="minorHAnsi"/>
        </w:rPr>
        <w:t xml:space="preserve">an </w:t>
      </w:r>
      <w:r w:rsidRPr="007E1A19">
        <w:rPr>
          <w:rFonts w:cstheme="minorHAnsi"/>
        </w:rPr>
        <w:t xml:space="preserve">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w:t>
      </w:r>
      <w:r w:rsidR="00AC7C37">
        <w:rPr>
          <w:rFonts w:cstheme="minorHAnsi"/>
        </w:rPr>
        <w:t>HGII</w:t>
      </w:r>
      <w:r w:rsidR="00CA0153" w:rsidRPr="007E1A19">
        <w:rPr>
          <w:rFonts w:cstheme="minorHAnsi"/>
        </w:rPr>
        <w:t xml:space="preserve">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667D58">
        <w:rPr>
          <w:rFonts w:cstheme="minorHAnsi"/>
          <w:vertAlign w:val="superscript"/>
        </w:rPr>
        <w:t>4</w:t>
      </w:r>
      <w:r w:rsidR="005502F8" w:rsidRPr="007E1A19">
        <w:rPr>
          <w:rFonts w:cstheme="minorHAnsi"/>
          <w:vertAlign w:val="superscript"/>
        </w:rPr>
        <w:t>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7854513C" w14:textId="77777777" w:rsidR="00FE3494" w:rsidRPr="007E1A19" w:rsidRDefault="00FE3494" w:rsidP="00FE3494">
      <w:pPr>
        <w:bidi w:val="0"/>
        <w:jc w:val="both"/>
        <w:rPr>
          <w:rFonts w:cstheme="minorHAnsi"/>
        </w:rPr>
      </w:pPr>
    </w:p>
    <w:p w14:paraId="38E0C4EC" w14:textId="29C00C64" w:rsidR="000A1714" w:rsidRPr="00513F9F" w:rsidRDefault="00DF6C29" w:rsidP="002C0A66">
      <w:pPr>
        <w:pStyle w:val="Heading3"/>
        <w:rPr>
          <w:rFonts w:cstheme="minorHAnsi"/>
        </w:rPr>
      </w:pPr>
      <w:r>
        <w:rPr>
          <w:rFonts w:cstheme="minorHAnsi"/>
        </w:rPr>
        <w:t>S</w:t>
      </w:r>
      <w:r w:rsidR="000A1714" w:rsidRPr="00513F9F">
        <w:rPr>
          <w:rFonts w:cstheme="minorHAnsi"/>
        </w:rPr>
        <w:t>ubstrate</w:t>
      </w:r>
      <w:r w:rsidR="002C0A66" w:rsidRPr="00513F9F">
        <w:rPr>
          <w:rFonts w:cstheme="minorHAnsi"/>
        </w:rPr>
        <w:t>s</w:t>
      </w:r>
      <w:r w:rsidR="000A1714" w:rsidRPr="00513F9F">
        <w:rPr>
          <w:rFonts w:cstheme="minorHAnsi"/>
        </w:rPr>
        <w:t xml:space="preserve"> and reaction partners</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4038FE9" w14:textId="15EFEB0B" w:rsidR="00E44A9C" w:rsidRPr="00523615"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S-allylcysteine (Sac), </w:t>
      </w:r>
      <w:r w:rsidR="00AF3870" w:rsidRPr="007E1A19">
        <w:rPr>
          <w:rFonts w:cstheme="minorHAnsi"/>
        </w:rPr>
        <w:t xml:space="preserve">and </w:t>
      </w:r>
      <w:r w:rsidR="00F7185A">
        <w:rPr>
          <w:rFonts w:cstheme="minorHAnsi"/>
        </w:rPr>
        <w:t>achieved</w:t>
      </w:r>
      <w:r w:rsidR="00AF3870" w:rsidRPr="007E1A19">
        <w:rPr>
          <w:rFonts w:cstheme="minorHAnsi"/>
        </w:rPr>
        <w:t xml:space="preserve"> high conversion rate</w:t>
      </w:r>
      <w:r w:rsidR="00427530">
        <w:rPr>
          <w:rFonts w:cstheme="minorHAnsi"/>
        </w:rPr>
        <w:t>s</w:t>
      </w:r>
      <w:r w:rsidR="00AF3870" w:rsidRPr="007E1A19">
        <w:rPr>
          <w:rFonts w:cstheme="minorHAnsi"/>
        </w:rPr>
        <w:t xml:space="preserv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selenenylsulfide using allyl selenocyanate and then underwent rearrangement to form Sac.</w:t>
      </w:r>
      <w:r w:rsidR="00902CAA" w:rsidRPr="007E1A19">
        <w:rPr>
          <w:rFonts w:cstheme="minorHAnsi"/>
        </w:rPr>
        <w:t xml:space="preserve"> Both methods provided an active protein that also reacted in olefin metathesis with allyl alcohol.</w:t>
      </w:r>
      <w:r w:rsidR="00523615">
        <w:rPr>
          <w:rFonts w:cstheme="minorHAnsi"/>
          <w:vertAlign w:val="superscript"/>
        </w:rPr>
        <w:t>43</w:t>
      </w:r>
    </w:p>
    <w:p w14:paraId="37102E56" w14:textId="18F92274"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to multiple proteins in-vivo</w:t>
      </w:r>
      <w:r w:rsidR="0001343E" w:rsidRPr="007E1A19">
        <w:rPr>
          <w:rFonts w:cstheme="minorHAnsi"/>
        </w:rPr>
        <w:t xml:space="preserve"> while keeping their original secondary structure and function</w:t>
      </w:r>
      <w:r w:rsidR="005C31E7" w:rsidRPr="007E1A19">
        <w:rPr>
          <w:rFonts w:cstheme="minorHAnsi"/>
        </w:rPr>
        <w:t xml:space="preserve">. Cross-metathesis </w:t>
      </w:r>
      <w:r w:rsidR="003D6527" w:rsidRPr="007E1A19">
        <w:rPr>
          <w:rFonts w:cstheme="minorHAnsi"/>
        </w:rPr>
        <w:t>by H</w:t>
      </w:r>
      <w:r w:rsidR="00513F9F">
        <w:rPr>
          <w:rFonts w:cstheme="minorHAnsi"/>
        </w:rPr>
        <w:t>G</w:t>
      </w:r>
      <w:r w:rsidR="003D6527" w:rsidRPr="007E1A19">
        <w:rPr>
          <w:rFonts w:cstheme="minorHAnsi"/>
        </w:rPr>
        <w:t xml:space="preserve">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w:t>
      </w:r>
      <w:r w:rsidR="004F4CEE">
        <w:rPr>
          <w:rFonts w:cstheme="minorHAnsi"/>
          <w:vertAlign w:val="superscript"/>
        </w:rPr>
        <w:t>26</w:t>
      </w:r>
    </w:p>
    <w:p w14:paraId="72724ACC" w14:textId="77777777" w:rsidR="00D215C3" w:rsidRDefault="002C0A66" w:rsidP="00D215C3">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 and achieve better yields than other amino acids.</w:t>
      </w:r>
      <w:r w:rsidR="00327043">
        <w:rPr>
          <w:rFonts w:cstheme="minorHAnsi"/>
          <w:vertAlign w:val="superscript"/>
        </w:rPr>
        <w:t>28</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since it's a softer nucleophile than the oxygen in the isopropoxy group</w:t>
      </w:r>
      <w:r w:rsidR="00E54CD7" w:rsidRPr="007E1A19">
        <w:rPr>
          <w:rFonts w:cstheme="minorHAnsi"/>
        </w:rPr>
        <w:t xml:space="preserve">. </w:t>
      </w:r>
      <w:r w:rsidR="00F40465" w:rsidRPr="007E1A19">
        <w:rPr>
          <w:rFonts w:cstheme="minorHAnsi"/>
        </w:rPr>
        <w:t xml:space="preserve">Because the sulfur is bound to the rest of the alkene, this increases the effective concentration of the active species in the metathesis </w:t>
      </w:r>
      <w:r w:rsidR="00F40465" w:rsidRPr="007E1A19">
        <w:rPr>
          <w:rFonts w:cstheme="minorHAnsi"/>
        </w:rPr>
        <w:lastRenderedPageBreak/>
        <w:t>cycle and thus the reaction rate</w:t>
      </w:r>
      <w:r w:rsidR="002A7989">
        <w:rPr>
          <w:rFonts w:cstheme="minorHAnsi"/>
        </w:rPr>
        <w:t xml:space="preserve"> (figure 5)</w:t>
      </w:r>
      <w:r w:rsidR="00F40465" w:rsidRPr="007E1A19">
        <w:rPr>
          <w:rFonts w:cstheme="minorHAnsi"/>
        </w:rPr>
        <w:t>. Because metathesis catalysts are prone to decomposition in aqueous conditions, the higher rate leads to higher final yield.</w:t>
      </w:r>
      <w:r w:rsidR="002B2D67">
        <w:rPr>
          <w:rFonts w:cstheme="minorHAnsi"/>
          <w:vertAlign w:val="superscript"/>
        </w:rPr>
        <w:t>28</w:t>
      </w:r>
    </w:p>
    <w:p w14:paraId="2DE1B723" w14:textId="3607F6AC" w:rsidR="00C95888" w:rsidRDefault="00C95888" w:rsidP="00D215C3">
      <w:pPr>
        <w:bidi w:val="0"/>
        <w:jc w:val="both"/>
        <w:rPr>
          <w:rFonts w:cstheme="minorHAnsi"/>
          <w:noProof/>
        </w:rPr>
      </w:pPr>
      <w:r w:rsidRPr="007E1A19">
        <w:rPr>
          <w:rFonts w:cstheme="minorHAnsi"/>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sidR="005C6D39">
        <w:rPr>
          <w:rFonts w:cstheme="minorHAnsi"/>
          <w:noProof/>
          <w:vertAlign w:val="superscript"/>
        </w:rPr>
        <w:t>28</w:t>
      </w:r>
      <w:r w:rsidRPr="007E1A19">
        <w:rPr>
          <w:rFonts w:cstheme="minorHAnsi"/>
          <w:noProof/>
        </w:rPr>
        <w:t xml:space="preserve"> </w:t>
      </w:r>
    </w:p>
    <w:p w14:paraId="62992E99" w14:textId="77777777" w:rsidR="00B72B4B" w:rsidRDefault="00B72B4B" w:rsidP="00B72B4B">
      <w:pPr>
        <w:spacing w:after="0"/>
        <w:jc w:val="both"/>
        <w:rPr>
          <w:rFonts w:cstheme="minorHAnsi"/>
          <w:sz w:val="20"/>
          <w:szCs w:val="20"/>
        </w:rPr>
      </w:pPr>
      <w:r w:rsidRPr="00E53EF9">
        <w:rPr>
          <w:rFonts w:cstheme="minorHAnsi"/>
          <w:b/>
          <w:bCs/>
          <w:sz w:val="20"/>
          <w:szCs w:val="20"/>
        </w:rPr>
        <w:t>Figure 5</w:t>
      </w:r>
      <w:r w:rsidRPr="00E53EF9">
        <w:rPr>
          <w:rFonts w:cstheme="minorHAnsi"/>
          <w:sz w:val="20"/>
          <w:szCs w:val="20"/>
        </w:rPr>
        <w:t xml:space="preserve"> </w:t>
      </w:r>
      <w:r>
        <w:rPr>
          <w:rFonts w:cstheme="minorHAnsi"/>
          <w:sz w:val="20"/>
          <w:szCs w:val="20"/>
        </w:rPr>
        <w:t>A m</w:t>
      </w:r>
      <w:r w:rsidRPr="00E53EF9">
        <w:rPr>
          <w:rFonts w:cstheme="minorHAnsi"/>
          <w:sz w:val="20"/>
          <w:szCs w:val="20"/>
        </w:rPr>
        <w:t xml:space="preserve">echanistic </w:t>
      </w:r>
      <w:r>
        <w:rPr>
          <w:rFonts w:cstheme="minorHAnsi"/>
          <w:sz w:val="20"/>
          <w:szCs w:val="20"/>
        </w:rPr>
        <w:t>description</w:t>
      </w:r>
      <w:r w:rsidRPr="00E53EF9">
        <w:rPr>
          <w:rFonts w:cstheme="minorHAnsi"/>
          <w:sz w:val="20"/>
          <w:szCs w:val="20"/>
        </w:rPr>
        <w:t xml:space="preserve"> of the allylic chalcogen</w:t>
      </w:r>
    </w:p>
    <w:p w14:paraId="41FD2B98" w14:textId="71FBC3F3" w:rsidR="00B72B4B" w:rsidRPr="00B72B4B" w:rsidRDefault="00B72B4B" w:rsidP="00B72B4B">
      <w:pPr>
        <w:jc w:val="both"/>
        <w:rPr>
          <w:rFonts w:cstheme="minorHAnsi"/>
          <w:sz w:val="20"/>
          <w:szCs w:val="20"/>
        </w:rPr>
      </w:pPr>
      <w:r w:rsidRPr="00E53EF9">
        <w:rPr>
          <w:rFonts w:cstheme="minorHAnsi"/>
          <w:sz w:val="20"/>
          <w:szCs w:val="20"/>
        </w:rPr>
        <w:t>effect in olefin metathesis</w:t>
      </w:r>
      <w:r>
        <w:rPr>
          <w:rFonts w:cstheme="minorHAnsi"/>
          <w:sz w:val="20"/>
          <w:szCs w:val="20"/>
          <w:vertAlign w:val="superscript"/>
        </w:rPr>
        <w:t>28</w:t>
      </w:r>
    </w:p>
    <w:p w14:paraId="718B2EB7" w14:textId="6CDBBAD7" w:rsidR="00CE6558" w:rsidRPr="007E1A19" w:rsidRDefault="00B72B4B" w:rsidP="00CE6558">
      <w:pPr>
        <w:bidi w:val="0"/>
        <w:jc w:val="both"/>
        <w:rPr>
          <w:rFonts w:cstheme="minorHAnsi"/>
          <w:noProof/>
        </w:rPr>
      </w:pPr>
      <w:r w:rsidRPr="007E1A19">
        <w:rPr>
          <w:rFonts w:cstheme="minorHAnsi"/>
          <w:noProof/>
        </w:rPr>
        <w:drawing>
          <wp:anchor distT="0" distB="0" distL="114300" distR="114300" simplePos="0" relativeHeight="251660288" behindDoc="1" locked="0" layoutInCell="1" allowOverlap="1" wp14:anchorId="659A847F" wp14:editId="4E821F6F">
            <wp:simplePos x="0" y="0"/>
            <wp:positionH relativeFrom="margin">
              <wp:posOffset>2171700</wp:posOffset>
            </wp:positionH>
            <wp:positionV relativeFrom="paragraph">
              <wp:posOffset>34925</wp:posOffset>
            </wp:positionV>
            <wp:extent cx="3260725" cy="1857375"/>
            <wp:effectExtent l="0" t="0" r="0" b="9525"/>
            <wp:wrapThrough wrapText="bothSides">
              <wp:wrapPolygon edited="0">
                <wp:start x="0" y="0"/>
                <wp:lineTo x="0" y="21489"/>
                <wp:lineTo x="21453" y="21489"/>
                <wp:lineTo x="21453" y="0"/>
                <wp:lineTo x="0" y="0"/>
              </wp:wrapPolygon>
            </wp:wrapThrough>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rotWithShape="1">
                    <a:blip r:embed="rId15">
                      <a:extLst>
                        <a:ext uri="{28A0092B-C50C-407E-A947-70E740481C1C}">
                          <a14:useLocalDpi xmlns:a14="http://schemas.microsoft.com/office/drawing/2010/main" val="0"/>
                        </a:ext>
                      </a:extLst>
                    </a:blip>
                    <a:srcRect t="1" r="2005" b="4508"/>
                    <a:stretch/>
                  </pic:blipFill>
                  <pic:spPr bwMode="auto">
                    <a:xfrm>
                      <a:off x="0" y="0"/>
                      <a:ext cx="3260725"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558"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00195E75">
        <w:rPr>
          <w:rFonts w:cstheme="minorHAnsi"/>
          <w:noProof/>
          <w:vertAlign w:val="superscript"/>
        </w:rPr>
        <w:t>28</w:t>
      </w:r>
      <w:r w:rsidR="002E3400" w:rsidRPr="007E1A19">
        <w:rPr>
          <w:rFonts w:cstheme="minorHAnsi"/>
          <w:noProof/>
        </w:rPr>
        <w:t xml:space="preserve"> S</w:t>
      </w:r>
      <w:r w:rsidR="00CE6558" w:rsidRPr="007E1A19">
        <w:rPr>
          <w:rFonts w:cstheme="minorHAnsi"/>
          <w:noProof/>
        </w:rPr>
        <w:t xml:space="preserve">imilarly to catalyst design, the length of the linker chain </w:t>
      </w:r>
      <w:r w:rsidR="002E3400" w:rsidRPr="007E1A19">
        <w:rPr>
          <w:rFonts w:cstheme="minorHAnsi"/>
          <w:noProof/>
        </w:rPr>
        <w:t xml:space="preserve">of the reactant is significant to accommodate the bulk of the metathesis reactants and catalyst (though in the cited </w:t>
      </w:r>
      <w:r w:rsidR="00BD6FED">
        <w:rPr>
          <w:rFonts w:cstheme="minorHAnsi"/>
          <w:noProof/>
        </w:rPr>
        <w:t>article</w:t>
      </w:r>
      <w:r w:rsidR="002E3400" w:rsidRPr="007E1A19">
        <w:rPr>
          <w:rFonts w:cstheme="minorHAnsi"/>
          <w:noProof/>
        </w:rPr>
        <w:t>, less significant than the effect of selenium substitution).</w:t>
      </w:r>
    </w:p>
    <w:p w14:paraId="4910891B" w14:textId="056E344D" w:rsidR="001D03ED" w:rsidRDefault="001D03ED" w:rsidP="003A4828">
      <w:pPr>
        <w:jc w:val="both"/>
        <w:rPr>
          <w:rFonts w:cstheme="minorHAnsi" w:hint="cs"/>
        </w:rPr>
      </w:pPr>
    </w:p>
    <w:p w14:paraId="2D8B1A6F" w14:textId="7C82E019"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23D36EE1" w:rsidR="000E5E95" w:rsidRPr="00C6560E" w:rsidRDefault="00655536" w:rsidP="000E5E95">
      <w:pPr>
        <w:bidi w:val="0"/>
        <w:jc w:val="both"/>
        <w:rPr>
          <w:rFonts w:cstheme="minorHAnsi"/>
          <w:vertAlign w:val="superscript"/>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00AF499E">
        <w:rPr>
          <w:rFonts w:cstheme="minorHAnsi"/>
          <w:vertAlign w:val="superscript"/>
        </w:rPr>
        <w:t>32</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6C6999" w:rsidRPr="007E1A19">
        <w:rPr>
          <w:rFonts w:cstheme="minorHAnsi"/>
        </w:rPr>
        <w:t>,</w:t>
      </w:r>
      <w:r w:rsidR="00C22F9E">
        <w:rPr>
          <w:rFonts w:cstheme="minorHAnsi"/>
          <w:vertAlign w:val="superscript"/>
        </w:rPr>
        <w:t>19,26</w:t>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a soft lewis acid, disrupts chelate formation.</w:t>
      </w:r>
      <w:r w:rsidR="006B5B9F">
        <w:rPr>
          <w:rFonts w:cstheme="minorHAnsi"/>
          <w:vertAlign w:val="superscript"/>
        </w:rPr>
        <w:t>30</w:t>
      </w:r>
      <w:r w:rsidR="001209C7" w:rsidRPr="007E1A19">
        <w:rPr>
          <w:rFonts w:cstheme="minorHAnsi"/>
        </w:rPr>
        <w:t xml:space="preserve"> The chloride plays a role as well</w:t>
      </w:r>
      <w:r w:rsidR="00875A54" w:rsidRPr="007E1A19">
        <w:rPr>
          <w:rFonts w:cstheme="minorHAnsi"/>
        </w:rPr>
        <w:t xml:space="preserve">, as NaCl decreases catalyst decomposition </w:t>
      </w:r>
      <w:r w:rsidR="00DA45EA">
        <w:rPr>
          <w:rFonts w:cstheme="minorHAnsi"/>
        </w:rPr>
        <w:t xml:space="preserve">too </w:t>
      </w:r>
      <w:r w:rsidR="00875A54" w:rsidRPr="007E1A19">
        <w:rPr>
          <w:rFonts w:cstheme="minorHAnsi"/>
        </w:rPr>
        <w:t xml:space="preserve">– it's assumed that a higher chloride </w:t>
      </w:r>
      <w:r w:rsidR="002768A5">
        <w:rPr>
          <w:rFonts w:cstheme="minorHAnsi"/>
        </w:rPr>
        <w:t xml:space="preserve">concentration </w:t>
      </w:r>
      <w:r w:rsidR="00875A54" w:rsidRPr="007E1A19">
        <w:rPr>
          <w:rFonts w:cstheme="minorHAnsi"/>
        </w:rPr>
        <w:t>shifts the equilibrium constant of the halide exchange decomposition path to favor the dichloro form of the catalyst.</w:t>
      </w:r>
      <w:r w:rsidR="00C6560E">
        <w:rPr>
          <w:rFonts w:cstheme="minorHAnsi"/>
          <w:vertAlign w:val="superscript"/>
        </w:rPr>
        <w:t>4</w:t>
      </w:r>
      <w:r w:rsidR="00DA5796">
        <w:rPr>
          <w:rFonts w:cstheme="minorHAnsi"/>
          <w:vertAlign w:val="superscript"/>
        </w:rPr>
        <w:t>4</w:t>
      </w:r>
    </w:p>
    <w:p w14:paraId="3702B966" w14:textId="77777777" w:rsidR="000E5E95" w:rsidRPr="007E1A19" w:rsidRDefault="000E5E95" w:rsidP="000E5E95">
      <w:pPr>
        <w:bidi w:val="0"/>
        <w:jc w:val="both"/>
        <w:rPr>
          <w:rFonts w:cstheme="minorHAnsi"/>
        </w:rPr>
      </w:pPr>
    </w:p>
    <w:p w14:paraId="4C81D583" w14:textId="18360F5A" w:rsidR="006E4485" w:rsidRPr="007E1A19" w:rsidRDefault="000777C2" w:rsidP="008D3646">
      <w:pPr>
        <w:pStyle w:val="Heading3"/>
        <w:rPr>
          <w:rFonts w:cstheme="minorHAnsi"/>
        </w:rPr>
      </w:pPr>
      <w:r>
        <w:rPr>
          <w:rFonts w:cstheme="minorHAnsi"/>
        </w:rPr>
        <w:t>Organism and</w:t>
      </w:r>
      <w:r w:rsidR="006E4485" w:rsidRPr="007E1A19">
        <w:rPr>
          <w:rFonts w:cstheme="minorHAnsi"/>
        </w:rPr>
        <w:t xml:space="preserve"> </w:t>
      </w:r>
      <w:r w:rsidR="0045138A" w:rsidRPr="007E1A19">
        <w:rPr>
          <w:rFonts w:cstheme="minorHAnsi"/>
        </w:rPr>
        <w:t xml:space="preserve">biological </w:t>
      </w:r>
      <w:r>
        <w:rPr>
          <w:rFonts w:cstheme="minorHAnsi"/>
        </w:rPr>
        <w:t>microenvironment</w:t>
      </w:r>
    </w:p>
    <w:p w14:paraId="6107F545" w14:textId="2198C64B"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r w:rsidR="00A7761E">
        <w:rPr>
          <w:rFonts w:cstheme="minorHAnsi"/>
          <w:vertAlign w:val="superscript"/>
        </w:rPr>
        <w:t>5</w:t>
      </w:r>
    </w:p>
    <w:p w14:paraId="5A49BC6D" w14:textId="050CCEE2"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w:t>
      </w:r>
      <w:r w:rsidR="00633389">
        <w:rPr>
          <w:rFonts w:cstheme="minorHAnsi"/>
          <w:vertAlign w:val="superscript"/>
        </w:rPr>
        <w:t>7,20,42</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C2150B">
        <w:rPr>
          <w:rFonts w:cstheme="minorHAnsi"/>
          <w:vertAlign w:val="superscript"/>
        </w:rPr>
        <w:t>17</w:t>
      </w:r>
      <w:r w:rsidR="00AC79F9" w:rsidRPr="007E1A19">
        <w:rPr>
          <w:rFonts w:cstheme="minorHAnsi"/>
        </w:rPr>
        <w:t xml:space="preserve"> The difference can result from the different source organism – human vs mouse</w:t>
      </w:r>
      <w:r w:rsidR="00113F6E">
        <w:rPr>
          <w:rFonts w:cstheme="minorHAnsi"/>
        </w:rPr>
        <w:t>,</w:t>
      </w:r>
      <w:r w:rsidR="00AC79F9" w:rsidRPr="007E1A19">
        <w:rPr>
          <w:rFonts w:cstheme="minorHAnsi"/>
        </w:rPr>
        <w:t xml:space="preserve"> source tissue – cervical vs </w:t>
      </w:r>
      <w:r w:rsidR="00AC79F9" w:rsidRPr="007E1A19">
        <w:rPr>
          <w:rFonts w:cstheme="minorHAnsi"/>
        </w:rPr>
        <w:lastRenderedPageBreak/>
        <w:t>liver cancer – or another factor. This variance proves that some cells are less susceptible to damage than others and so can be targeted for metathesis with minimal effects.</w:t>
      </w:r>
    </w:p>
    <w:p w14:paraId="726BD233" w14:textId="5B47E926"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result is the high cell viability achieved when the catalyst is delivered by polymersomes. The study testing this technique measured HeLa viability</w:t>
      </w:r>
      <w:r w:rsidR="003565FD">
        <w:rPr>
          <w:rFonts w:cstheme="minorHAnsi"/>
        </w:rPr>
        <w:t xml:space="preserve"> as well</w:t>
      </w:r>
      <w:r w:rsidR="00025BCA" w:rsidRPr="007E1A19">
        <w:rPr>
          <w:rFonts w:cstheme="minorHAnsi"/>
        </w:rPr>
        <w:t xml:space="preserve">, and achieved </w:t>
      </w:r>
      <w:r w:rsidR="00DB3462" w:rsidRPr="007E1A19">
        <w:rPr>
          <w:rFonts w:cstheme="minorHAnsi"/>
        </w:rPr>
        <w:t>about 80% viability in polymersome concentrations as high as 1 mg/mL, whereas with unprotected AquaMet viability dropped to 50% for concentration of 0.46 mg/mL.</w:t>
      </w:r>
      <w:r w:rsidR="00535E9E">
        <w:rPr>
          <w:rFonts w:cstheme="minorHAnsi"/>
          <w:vertAlign w:val="superscript"/>
        </w:rPr>
        <w:t>17,42</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6701318F" w14:textId="77777777" w:rsidR="008A04CC" w:rsidRDefault="008A04CC">
      <w:pPr>
        <w:bidi w:val="0"/>
        <w:rPr>
          <w:rFonts w:cstheme="minorHAnsi"/>
          <w:b/>
          <w:bCs/>
          <w:sz w:val="28"/>
          <w:szCs w:val="28"/>
        </w:rPr>
      </w:pPr>
      <w:r>
        <w:rPr>
          <w:rFonts w:cstheme="minorHAnsi"/>
        </w:rPr>
        <w:br w:type="page"/>
      </w:r>
    </w:p>
    <w:p w14:paraId="36008314" w14:textId="3F4C23AB" w:rsidR="00D07590" w:rsidRPr="007E1A19" w:rsidRDefault="006E4485" w:rsidP="00D07590">
      <w:pPr>
        <w:pStyle w:val="Heading1"/>
        <w:rPr>
          <w:rFonts w:cstheme="minorHAnsi"/>
        </w:rPr>
      </w:pPr>
      <w:r w:rsidRPr="007E1A19">
        <w:rPr>
          <w:rFonts w:cstheme="minorHAnsi"/>
        </w:rPr>
        <w:lastRenderedPageBreak/>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3113815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H</w:t>
      </w:r>
      <w:r w:rsidR="00513F9F">
        <w:rPr>
          <w:rFonts w:cstheme="minorHAnsi"/>
        </w:rPr>
        <w:t>G</w:t>
      </w:r>
      <w:r w:rsidR="0094049C" w:rsidRPr="007E1A19">
        <w:rPr>
          <w:rFonts w:cstheme="minorHAnsi"/>
        </w:rPr>
        <w:t>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w:t>
      </w:r>
      <w:r w:rsidR="002C1576">
        <w:rPr>
          <w:rFonts w:cstheme="minorHAnsi"/>
        </w:rPr>
        <w:t xml:space="preserve">biocompatibility </w:t>
      </w:r>
      <w:r w:rsidR="006014AF" w:rsidRPr="007E1A19">
        <w:rPr>
          <w:rFonts w:cstheme="minorHAnsi"/>
        </w:rPr>
        <w:t>of unprotected ruthenium complexes</w:t>
      </w:r>
      <w:r w:rsidR="002C1576">
        <w:rPr>
          <w:rFonts w:cstheme="minorHAnsi"/>
        </w:rPr>
        <w:t xml:space="preserve"> in aqueous environments</w:t>
      </w:r>
      <w:r w:rsidR="006014AF" w:rsidRPr="007E1A19">
        <w:rPr>
          <w:rFonts w:cstheme="minorHAnsi"/>
        </w:rPr>
        <w:t xml:space="preserve">. Therefore, </w:t>
      </w:r>
      <w:r w:rsidR="00B367EB">
        <w:rPr>
          <w:rFonts w:cstheme="minorHAnsi"/>
        </w:rPr>
        <w:t>they</w:t>
      </w:r>
      <w:r w:rsidR="006014AF" w:rsidRPr="007E1A19">
        <w:rPr>
          <w:rFonts w:cstheme="minorHAnsi"/>
        </w:rPr>
        <w:t xml:space="preserve"> may be used in the first steps of planning a synthe</w:t>
      </w:r>
      <w:r w:rsidR="00B367EB">
        <w:rPr>
          <w:rFonts w:cstheme="minorHAnsi"/>
        </w:rPr>
        <w:t xml:space="preserve">sis </w:t>
      </w:r>
      <w:r w:rsidR="006014AF" w:rsidRPr="007E1A19">
        <w:rPr>
          <w:rFonts w:cstheme="minorHAnsi"/>
        </w:rPr>
        <w:t>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However, cell cytoplasm can't be modified easily so we shouldn't rely on such modification, unless the reaction is localized to a compartment with distinct ion content (like the sarcoplasmic reticulum contains 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37835A5E"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w:t>
      </w:r>
      <w:r w:rsidR="00B367EB">
        <w:rPr>
          <w:rFonts w:cstheme="minorHAnsi"/>
        </w:rPr>
        <w:t xml:space="preserve">for </w:t>
      </w:r>
      <w:r w:rsidR="00780FA6" w:rsidRPr="007E1A19">
        <w:rPr>
          <w:rFonts w:cstheme="minorHAnsi"/>
        </w:rPr>
        <w:t>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w:t>
      </w:r>
      <w:r w:rsidRPr="007E1A19">
        <w:rPr>
          <w:rFonts w:cstheme="minorHAnsi"/>
        </w:rPr>
        <w:lastRenderedPageBreak/>
        <w:t xml:space="preserve">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3B644AEB"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w:t>
      </w:r>
      <w:r w:rsidR="00D424EB">
        <w:rPr>
          <w:rFonts w:cstheme="minorHAnsi"/>
        </w:rPr>
        <w:t xml:space="preserve"> </w:t>
      </w:r>
      <w:r w:rsidR="00335E4C">
        <w:rPr>
          <w:rFonts w:cstheme="minorHAnsi"/>
        </w:rPr>
        <w:t>Thus,</w:t>
      </w:r>
      <w:r w:rsidRPr="007E1A19">
        <w:rPr>
          <w:rFonts w:cstheme="minorHAnsi"/>
        </w:rPr>
        <w:t xml:space="preserv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r w:rsidRPr="007E1A19">
        <w:rPr>
          <w:rFonts w:cstheme="minorHAnsi"/>
        </w:rPr>
        <w:t>,</w:t>
      </w:r>
      <w:r w:rsidR="00EB3DF9">
        <w:rPr>
          <w:rFonts w:cstheme="minorHAnsi"/>
          <w:vertAlign w:val="superscript"/>
        </w:rPr>
        <w:t>45</w:t>
      </w:r>
      <w:r w:rsidRPr="007E1A19">
        <w:rPr>
          <w:rFonts w:cstheme="minorHAnsi"/>
        </w:rPr>
        <w:t xml:space="preserve">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7502D284"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 xml:space="preserve">needed to operate in or near living cells, which are demonstrated in other bioorthogonal reactions – efficiency, specificity, selectivity, high rate and harmlessness. To my disappointment, I found few accounts of metathesis in </w:t>
      </w:r>
      <w:r w:rsidR="00D84EAF">
        <w:rPr>
          <w:rFonts w:cstheme="minorHAnsi"/>
        </w:rPr>
        <w:t>living organisms</w:t>
      </w:r>
      <w:r w:rsidR="00AC6318" w:rsidRPr="007E1A19">
        <w:rPr>
          <w:rFonts w:cstheme="minorHAnsi"/>
        </w:rPr>
        <w:t>.</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715BB70F"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w:t>
      </w:r>
      <w:r w:rsidR="007673F8">
        <w:rPr>
          <w:rFonts w:cstheme="minorHAnsi"/>
        </w:rPr>
        <w:t>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720DB716" w14:textId="77777777" w:rsidR="007673F8" w:rsidRDefault="007673F8">
      <w:pPr>
        <w:bidi w:val="0"/>
        <w:rPr>
          <w:rFonts w:cstheme="minorHAnsi"/>
          <w:b/>
          <w:bCs/>
          <w:sz w:val="28"/>
          <w:szCs w:val="28"/>
        </w:rPr>
      </w:pPr>
      <w:r>
        <w:rPr>
          <w:rFonts w:cstheme="minorHAnsi"/>
        </w:rPr>
        <w:br w:type="page"/>
      </w:r>
    </w:p>
    <w:p w14:paraId="0D23D7B2" w14:textId="668AB34E" w:rsidR="00591C6A" w:rsidRDefault="00591C6A" w:rsidP="00591C6A">
      <w:pPr>
        <w:pStyle w:val="Heading1"/>
        <w:rPr>
          <w:rFonts w:cstheme="minorHAnsi"/>
        </w:rPr>
      </w:pPr>
      <w:r w:rsidRPr="007E1A19">
        <w:rPr>
          <w:rFonts w:cstheme="minorHAnsi"/>
        </w:rPr>
        <w:lastRenderedPageBreak/>
        <w:t>References</w:t>
      </w:r>
    </w:p>
    <w:p w14:paraId="6E76BEE7" w14:textId="77777777" w:rsidR="00A8357B" w:rsidRDefault="00A8357B" w:rsidP="00A8357B">
      <w:pPr>
        <w:rPr>
          <w:rFonts w:hint="cs"/>
        </w:rPr>
      </w:pPr>
    </w:p>
    <w:p w14:paraId="33EB8FAA" w14:textId="0841E312" w:rsidR="00A8357B" w:rsidRPr="00243B1C" w:rsidRDefault="00A8357B" w:rsidP="00B00CFB">
      <w:pPr>
        <w:pStyle w:val="ListParagraph"/>
        <w:numPr>
          <w:ilvl w:val="0"/>
          <w:numId w:val="8"/>
        </w:numPr>
        <w:bidi w:val="0"/>
        <w:jc w:val="both"/>
      </w:pPr>
      <w:r w:rsidRPr="00243B1C">
        <w:t xml:space="preserve">Jean-Louis Hérisson, P.; Chauvin, Y. Die Makromolekulare Chemie 1971, 141 (1), 161–176. </w:t>
      </w:r>
      <w:r w:rsidR="00194A39" w:rsidRPr="00243B1C">
        <w:t>https://doi.org/10.1002/macp.1971.021410112</w:t>
      </w:r>
      <w:r w:rsidRPr="00243B1C">
        <w:t>.</w:t>
      </w:r>
    </w:p>
    <w:p w14:paraId="3DE73D0C" w14:textId="28A74584" w:rsidR="00194A39" w:rsidRPr="00243B1C" w:rsidRDefault="00194A39" w:rsidP="00B00CFB">
      <w:pPr>
        <w:pStyle w:val="ListParagraph"/>
        <w:numPr>
          <w:ilvl w:val="0"/>
          <w:numId w:val="8"/>
        </w:numPr>
        <w:bidi w:val="0"/>
        <w:jc w:val="both"/>
      </w:pPr>
      <w:r w:rsidRPr="00243B1C">
        <w:t>Reany, O.; Gabriel Lemcoff, N. Light Guided Chemoselective Olefin Metathesis Reactions. Pure and Applied Chemistry 2017, 89 (6), 829–840. https://doi.org/10.1515/pac-2016-1221.</w:t>
      </w:r>
    </w:p>
    <w:p w14:paraId="3B2357BD" w14:textId="12D77CBC" w:rsidR="00F6220D" w:rsidRPr="00243B1C" w:rsidRDefault="00194A39" w:rsidP="00B00CFB">
      <w:pPr>
        <w:pStyle w:val="ListParagraph"/>
        <w:numPr>
          <w:ilvl w:val="0"/>
          <w:numId w:val="8"/>
        </w:numPr>
        <w:bidi w:val="0"/>
        <w:jc w:val="both"/>
      </w:pPr>
      <w:r w:rsidRPr="00243B1C">
        <w:t>‌</w:t>
      </w:r>
      <w:r w:rsidR="00F6220D" w:rsidRPr="00243B1C">
        <w:t>Chatterjee, A. K.; Choi, T.-L.; Sanders, D. P.; Grubbs, R. H. A General Model for Selectivity in Olefin Cross Metathesis. Journal of the American Chemical Society 2003, 125 (37), 11360–11370. https://doi.org/10.1021/ja0214882.</w:t>
      </w:r>
    </w:p>
    <w:p w14:paraId="56EFA4DC" w14:textId="0767663D" w:rsidR="00194A39" w:rsidRPr="00243B1C" w:rsidRDefault="00F6220D" w:rsidP="00B00CFB">
      <w:pPr>
        <w:pStyle w:val="ListParagraph"/>
        <w:numPr>
          <w:ilvl w:val="0"/>
          <w:numId w:val="8"/>
        </w:numPr>
        <w:bidi w:val="0"/>
        <w:jc w:val="both"/>
      </w:pPr>
      <w:r w:rsidRPr="00243B1C">
        <w:t>‌</w:t>
      </w:r>
      <w:r w:rsidR="000C52EB" w:rsidRPr="00243B1C">
        <w:t xml:space="preserve"> </w:t>
      </w:r>
      <w:r w:rsidR="000C52EB" w:rsidRPr="00243B1C">
        <w:t>Vougioukalakis, G. C.; Grubbs, R. H. Ruthenium-Based Heterocyclic Carbene-Coordinated Olefin Metathesis Catalysts†. Chemical Reviews 2010, 110 (3), 1746–1787. https://doi.org/10.1021/cr9002424.</w:t>
      </w:r>
    </w:p>
    <w:p w14:paraId="5C491740" w14:textId="6FD8FFC7" w:rsidR="000C52EB" w:rsidRPr="00243B1C" w:rsidRDefault="000C52EB" w:rsidP="00B00CFB">
      <w:pPr>
        <w:pStyle w:val="ListParagraph"/>
        <w:numPr>
          <w:ilvl w:val="0"/>
          <w:numId w:val="8"/>
        </w:numPr>
        <w:bidi w:val="0"/>
        <w:jc w:val="both"/>
      </w:pPr>
      <w:r w:rsidRPr="00243B1C">
        <w:t>Caire da Silva, L.; Rojas, G.; Schulz, M. D.; Wagener, K. B. Acyclic Diene Metathesis Polymerization: History, Methods and Applications. Progress in Polymer Science 2017, 69, 79–107. https://doi.org/10.1016/j.progpolymsci.2016.12.001.</w:t>
      </w:r>
    </w:p>
    <w:p w14:paraId="58210137" w14:textId="72D95A12" w:rsidR="00B01463" w:rsidRPr="00243B1C" w:rsidRDefault="000C52EB" w:rsidP="00B00CFB">
      <w:pPr>
        <w:pStyle w:val="ListParagraph"/>
        <w:numPr>
          <w:ilvl w:val="0"/>
          <w:numId w:val="8"/>
        </w:numPr>
        <w:bidi w:val="0"/>
        <w:jc w:val="both"/>
      </w:pPr>
      <w:r w:rsidRPr="00243B1C">
        <w:t>‌</w:t>
      </w:r>
      <w:r w:rsidR="00B01463" w:rsidRPr="00243B1C">
        <w:t xml:space="preserve"> </w:t>
      </w:r>
      <w:r w:rsidR="00B01463" w:rsidRPr="00243B1C">
        <w:t>Trnka, T. M.; Grubbs, R. H. The Development of L2X2RuCHR Olefin Metathesis Catalysts:  An Organometallic Success Story. Accounts of Chemical Research 2001, 34 (1), 18–29. https://doi.org/10.1021/ar000114f.</w:t>
      </w:r>
    </w:p>
    <w:p w14:paraId="1E1598AD" w14:textId="17614A38" w:rsidR="00572109" w:rsidRPr="00243B1C" w:rsidRDefault="00B01463" w:rsidP="00B00CFB">
      <w:pPr>
        <w:pStyle w:val="ListParagraph"/>
        <w:numPr>
          <w:ilvl w:val="0"/>
          <w:numId w:val="8"/>
        </w:numPr>
        <w:bidi w:val="0"/>
        <w:jc w:val="both"/>
      </w:pPr>
      <w:r w:rsidRPr="00243B1C">
        <w:t>‌</w:t>
      </w:r>
      <w:r w:rsidR="00572109" w:rsidRPr="00243B1C">
        <w:t xml:space="preserve"> </w:t>
      </w:r>
      <w:r w:rsidR="00572109" w:rsidRPr="00243B1C">
        <w:t>Nguyen, S. T.; Johnson, L. K.; Grubbs, R. H.; Ziller, J. W. Ring-Opening Metathesis Polymerization (ROMP) of Norbornene by a Group VIII Carbene Complex in Protic Media. Journal of the American Chemical Society 1992, 114 (10), 3974–3975. https://doi.org/10.1021/ja00036a053.</w:t>
      </w:r>
    </w:p>
    <w:p w14:paraId="53983CAC" w14:textId="0A690C8E" w:rsidR="00E018BA" w:rsidRPr="00243B1C" w:rsidRDefault="00572109" w:rsidP="00B00CFB">
      <w:pPr>
        <w:pStyle w:val="ListParagraph"/>
        <w:numPr>
          <w:ilvl w:val="0"/>
          <w:numId w:val="8"/>
        </w:numPr>
        <w:bidi w:val="0"/>
        <w:jc w:val="both"/>
      </w:pPr>
      <w:r w:rsidRPr="00243B1C">
        <w:t>‌</w:t>
      </w:r>
      <w:r w:rsidR="00E018BA" w:rsidRPr="00243B1C">
        <w:t xml:space="preserve"> </w:t>
      </w:r>
      <w:r w:rsidR="00E018BA" w:rsidRPr="00243B1C">
        <w:t>Scinto, S. L.; Bilodeau, D. A.; Hincapie, R.; Lee, W.; Nguyen, S. S.; Xu, M.; am Ende, C. W.; Finn, M. G.; Lang, K.; Lin, Q.; Pezacki, J. P.; Prescher, J. A.; Robillard, M. S.; Fox, J. M. Bioorthogonal Chemistry. Nature Reviews Methods Primers 2021, 1 (1), 1–23. https://doi.org/10.1038/s43586-021-00028-z.</w:t>
      </w:r>
    </w:p>
    <w:p w14:paraId="038FB86D" w14:textId="7B135EA0" w:rsidR="0074433D" w:rsidRPr="00243B1C" w:rsidRDefault="00E018BA" w:rsidP="00B00CFB">
      <w:pPr>
        <w:pStyle w:val="ListParagraph"/>
        <w:numPr>
          <w:ilvl w:val="0"/>
          <w:numId w:val="8"/>
        </w:numPr>
        <w:bidi w:val="0"/>
        <w:jc w:val="both"/>
      </w:pPr>
      <w:r w:rsidRPr="00243B1C">
        <w:t>‌</w:t>
      </w:r>
      <w:r w:rsidR="0074433D" w:rsidRPr="00243B1C">
        <w:t xml:space="preserve"> </w:t>
      </w:r>
      <w:r w:rsidR="0074433D" w:rsidRPr="00243B1C">
        <w:t>Saxon, E. Cell Surface Engineering by a Modified Staudinger Reaction. Science 2000, 287 (5460), 2007–2010. https://doi.org/10.1126/science.287.5460.2007.</w:t>
      </w:r>
    </w:p>
    <w:p w14:paraId="217F26D8" w14:textId="3122256C" w:rsidR="00161981" w:rsidRPr="00243B1C" w:rsidRDefault="0074433D" w:rsidP="00B00CFB">
      <w:pPr>
        <w:pStyle w:val="ListParagraph"/>
        <w:numPr>
          <w:ilvl w:val="0"/>
          <w:numId w:val="8"/>
        </w:numPr>
        <w:bidi w:val="0"/>
        <w:jc w:val="both"/>
      </w:pPr>
      <w:r w:rsidRPr="00243B1C">
        <w:t>‌</w:t>
      </w:r>
      <w:r w:rsidR="00161981" w:rsidRPr="00243B1C">
        <w:t xml:space="preserve"> </w:t>
      </w:r>
      <w:r w:rsidR="00161981" w:rsidRPr="00243B1C">
        <w:t>Bird, R. E.; Lemmel, S. A.; Yu, X.; Zhou, Q. A. Bioorthogonal Chemistry and Its Applications. Bioconjugate Chemistry 2021, 32 (12), 2457–2479. https://doi.org/10.1021/acs.bioconjchem.1c00461.</w:t>
      </w:r>
    </w:p>
    <w:p w14:paraId="6572E3AB" w14:textId="06027F79" w:rsidR="00AF6D36" w:rsidRPr="00243B1C" w:rsidRDefault="00161981" w:rsidP="00B00CFB">
      <w:pPr>
        <w:pStyle w:val="ListParagraph"/>
        <w:numPr>
          <w:ilvl w:val="0"/>
          <w:numId w:val="8"/>
        </w:numPr>
        <w:bidi w:val="0"/>
        <w:jc w:val="both"/>
      </w:pPr>
      <w:r w:rsidRPr="00243B1C">
        <w:t>‌</w:t>
      </w:r>
      <w:r w:rsidR="00AF6D36" w:rsidRPr="00243B1C">
        <w:t xml:space="preserve"> </w:t>
      </w:r>
      <w:r w:rsidR="00AF6D36" w:rsidRPr="00243B1C">
        <w:t>Stymiest, J. L.; Mitchell, B. F.; Wong, S. J.; Vederas, J. C. Synthesis of Oxytocin Analogues with Replacement of Sulfur by Carbon Gives Potent Antagonists with Increased Stability. 2005, 70 (20), 7799–7809. https://doi.org/10.1021/jo050539l.</w:t>
      </w:r>
    </w:p>
    <w:p w14:paraId="09CEB2FC" w14:textId="62E812A3" w:rsidR="002A552B" w:rsidRPr="00243B1C" w:rsidRDefault="00AF6D36" w:rsidP="00B00CFB">
      <w:pPr>
        <w:pStyle w:val="ListParagraph"/>
        <w:numPr>
          <w:ilvl w:val="0"/>
          <w:numId w:val="8"/>
        </w:numPr>
        <w:bidi w:val="0"/>
        <w:jc w:val="both"/>
      </w:pPr>
      <w:r w:rsidRPr="00243B1C">
        <w:t>‌</w:t>
      </w:r>
      <w:r w:rsidR="002A552B" w:rsidRPr="00243B1C">
        <w:t xml:space="preserve"> </w:t>
      </w:r>
      <w:r w:rsidR="002A552B" w:rsidRPr="00243B1C">
        <w:t>Shvedunova, M.; Akhtar, A. Modulation of Cellular Processes by Histone and Non-Histone Protein Acetylation. Nature Reviews Molecular Cell Biology 2022. https://doi.org/10.1038/s41580-021-00441-y.</w:t>
      </w:r>
    </w:p>
    <w:p w14:paraId="7BE51070" w14:textId="28E0F344" w:rsidR="008821A4" w:rsidRPr="00243B1C" w:rsidRDefault="002A552B" w:rsidP="00B00CFB">
      <w:pPr>
        <w:pStyle w:val="ListParagraph"/>
        <w:numPr>
          <w:ilvl w:val="0"/>
          <w:numId w:val="8"/>
        </w:numPr>
        <w:bidi w:val="0"/>
        <w:jc w:val="both"/>
      </w:pPr>
      <w:r w:rsidRPr="00243B1C">
        <w:t>‌</w:t>
      </w:r>
      <w:r w:rsidR="008821A4" w:rsidRPr="00243B1C">
        <w:t xml:space="preserve"> </w:t>
      </w:r>
      <w:r w:rsidR="008821A4" w:rsidRPr="00243B1C">
        <w:t>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58E134EB" w:rsidR="00F80127" w:rsidRPr="00243B1C" w:rsidRDefault="008821A4" w:rsidP="00B00CFB">
      <w:pPr>
        <w:pStyle w:val="ListParagraph"/>
        <w:numPr>
          <w:ilvl w:val="0"/>
          <w:numId w:val="8"/>
        </w:numPr>
        <w:bidi w:val="0"/>
        <w:jc w:val="both"/>
      </w:pPr>
      <w:r w:rsidRPr="00243B1C">
        <w:t>‌</w:t>
      </w:r>
      <w:r w:rsidR="00F80127" w:rsidRPr="00243B1C">
        <w:t xml:space="preserve"> </w:t>
      </w:r>
      <w:r w:rsidR="00F80127" w:rsidRPr="00243B1C">
        <w:t>Lu, X.; Fan, L.; Phelps, C. B.; Davie, C. P.; Donahue, C. P. Ruthenium Promoted On-DNA Ring-Closing Metathesis and Cross-Metathesis. Bioconjugate Chemistry 2017, 28 (6), 1625–1629. https://doi.org/10.1021/acs.bioconjchem.7b00292.</w:t>
      </w:r>
    </w:p>
    <w:p w14:paraId="7ED40CEB" w14:textId="00B855E0" w:rsidR="00AC7C56" w:rsidRPr="00243B1C" w:rsidRDefault="00F80127" w:rsidP="00B00CFB">
      <w:pPr>
        <w:pStyle w:val="ListParagraph"/>
        <w:numPr>
          <w:ilvl w:val="0"/>
          <w:numId w:val="8"/>
        </w:numPr>
        <w:bidi w:val="0"/>
        <w:jc w:val="both"/>
      </w:pPr>
      <w:r w:rsidRPr="00243B1C">
        <w:lastRenderedPageBreak/>
        <w:t>‌</w:t>
      </w:r>
      <w:r w:rsidR="00AC7C56" w:rsidRPr="00243B1C">
        <w:t>Blanco, C. O.; Castellanos, R. R.; Fogg, D. E. Anionic Olefin Metathesis Catalysts Enable Modification of Unprotected Biomolecules in Water. ACS Catalysis 2024, 14 (15), 11147–11152. https://doi.org/10.1021/acscatal.4c02811.</w:t>
      </w:r>
    </w:p>
    <w:p w14:paraId="6ADB839F" w14:textId="34C97E62" w:rsidR="000C52EB" w:rsidRPr="00243B1C" w:rsidRDefault="00AC7C56" w:rsidP="00B00CFB">
      <w:pPr>
        <w:pStyle w:val="ListParagraph"/>
        <w:numPr>
          <w:ilvl w:val="0"/>
          <w:numId w:val="8"/>
        </w:numPr>
        <w:bidi w:val="0"/>
        <w:jc w:val="both"/>
      </w:pPr>
      <w:r w:rsidRPr="00243B1C">
        <w:t>‌</w:t>
      </w:r>
      <w:r w:rsidR="00374DA8" w:rsidRPr="00243B1C">
        <w:t xml:space="preserve"> </w:t>
      </w:r>
      <w:r w:rsidR="00374DA8" w:rsidRPr="00243B1C">
        <w:t xml:space="preserve">Steffansen, S. I.; Christensen, M. S.; Børsting, P.; Nielsen, P. Synthesis of Conformationally Restricted Nucleic Acid Fragments Using Ring-Closing Alkene and Enyne Metathesis Reactions. Nucleosides, nucleotides &amp; nucleic acids 2005, 24 (5-7), 1015–1018. </w:t>
      </w:r>
      <w:hyperlink r:id="rId16" w:history="1">
        <w:r w:rsidR="000A048D" w:rsidRPr="00243B1C">
          <w:rPr>
            <w:rStyle w:val="Hyperlink"/>
            <w:color w:val="auto"/>
            <w:u w:val="none"/>
          </w:rPr>
          <w:t>https://doi.org/10.1081/ncn-200060347</w:t>
        </w:r>
      </w:hyperlink>
      <w:r w:rsidR="00374DA8" w:rsidRPr="00243B1C">
        <w:t>.</w:t>
      </w:r>
    </w:p>
    <w:p w14:paraId="08433276" w14:textId="2E0EF098" w:rsidR="000A048D" w:rsidRPr="00243B1C" w:rsidRDefault="000A048D" w:rsidP="00B00CFB">
      <w:pPr>
        <w:pStyle w:val="ListParagraph"/>
        <w:numPr>
          <w:ilvl w:val="0"/>
          <w:numId w:val="8"/>
        </w:numPr>
        <w:bidi w:val="0"/>
        <w:jc w:val="both"/>
      </w:pPr>
      <w:r w:rsidRPr="00243B1C">
        <w:t>Kelly, M. P.; Napolitano, T.; Anand, P.; Justin; Jabeen, S.; Kuppan, J.; Sujoy Manir; Holford, M. Induced Disassembly of a Virus-like Particle under Physiological Conditions for Venom Peptide Delivery. Bioconjugate Chemistry 2020, 32</w:t>
      </w:r>
      <w:r w:rsidR="00243B1C" w:rsidRPr="00243B1C">
        <w:t xml:space="preserve"> (1)</w:t>
      </w:r>
      <w:r w:rsidRPr="00243B1C">
        <w:t>, 111–120. https://doi.org/10.1021/acs.bioconjchem.0c00494.</w:t>
      </w:r>
    </w:p>
    <w:p w14:paraId="490266D1" w14:textId="0E30B629" w:rsidR="00843C65" w:rsidRPr="00243B1C" w:rsidRDefault="000A048D" w:rsidP="00B00CFB">
      <w:pPr>
        <w:pStyle w:val="ListParagraph"/>
        <w:numPr>
          <w:ilvl w:val="0"/>
          <w:numId w:val="8"/>
        </w:numPr>
        <w:bidi w:val="0"/>
        <w:jc w:val="both"/>
      </w:pPr>
      <w:r w:rsidRPr="00243B1C">
        <w:t>‌</w:t>
      </w:r>
      <w:r w:rsidR="00843C65" w:rsidRPr="00243B1C">
        <w:t xml:space="preserve"> </w:t>
      </w:r>
      <w:r w:rsidR="00843C65" w:rsidRPr="00243B1C">
        <w:t>Igor Nasibullin; Yoshioka, H.; Akari Mukaimine; Nakamura, A.; Kusakari, Y.; Chang, T.-C.; Tanaka, K. Catalytic Olefin Metathesis in Blood. Chemical science 2023, 14 (40), 11033–11039. https://doi.org/10.1039/d3sc03785a</w:t>
      </w:r>
      <w:r w:rsidR="00843C65" w:rsidRPr="00243B1C">
        <w:rPr>
          <w:rFonts w:cs="Arial"/>
          <w:rtl/>
        </w:rPr>
        <w:t>.</w:t>
      </w:r>
    </w:p>
    <w:p w14:paraId="77D4A5B7" w14:textId="769F755C" w:rsidR="000A048D" w:rsidRPr="00243B1C" w:rsidRDefault="00843C65" w:rsidP="00B00CFB">
      <w:pPr>
        <w:pStyle w:val="ListParagraph"/>
        <w:numPr>
          <w:ilvl w:val="0"/>
          <w:numId w:val="8"/>
        </w:numPr>
        <w:bidi w:val="0"/>
        <w:jc w:val="both"/>
      </w:pPr>
      <w:r w:rsidRPr="00243B1C">
        <w:t>‌</w:t>
      </w:r>
      <w:r w:rsidR="00CA2F8F" w:rsidRPr="00243B1C">
        <w:t>Samanta, A.; Sabatino, V.; Ward, T. R.; Walther, A. Functional and Morphological Adaptation in DNA Protocells via Signal Processing Prompted by Artificial Metalloenzymes. </w:t>
      </w:r>
      <w:r w:rsidR="00CA2F8F" w:rsidRPr="00243B1C">
        <w:rPr>
          <w:i/>
          <w:iCs/>
        </w:rPr>
        <w:t>Nature Nanotechnology</w:t>
      </w:r>
      <w:r w:rsidR="00CA2F8F" w:rsidRPr="00243B1C">
        <w:t> </w:t>
      </w:r>
      <w:r w:rsidR="00CA2F8F" w:rsidRPr="00243B1C">
        <w:rPr>
          <w:b/>
          <w:bCs/>
        </w:rPr>
        <w:t>2020</w:t>
      </w:r>
      <w:r w:rsidR="00CA2F8F" w:rsidRPr="00243B1C">
        <w:t>, </w:t>
      </w:r>
      <w:r w:rsidR="00CA2F8F" w:rsidRPr="00243B1C">
        <w:rPr>
          <w:i/>
          <w:iCs/>
        </w:rPr>
        <w:t>15</w:t>
      </w:r>
      <w:r w:rsidR="00CA2F8F" w:rsidRPr="00243B1C">
        <w:t xml:space="preserve"> (11), 914–921. </w:t>
      </w:r>
      <w:hyperlink r:id="rId17" w:history="1">
        <w:r w:rsidR="00CA2F8F" w:rsidRPr="00243B1C">
          <w:rPr>
            <w:rStyle w:val="Hyperlink"/>
            <w:color w:val="auto"/>
            <w:u w:val="none"/>
          </w:rPr>
          <w:t>https://doi.org/10.1038/s41565-020-0761-y</w:t>
        </w:r>
      </w:hyperlink>
      <w:r w:rsidR="00CA2F8F" w:rsidRPr="00243B1C">
        <w:t>.</w:t>
      </w:r>
    </w:p>
    <w:p w14:paraId="09046C15" w14:textId="7DC90C8C" w:rsidR="007D011B" w:rsidRPr="00243B1C" w:rsidRDefault="007D011B" w:rsidP="00B00CFB">
      <w:pPr>
        <w:pStyle w:val="ListParagraph"/>
        <w:numPr>
          <w:ilvl w:val="0"/>
          <w:numId w:val="8"/>
        </w:numPr>
        <w:bidi w:val="0"/>
        <w:jc w:val="both"/>
      </w:pPr>
      <w:r w:rsidRPr="00243B1C">
        <w:t>Schunck, N. S.; Mecking, S. In Vivo Olefin Metathesis in Microalgae Upgrades Lipids to Building Blocks for Polymers and Chemicals. Angewandte Chemie International Edition 2022, 61 (44). https://doi.org/10.1002/anie.202211285</w:t>
      </w:r>
      <w:r w:rsidRPr="00243B1C">
        <w:rPr>
          <w:rFonts w:cs="Arial"/>
          <w:rtl/>
        </w:rPr>
        <w:t>.</w:t>
      </w:r>
    </w:p>
    <w:p w14:paraId="4697C459" w14:textId="24F345E8" w:rsidR="0006438B" w:rsidRPr="00243B1C" w:rsidRDefault="007D011B" w:rsidP="00B00CFB">
      <w:pPr>
        <w:pStyle w:val="ListParagraph"/>
        <w:numPr>
          <w:ilvl w:val="0"/>
          <w:numId w:val="8"/>
        </w:numPr>
        <w:bidi w:val="0"/>
        <w:jc w:val="both"/>
      </w:pPr>
      <w:r w:rsidRPr="00243B1C">
        <w:t>‌</w:t>
      </w:r>
      <w:r w:rsidR="0006438B" w:rsidRPr="00243B1C">
        <w:t xml:space="preserve"> </w:t>
      </w:r>
      <w:r w:rsidR="0006438B" w:rsidRPr="00243B1C">
        <w:t>Binder, J. B.; Raines, R. T. Olefin Metathesis for Chemical Biology. Current Opinion in Chemical Biology 2008, 12 (6), 767–773.</w:t>
      </w:r>
      <w:r w:rsidR="002D688A" w:rsidRPr="00243B1C">
        <w:t xml:space="preserve"> </w:t>
      </w:r>
      <w:r w:rsidR="0006438B" w:rsidRPr="00243B1C">
        <w:t>https://doi.org/10.1016/j.cbpa.2008.09.022.</w:t>
      </w:r>
    </w:p>
    <w:p w14:paraId="014797F0" w14:textId="23CD9040" w:rsidR="00F50C47" w:rsidRPr="00243B1C" w:rsidRDefault="0006438B" w:rsidP="00B00CFB">
      <w:pPr>
        <w:pStyle w:val="ListParagraph"/>
        <w:numPr>
          <w:ilvl w:val="0"/>
          <w:numId w:val="8"/>
        </w:numPr>
        <w:bidi w:val="0"/>
        <w:jc w:val="both"/>
      </w:pPr>
      <w:r w:rsidRPr="00243B1C">
        <w:t>‌</w:t>
      </w:r>
      <w:r w:rsidR="00F50C47" w:rsidRPr="00243B1C">
        <w:t xml:space="preserve"> </w:t>
      </w:r>
      <w:r w:rsidR="00F50C47" w:rsidRPr="00243B1C">
        <w:t>Ingram, A. A.; Wang, D.; Ulrich Schwaneberg; Okuda, J. Grubbs-Hoveyda Catalysts Conjugated to a β-Barrel Protein: Effect of Halide Substitution on Aqueous Olefin Metathesis Activity. Journal of Inorganic Biochemistry 2024, 258, 112616–112616. https://doi.org/10.1016/j.jinorgbio.2024.112616.</w:t>
      </w:r>
    </w:p>
    <w:p w14:paraId="6B940EC5" w14:textId="2023BF38" w:rsidR="00F50C47" w:rsidRPr="00243B1C" w:rsidRDefault="00F50C47" w:rsidP="00B00CFB">
      <w:pPr>
        <w:pStyle w:val="ListParagraph"/>
        <w:numPr>
          <w:ilvl w:val="0"/>
          <w:numId w:val="8"/>
        </w:numPr>
        <w:bidi w:val="0"/>
        <w:jc w:val="both"/>
      </w:pPr>
      <w:r w:rsidRPr="00243B1C">
        <w:t>‌</w:t>
      </w:r>
      <w:r w:rsidRPr="00243B1C">
        <w:t xml:space="preserve"> </w:t>
      </w:r>
      <w:r w:rsidRPr="00243B1C">
        <w:t>Bieniek, M.; Michrowska, A.; Usanov, Dmitry L.; Grela, K. In an Attempt to Provide a User’s Guide to the Galaxy of Benzylidene, Alkoxybenzylidene, and Indenylidene Ruthenium Olefin Metathesis Catalysts. Chemistry - A European Journal 2008, 14 (3), 806–818. https://doi.org/10.1002/chem.200701340.</w:t>
      </w:r>
    </w:p>
    <w:p w14:paraId="483695EC" w14:textId="166B8443" w:rsidR="00F50C47" w:rsidRPr="00243B1C" w:rsidRDefault="00F50C47" w:rsidP="00B00CFB">
      <w:pPr>
        <w:pStyle w:val="ListParagraph"/>
        <w:numPr>
          <w:ilvl w:val="0"/>
          <w:numId w:val="8"/>
        </w:numPr>
        <w:bidi w:val="0"/>
        <w:jc w:val="both"/>
      </w:pPr>
      <w:r w:rsidRPr="00243B1C">
        <w:t>‌</w:t>
      </w:r>
      <w:r w:rsidRPr="00243B1C">
        <w:t xml:space="preserve"> </w:t>
      </w:r>
      <w:r w:rsidRPr="00243B1C">
        <w:t>Sabatino, V.; Ward, T. R. Aqueous Olefin Metathesis: Recent Developments and Applications. Beilstein Journal of Organic Chemistry 2019, 15, 445–468. https://doi.org/10.3762/bjoc.15.39.</w:t>
      </w:r>
    </w:p>
    <w:p w14:paraId="5F1A4939" w14:textId="35BDCBAB" w:rsidR="00C929C7" w:rsidRPr="00243B1C" w:rsidRDefault="00F50C47" w:rsidP="00B00CFB">
      <w:pPr>
        <w:pStyle w:val="ListParagraph"/>
        <w:numPr>
          <w:ilvl w:val="0"/>
          <w:numId w:val="8"/>
        </w:numPr>
        <w:bidi w:val="0"/>
        <w:jc w:val="both"/>
      </w:pPr>
      <w:r w:rsidRPr="00243B1C">
        <w:t>‌</w:t>
      </w:r>
      <w:r w:rsidR="00C929C7" w:rsidRPr="00243B1C">
        <w:t xml:space="preserve"> </w:t>
      </w:r>
      <w:r w:rsidR="00C929C7" w:rsidRPr="00243B1C">
        <w:t>Jeschek, M.; Reuter, R.; Heinisch, T.; Trindler, C.; Klehr, J.; Panke, S.; Ward, T. R. Directed Evolution of Artificial Metalloenzymes for in Vivo Metathesis. Nature 2016, 537 (7622), 661–665. https://doi.org/10.1038/nature19114.</w:t>
      </w:r>
    </w:p>
    <w:p w14:paraId="7DAFB982" w14:textId="7F8F9270" w:rsidR="00CA2F8F" w:rsidRPr="00243B1C" w:rsidRDefault="00C929C7" w:rsidP="00B00CFB">
      <w:pPr>
        <w:pStyle w:val="ListParagraph"/>
        <w:numPr>
          <w:ilvl w:val="0"/>
          <w:numId w:val="8"/>
        </w:numPr>
        <w:bidi w:val="0"/>
        <w:jc w:val="both"/>
      </w:pPr>
      <w:r w:rsidRPr="00243B1C">
        <w:t>‌</w:t>
      </w:r>
      <w:r w:rsidRPr="00243B1C">
        <w:t xml:space="preserve"> </w:t>
      </w:r>
      <w:r w:rsidRPr="00243B1C">
        <w:t>Bhushan, B.; Lin, Y. A.; Bak, M.; Anuchit Phanumartwiwath; Yang, N.; Bilyard,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Pr="00243B1C" w:rsidRDefault="00E53412" w:rsidP="00B00CFB">
      <w:pPr>
        <w:pStyle w:val="ListParagraph"/>
        <w:numPr>
          <w:ilvl w:val="0"/>
          <w:numId w:val="8"/>
        </w:numPr>
        <w:bidi w:val="0"/>
        <w:jc w:val="both"/>
      </w:pPr>
      <w:r w:rsidRPr="00243B1C">
        <w:t xml:space="preserve">Lehman, S. E.; Schwendeman, J. E.; O’Donnell, P. M.; Wagener, K. B. Olefin Isomerization Promoted by Olefin Metathesis Catalysts. Inorganica Chimica Acta 2003, 345, 190–198. </w:t>
      </w:r>
      <w:hyperlink r:id="rId18" w:history="1">
        <w:r w:rsidR="00172885" w:rsidRPr="00243B1C">
          <w:rPr>
            <w:rStyle w:val="Hyperlink"/>
            <w:color w:val="auto"/>
            <w:u w:val="none"/>
          </w:rPr>
          <w:t>https://doi.org/10.1016/s0020-1693(02)01307-5</w:t>
        </w:r>
      </w:hyperlink>
      <w:r w:rsidRPr="00243B1C">
        <w:t>.</w:t>
      </w:r>
    </w:p>
    <w:p w14:paraId="43409EDC" w14:textId="4D3B23FB" w:rsidR="00172885" w:rsidRPr="00243B1C" w:rsidRDefault="00172885" w:rsidP="00172885">
      <w:pPr>
        <w:pStyle w:val="ListParagraph"/>
        <w:numPr>
          <w:ilvl w:val="0"/>
          <w:numId w:val="8"/>
        </w:numPr>
        <w:bidi w:val="0"/>
        <w:jc w:val="both"/>
      </w:pPr>
      <w:r w:rsidRPr="00243B1C">
        <w:t xml:space="preserve">Lin, Y. A.; Chalker, J. M.; Davis, B. G. Olefin Cross-Metathesis on Proteins: Investigation of Allylic Chalcogen Effects and Guiding Principles in Metathesis Partner Selection. Journal </w:t>
      </w:r>
      <w:r w:rsidRPr="00243B1C">
        <w:lastRenderedPageBreak/>
        <w:t>of the American Chemical Society 2010, 132 (47), 16805–16811. https://doi.org/10.1021/ja104994d.</w:t>
      </w:r>
    </w:p>
    <w:p w14:paraId="3DACBB24" w14:textId="70E02B3F" w:rsidR="00B504B3" w:rsidRPr="00243B1C" w:rsidRDefault="00172885" w:rsidP="00B504B3">
      <w:pPr>
        <w:pStyle w:val="ListParagraph"/>
        <w:numPr>
          <w:ilvl w:val="0"/>
          <w:numId w:val="8"/>
        </w:numPr>
        <w:bidi w:val="0"/>
        <w:jc w:val="both"/>
      </w:pPr>
      <w:r w:rsidRPr="00243B1C">
        <w:t>‌</w:t>
      </w:r>
      <w:r w:rsidR="00B504B3" w:rsidRPr="00243B1C">
        <w:t xml:space="preserve"> </w:t>
      </w:r>
      <w:r w:rsidR="00B504B3" w:rsidRPr="00243B1C">
        <w:t>Blanco,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484E733F" w:rsidR="00172885" w:rsidRPr="00243B1C" w:rsidRDefault="00B504B3" w:rsidP="00B504B3">
      <w:pPr>
        <w:pStyle w:val="ListParagraph"/>
        <w:numPr>
          <w:ilvl w:val="0"/>
          <w:numId w:val="8"/>
        </w:numPr>
        <w:bidi w:val="0"/>
        <w:jc w:val="both"/>
      </w:pPr>
      <w:r w:rsidRPr="00243B1C">
        <w:t xml:space="preserve">‌Lin, Y. A.; Chalker, J. M.; Davis, B. G. Olefin Metathesis for Site-Selective Protein Modification. ChemBioChem 2009, 10 (6), 959–969. </w:t>
      </w:r>
      <w:hyperlink r:id="rId19" w:history="1">
        <w:r w:rsidR="00B661B0" w:rsidRPr="00243B1C">
          <w:rPr>
            <w:rStyle w:val="Hyperlink"/>
            <w:color w:val="auto"/>
            <w:u w:val="none"/>
          </w:rPr>
          <w:t>https://doi.org/10.1002/cbic.200900002</w:t>
        </w:r>
      </w:hyperlink>
      <w:r w:rsidRPr="00243B1C">
        <w:t>.</w:t>
      </w:r>
    </w:p>
    <w:p w14:paraId="1756E558" w14:textId="3161E194" w:rsidR="00B661B0" w:rsidRPr="00243B1C" w:rsidRDefault="00B661B0" w:rsidP="00B504B3">
      <w:pPr>
        <w:pStyle w:val="ListParagraph"/>
        <w:numPr>
          <w:ilvl w:val="0"/>
          <w:numId w:val="8"/>
        </w:numPr>
        <w:bidi w:val="0"/>
        <w:jc w:val="both"/>
      </w:pPr>
      <w:r w:rsidRPr="00243B1C">
        <w:t xml:space="preserve">Forman, H. J.; Zhang, H.; Rinna, A. Glutathione: Overview of Its Protective Roles, Measurement, and Biosynthesis. Molecular aspects of medicine 2009, 30 (1-2), 1–12. </w:t>
      </w:r>
      <w:hyperlink r:id="rId20" w:history="1">
        <w:r w:rsidR="00F72E82" w:rsidRPr="00243B1C">
          <w:rPr>
            <w:rStyle w:val="Hyperlink"/>
            <w:color w:val="auto"/>
            <w:u w:val="none"/>
          </w:rPr>
          <w:t>https://doi.org/10.1016/j.mam.2008.08.006</w:t>
        </w:r>
      </w:hyperlink>
      <w:r w:rsidRPr="00243B1C">
        <w:t>.</w:t>
      </w:r>
    </w:p>
    <w:p w14:paraId="056D9E07" w14:textId="3FB51C0C" w:rsidR="00F72E82" w:rsidRPr="00243B1C" w:rsidRDefault="00F72E82" w:rsidP="00B504B3">
      <w:pPr>
        <w:pStyle w:val="ListParagraph"/>
        <w:numPr>
          <w:ilvl w:val="0"/>
          <w:numId w:val="8"/>
        </w:numPr>
        <w:bidi w:val="0"/>
        <w:jc w:val="both"/>
      </w:pPr>
      <w:r w:rsidRPr="00243B1C">
        <w:t xml:space="preserve">James, C. C.; Petrus; Bruin, B. de; Joost. Kinetic Protection of a Water‐Soluble Olefin Metathesis Catalyst for Potential Use under Biological Conditions. ChemCatChem 2023, 15 (7). </w:t>
      </w:r>
      <w:hyperlink r:id="rId21" w:history="1">
        <w:r w:rsidR="00F93417" w:rsidRPr="00243B1C">
          <w:rPr>
            <w:rStyle w:val="Hyperlink"/>
            <w:color w:val="auto"/>
            <w:u w:val="none"/>
          </w:rPr>
          <w:t>https://doi.org/10.1002/cctc.202201272</w:t>
        </w:r>
      </w:hyperlink>
      <w:r w:rsidRPr="00243B1C">
        <w:t>.</w:t>
      </w:r>
    </w:p>
    <w:p w14:paraId="1185C7AA" w14:textId="74817C8D" w:rsidR="00F93417" w:rsidRPr="00243B1C" w:rsidRDefault="00F93417" w:rsidP="00F93417">
      <w:pPr>
        <w:pStyle w:val="ListParagraph"/>
        <w:numPr>
          <w:ilvl w:val="0"/>
          <w:numId w:val="8"/>
        </w:numPr>
        <w:bidi w:val="0"/>
        <w:jc w:val="both"/>
      </w:pPr>
      <w:r w:rsidRPr="00243B1C">
        <w:t>Kotha, S.; Mirtunjay Kumar Dipak. Strategies and Tactics in Olefin Metathesis. </w:t>
      </w:r>
      <w:r w:rsidRPr="00243B1C">
        <w:rPr>
          <w:i/>
          <w:iCs/>
        </w:rPr>
        <w:t>Tetrahedron</w:t>
      </w:r>
      <w:r w:rsidRPr="00243B1C">
        <w:t> </w:t>
      </w:r>
      <w:r w:rsidRPr="00243B1C">
        <w:rPr>
          <w:b/>
          <w:bCs/>
        </w:rPr>
        <w:t>2012</w:t>
      </w:r>
      <w:r w:rsidRPr="00243B1C">
        <w:t>, </w:t>
      </w:r>
      <w:r w:rsidRPr="00243B1C">
        <w:rPr>
          <w:i/>
          <w:iCs/>
        </w:rPr>
        <w:t>68</w:t>
      </w:r>
      <w:r w:rsidRPr="00243B1C">
        <w:t xml:space="preserve"> (2), 397–421. </w:t>
      </w:r>
      <w:hyperlink r:id="rId22" w:history="1">
        <w:r w:rsidR="00C16A7F" w:rsidRPr="00243B1C">
          <w:rPr>
            <w:rStyle w:val="Hyperlink"/>
            <w:color w:val="auto"/>
            <w:u w:val="none"/>
          </w:rPr>
          <w:t>https://doi.org/10.1016/j.tet.2011.10.018</w:t>
        </w:r>
      </w:hyperlink>
      <w:r w:rsidR="00C16A7F" w:rsidRPr="00243B1C">
        <w:t>.</w:t>
      </w:r>
    </w:p>
    <w:p w14:paraId="7EC22476" w14:textId="45515DAC" w:rsidR="00C16A7F" w:rsidRPr="00243B1C" w:rsidRDefault="00C16A7F" w:rsidP="00C16A7F">
      <w:pPr>
        <w:pStyle w:val="ListParagraph"/>
        <w:numPr>
          <w:ilvl w:val="0"/>
          <w:numId w:val="8"/>
        </w:numPr>
        <w:bidi w:val="0"/>
        <w:jc w:val="both"/>
      </w:pPr>
      <w:r w:rsidRPr="00243B1C">
        <w:t>Yasbin, R. E.; Matthews, C. R.; Clarke, M. J. Mutagenic and Toxic Effects of Ruthenium. </w:t>
      </w:r>
      <w:r w:rsidRPr="00243B1C">
        <w:rPr>
          <w:i/>
          <w:iCs/>
        </w:rPr>
        <w:t>Chemico-Biological Interactions</w:t>
      </w:r>
      <w:r w:rsidRPr="00243B1C">
        <w:t> </w:t>
      </w:r>
      <w:r w:rsidRPr="00243B1C">
        <w:rPr>
          <w:b/>
          <w:bCs/>
        </w:rPr>
        <w:t>1980</w:t>
      </w:r>
      <w:r w:rsidRPr="00243B1C">
        <w:t>, </w:t>
      </w:r>
      <w:r w:rsidRPr="00243B1C">
        <w:rPr>
          <w:i/>
          <w:iCs/>
        </w:rPr>
        <w:t>31</w:t>
      </w:r>
      <w:r w:rsidRPr="00243B1C">
        <w:t xml:space="preserve"> (3), 355–365. </w:t>
      </w:r>
      <w:hyperlink r:id="rId23" w:history="1">
        <w:r w:rsidRPr="00243B1C">
          <w:rPr>
            <w:rStyle w:val="Hyperlink"/>
            <w:color w:val="auto"/>
            <w:u w:val="none"/>
          </w:rPr>
          <w:t>https://doi.org/10.1016/0009-2797(80)90023-x</w:t>
        </w:r>
      </w:hyperlink>
      <w:r w:rsidRPr="00243B1C">
        <w:t>.</w:t>
      </w:r>
    </w:p>
    <w:p w14:paraId="437E8317" w14:textId="7611EF84" w:rsidR="00C16A7F" w:rsidRPr="00243B1C" w:rsidRDefault="000A6C83" w:rsidP="00C16A7F">
      <w:pPr>
        <w:pStyle w:val="ListParagraph"/>
        <w:numPr>
          <w:ilvl w:val="0"/>
          <w:numId w:val="8"/>
        </w:numPr>
        <w:bidi w:val="0"/>
        <w:jc w:val="both"/>
      </w:pPr>
      <w:r w:rsidRPr="00243B1C">
        <w:t xml:space="preserve">Messina, M. S.; Maynard, H. D. Modification of Proteins Using Olefin Metathesis. Materials Chemistry Frontiers 2020, 4 (4), 1040–1051. </w:t>
      </w:r>
      <w:hyperlink r:id="rId24" w:history="1">
        <w:r w:rsidR="00DB5455" w:rsidRPr="00243B1C">
          <w:rPr>
            <w:rStyle w:val="Hyperlink"/>
            <w:color w:val="auto"/>
            <w:u w:val="none"/>
          </w:rPr>
          <w:t>https://doi.org/10.1039/c9qm00494g</w:t>
        </w:r>
      </w:hyperlink>
      <w:r w:rsidRPr="00243B1C">
        <w:t>.</w:t>
      </w:r>
    </w:p>
    <w:p w14:paraId="1AB98E3C" w14:textId="557D9B38" w:rsidR="00DB5455" w:rsidRPr="00243B1C" w:rsidRDefault="0043468D" w:rsidP="00C16A7F">
      <w:pPr>
        <w:pStyle w:val="ListParagraph"/>
        <w:numPr>
          <w:ilvl w:val="0"/>
          <w:numId w:val="8"/>
        </w:numPr>
        <w:bidi w:val="0"/>
        <w:jc w:val="both"/>
      </w:pPr>
      <w:r w:rsidRPr="00243B1C">
        <w:t xml:space="preserve">Garber, S. B.; Kingsbury, J. S.; Gray, B. L.; Hoveyda, A. H. Efficient and Recyclable Monomeric and Dendritic Ru-Based Metathesis Catalysts. Journal of the American Chemical Society 2000, 122 (34), 8168–8179. </w:t>
      </w:r>
      <w:hyperlink r:id="rId25" w:history="1">
        <w:r w:rsidR="00635F10" w:rsidRPr="00243B1C">
          <w:rPr>
            <w:rStyle w:val="Hyperlink"/>
            <w:color w:val="auto"/>
            <w:u w:val="none"/>
          </w:rPr>
          <w:t>https://doi.org/10.1021/ja001179g</w:t>
        </w:r>
      </w:hyperlink>
      <w:r w:rsidRPr="00243B1C">
        <w:t>.</w:t>
      </w:r>
    </w:p>
    <w:p w14:paraId="36B2CAAC" w14:textId="07CA4B74" w:rsidR="00635F10" w:rsidRPr="00243B1C" w:rsidRDefault="00F16D38" w:rsidP="00C16A7F">
      <w:pPr>
        <w:pStyle w:val="ListParagraph"/>
        <w:numPr>
          <w:ilvl w:val="0"/>
          <w:numId w:val="8"/>
        </w:numPr>
        <w:bidi w:val="0"/>
        <w:jc w:val="both"/>
      </w:pPr>
      <w:r w:rsidRPr="00243B1C">
        <w:t xml:space="preserve">Jordan, J.; Grubbs, R. Small‐Molecule N‐Heterocyclic‐Carbene‐Containing Olefin‐Metathesis Catalysts for Use in Water. Angewandte Chemie International Edition 2007, 46 (27), 5152–5155. </w:t>
      </w:r>
      <w:hyperlink r:id="rId26" w:history="1">
        <w:r w:rsidR="00F3000D" w:rsidRPr="00243B1C">
          <w:rPr>
            <w:rStyle w:val="Hyperlink"/>
            <w:color w:val="auto"/>
            <w:u w:val="none"/>
          </w:rPr>
          <w:t>https://doi.org/10.1002/anie.200701258</w:t>
        </w:r>
      </w:hyperlink>
      <w:r w:rsidRPr="00243B1C">
        <w:t>.</w:t>
      </w:r>
    </w:p>
    <w:p w14:paraId="2E0341AF" w14:textId="59797B53" w:rsidR="00F3000D" w:rsidRPr="00243B1C" w:rsidRDefault="00F3000D" w:rsidP="00C16A7F">
      <w:pPr>
        <w:pStyle w:val="ListParagraph"/>
        <w:numPr>
          <w:ilvl w:val="0"/>
          <w:numId w:val="8"/>
        </w:numPr>
        <w:bidi w:val="0"/>
        <w:jc w:val="both"/>
      </w:pPr>
      <w:r w:rsidRPr="00243B1C">
        <w:t xml:space="preserve">Sauer, D. F.; Schiffels, J.; Hayashi, T.; Schwaneberg, U.; Okuda, J. Olefin Metathesis Catalysts Embedded in β-Barrel Proteins: Creating Artificial Metalloproteins for Olefin Metathesis. Beilstein Journal of Organic Chemistry 2018, 14 (14), 2861–2871. </w:t>
      </w:r>
      <w:hyperlink r:id="rId27" w:history="1">
        <w:r w:rsidR="009143D6" w:rsidRPr="00243B1C">
          <w:rPr>
            <w:rStyle w:val="Hyperlink"/>
            <w:color w:val="auto"/>
            <w:u w:val="none"/>
          </w:rPr>
          <w:t>https://doi.org/10.3762/bjoc.14.265</w:t>
        </w:r>
      </w:hyperlink>
      <w:r w:rsidRPr="00243B1C">
        <w:t>.</w:t>
      </w:r>
    </w:p>
    <w:p w14:paraId="46DA23F3" w14:textId="2F8AFA64" w:rsidR="009143D6" w:rsidRPr="00243B1C" w:rsidRDefault="00F01F4F" w:rsidP="00C16A7F">
      <w:pPr>
        <w:pStyle w:val="ListParagraph"/>
        <w:numPr>
          <w:ilvl w:val="0"/>
          <w:numId w:val="8"/>
        </w:numPr>
        <w:bidi w:val="0"/>
        <w:jc w:val="both"/>
      </w:pPr>
      <w:r w:rsidRPr="00243B1C">
        <w:t xml:space="preserve">Sauer, D. F.; Bocola, M.; Broglia, C.; Arlt, M.; Zhu, L.; Brocker, M.; Ulrich Schwaneberg; Okuda, J. Hybrid Ruthenium ROMP Catalysts Based on an Engineered Variant of β‐Barrel Protein FhuA ΔCVFtev: Effect of Spacer Length. Chemistry - An Asian Journal 2014, 10 (1), 177–182. </w:t>
      </w:r>
      <w:hyperlink r:id="rId28" w:history="1">
        <w:r w:rsidR="009D6EE9" w:rsidRPr="00243B1C">
          <w:rPr>
            <w:rStyle w:val="Hyperlink"/>
            <w:color w:val="auto"/>
            <w:u w:val="none"/>
          </w:rPr>
          <w:t>https://doi.org/10.1002/asia.201403005</w:t>
        </w:r>
      </w:hyperlink>
      <w:r w:rsidRPr="00243B1C">
        <w:t>.</w:t>
      </w:r>
    </w:p>
    <w:p w14:paraId="002D0C17" w14:textId="05863C10" w:rsidR="009D6EE9" w:rsidRPr="00243B1C" w:rsidRDefault="008D771D" w:rsidP="00C16A7F">
      <w:pPr>
        <w:pStyle w:val="ListParagraph"/>
        <w:numPr>
          <w:ilvl w:val="0"/>
          <w:numId w:val="8"/>
        </w:numPr>
        <w:bidi w:val="0"/>
        <w:jc w:val="both"/>
      </w:pPr>
      <w:r w:rsidRPr="00243B1C">
        <w:t xml:space="preserve">Zhao, J.; Kajetanowicz, A.; Ward, T. R. Carbonic Anhydrase II as Host Protein for the Creation of a Biocompatible Artificial Metathesase. Organic &amp; Biomolecular Chemistry 2015, 13 (20), 5652–5655. </w:t>
      </w:r>
      <w:hyperlink r:id="rId29" w:history="1">
        <w:r w:rsidR="00C60956" w:rsidRPr="00243B1C">
          <w:rPr>
            <w:rStyle w:val="Hyperlink"/>
            <w:color w:val="auto"/>
            <w:u w:val="none"/>
          </w:rPr>
          <w:t>https://doi.org/10.1039/c5ob00428d</w:t>
        </w:r>
      </w:hyperlink>
      <w:r w:rsidRPr="00243B1C">
        <w:t>.</w:t>
      </w:r>
    </w:p>
    <w:p w14:paraId="1FA22743" w14:textId="473FA9EB" w:rsidR="00C60956" w:rsidRPr="00243B1C" w:rsidRDefault="00C60956" w:rsidP="00C16A7F">
      <w:pPr>
        <w:pStyle w:val="ListParagraph"/>
        <w:numPr>
          <w:ilvl w:val="0"/>
          <w:numId w:val="8"/>
        </w:numPr>
        <w:bidi w:val="0"/>
        <w:jc w:val="both"/>
      </w:pPr>
      <w:r w:rsidRPr="00243B1C">
        <w:t xml:space="preserve">Sauer, D. F.; Tomoki Himiyama; Kengo Tachikawa; Fukumoto, K.; Onoda, A.; Eiichi Mizohata; Inoue, T.; Bocola, M.; Ulrich Schwaneberg; Hayashi, T.; Okuda, J. A Highly Active Biohybrid Catalyst for Olefin Metathesis in Water: Impact of a Hydrophobic Cavity in a β-Barrel Protein. ACS Catalysis 2015, 5 (12), 7519–7522. </w:t>
      </w:r>
      <w:hyperlink r:id="rId30" w:history="1">
        <w:r w:rsidR="00467C5B" w:rsidRPr="00243B1C">
          <w:rPr>
            <w:rStyle w:val="Hyperlink"/>
            <w:color w:val="auto"/>
            <w:u w:val="none"/>
          </w:rPr>
          <w:t>https://doi.org/10.1021/acscatal.5b01792</w:t>
        </w:r>
      </w:hyperlink>
      <w:r w:rsidRPr="00243B1C">
        <w:t>.</w:t>
      </w:r>
    </w:p>
    <w:p w14:paraId="40656168" w14:textId="450C2F5B" w:rsidR="00467C5B" w:rsidRPr="00243B1C" w:rsidRDefault="00467C5B" w:rsidP="00C16A7F">
      <w:pPr>
        <w:pStyle w:val="ListParagraph"/>
        <w:numPr>
          <w:ilvl w:val="0"/>
          <w:numId w:val="8"/>
        </w:numPr>
        <w:bidi w:val="0"/>
        <w:jc w:val="both"/>
      </w:pPr>
      <w:r w:rsidRPr="00243B1C">
        <w:t xml:space="preserve">Roy; Shao, J.; Marleen; Wu, H.; Tania Patiño Padial; Loai K. E. A. Abdelmohsen; Jan. Biodegradable Grubbs-Loaded Artificial Organelles for Endosomal Ring-Closing </w:t>
      </w:r>
      <w:r w:rsidRPr="00243B1C">
        <w:lastRenderedPageBreak/>
        <w:t xml:space="preserve">Metathesis. Biomacromolecules 2023, 24 (9), 4148–4155. </w:t>
      </w:r>
      <w:hyperlink r:id="rId31" w:history="1">
        <w:r w:rsidR="00513F9F" w:rsidRPr="00243B1C">
          <w:rPr>
            <w:rStyle w:val="Hyperlink"/>
            <w:color w:val="auto"/>
            <w:u w:val="none"/>
          </w:rPr>
          <w:t>https://doi.org/10.1021/acs.biomac.3c00487</w:t>
        </w:r>
      </w:hyperlink>
      <w:r w:rsidRPr="00243B1C">
        <w:t>.</w:t>
      </w:r>
    </w:p>
    <w:p w14:paraId="3405139A" w14:textId="39133069" w:rsidR="00513F9F" w:rsidRPr="00243B1C" w:rsidRDefault="00620649" w:rsidP="00C16A7F">
      <w:pPr>
        <w:pStyle w:val="ListParagraph"/>
        <w:numPr>
          <w:ilvl w:val="0"/>
          <w:numId w:val="8"/>
        </w:numPr>
        <w:bidi w:val="0"/>
        <w:jc w:val="both"/>
      </w:pPr>
      <w:r w:rsidRPr="00243B1C">
        <w:t xml:space="preserve">Chalker, J. M.; Lin, Y. A.; Boutureira, O.; Davis, B. G. Enabling Olefin Metathesis on Proteins: Chemical Methods for Installation of S-Allyl Cysteine. Chemical Communications 2009, No. 25, 3714–3714. </w:t>
      </w:r>
      <w:hyperlink r:id="rId32" w:history="1">
        <w:r w:rsidR="004C5C48" w:rsidRPr="00243B1C">
          <w:rPr>
            <w:rStyle w:val="Hyperlink"/>
            <w:color w:val="auto"/>
            <w:u w:val="none"/>
          </w:rPr>
          <w:t>https://doi.org/10.1039/b908004j</w:t>
        </w:r>
      </w:hyperlink>
      <w:r w:rsidRPr="00243B1C">
        <w:t>.</w:t>
      </w:r>
    </w:p>
    <w:p w14:paraId="5A0CE4AB" w14:textId="27257759" w:rsidR="004C5C48" w:rsidRPr="00243B1C" w:rsidRDefault="004C5C48" w:rsidP="00C16A7F">
      <w:pPr>
        <w:pStyle w:val="ListParagraph"/>
        <w:numPr>
          <w:ilvl w:val="0"/>
          <w:numId w:val="8"/>
        </w:numPr>
        <w:bidi w:val="0"/>
        <w:jc w:val="both"/>
      </w:pPr>
      <w:r w:rsidRPr="00243B1C">
        <w:t xml:space="preserve">Church, D. C.; Takiguchi, L.; Pokorski, J. K. Optimization of Ring-Opening Metathesis Polymerization (ROMP) under Physiologically Relevant Conditions. Polymer Chemistry 2020, 11 (27), 4492–4499. </w:t>
      </w:r>
      <w:hyperlink r:id="rId33" w:history="1">
        <w:r w:rsidR="00335E4C" w:rsidRPr="00243B1C">
          <w:rPr>
            <w:rStyle w:val="Hyperlink"/>
            <w:color w:val="auto"/>
            <w:u w:val="none"/>
          </w:rPr>
          <w:t>https://doi.org/10.1039/d0py00716a</w:t>
        </w:r>
      </w:hyperlink>
      <w:r w:rsidRPr="00243B1C">
        <w:t>.</w:t>
      </w:r>
    </w:p>
    <w:p w14:paraId="0E73A565" w14:textId="40C644B4" w:rsidR="00335E4C" w:rsidRPr="00243B1C" w:rsidRDefault="00335E4C" w:rsidP="00C16A7F">
      <w:pPr>
        <w:pStyle w:val="ListParagraph"/>
        <w:numPr>
          <w:ilvl w:val="0"/>
          <w:numId w:val="8"/>
        </w:numPr>
        <w:bidi w:val="0"/>
        <w:jc w:val="both"/>
      </w:pPr>
      <w:r w:rsidRPr="00243B1C">
        <w:t>Ward, C.; Meehan, J.; Gray, M. E.; Murray, A. F.; Argyle, D. J.; Kunkler, I. H.; Langdon, S. P. The Impact of Tumour PH on Cancer Progression: Strategies for Clinical Intervention. Exploration of Targeted Anti-tumor Therapy 2020, 1 (2), 71–100. https://doi.org/10.37349/etat.2020.00005.</w:t>
      </w:r>
    </w:p>
    <w:sectPr w:rsidR="00335E4C" w:rsidRPr="00243B1C" w:rsidSect="0097412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28E5C" w14:textId="77777777" w:rsidR="009569BF" w:rsidRDefault="009569BF" w:rsidP="007D011B">
      <w:pPr>
        <w:spacing w:after="0" w:line="240" w:lineRule="auto"/>
      </w:pPr>
      <w:r>
        <w:separator/>
      </w:r>
    </w:p>
  </w:endnote>
  <w:endnote w:type="continuationSeparator" w:id="0">
    <w:p w14:paraId="31459F71" w14:textId="77777777" w:rsidR="009569BF" w:rsidRDefault="009569BF"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366DF" w14:textId="77777777" w:rsidR="009569BF" w:rsidRDefault="009569BF" w:rsidP="007D011B">
      <w:pPr>
        <w:spacing w:after="0" w:line="240" w:lineRule="auto"/>
      </w:pPr>
      <w:r>
        <w:separator/>
      </w:r>
    </w:p>
  </w:footnote>
  <w:footnote w:type="continuationSeparator" w:id="0">
    <w:p w14:paraId="7FB65874" w14:textId="77777777" w:rsidR="009569BF" w:rsidRDefault="009569BF"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023"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32E1"/>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6C65"/>
    <w:rsid w:val="00057F75"/>
    <w:rsid w:val="00061116"/>
    <w:rsid w:val="000622DA"/>
    <w:rsid w:val="0006438B"/>
    <w:rsid w:val="00073773"/>
    <w:rsid w:val="000777C2"/>
    <w:rsid w:val="00081AFE"/>
    <w:rsid w:val="00082A19"/>
    <w:rsid w:val="000839AC"/>
    <w:rsid w:val="00095F20"/>
    <w:rsid w:val="00096AEF"/>
    <w:rsid w:val="00097573"/>
    <w:rsid w:val="000A048D"/>
    <w:rsid w:val="000A1714"/>
    <w:rsid w:val="000A2B34"/>
    <w:rsid w:val="000A3821"/>
    <w:rsid w:val="000A6C83"/>
    <w:rsid w:val="000B15A9"/>
    <w:rsid w:val="000B1958"/>
    <w:rsid w:val="000C48F3"/>
    <w:rsid w:val="000C52EB"/>
    <w:rsid w:val="000D1372"/>
    <w:rsid w:val="000D5EA5"/>
    <w:rsid w:val="000E5E95"/>
    <w:rsid w:val="00101630"/>
    <w:rsid w:val="0011082D"/>
    <w:rsid w:val="001126E3"/>
    <w:rsid w:val="00113F6E"/>
    <w:rsid w:val="0011700F"/>
    <w:rsid w:val="00117DD4"/>
    <w:rsid w:val="001209C7"/>
    <w:rsid w:val="00123B7E"/>
    <w:rsid w:val="00124A3F"/>
    <w:rsid w:val="00126D1E"/>
    <w:rsid w:val="00130AE9"/>
    <w:rsid w:val="001315AC"/>
    <w:rsid w:val="001344D2"/>
    <w:rsid w:val="00137679"/>
    <w:rsid w:val="0014293B"/>
    <w:rsid w:val="00150C69"/>
    <w:rsid w:val="00152B6A"/>
    <w:rsid w:val="00161981"/>
    <w:rsid w:val="00171480"/>
    <w:rsid w:val="00172885"/>
    <w:rsid w:val="00174FF9"/>
    <w:rsid w:val="00175CDD"/>
    <w:rsid w:val="001864F7"/>
    <w:rsid w:val="001930C3"/>
    <w:rsid w:val="00194A39"/>
    <w:rsid w:val="00194B10"/>
    <w:rsid w:val="00195425"/>
    <w:rsid w:val="00195E75"/>
    <w:rsid w:val="001A0184"/>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43B1C"/>
    <w:rsid w:val="002505CF"/>
    <w:rsid w:val="0025146C"/>
    <w:rsid w:val="0025227D"/>
    <w:rsid w:val="00254523"/>
    <w:rsid w:val="002572E6"/>
    <w:rsid w:val="00257FB8"/>
    <w:rsid w:val="0026074E"/>
    <w:rsid w:val="00261F6B"/>
    <w:rsid w:val="00262477"/>
    <w:rsid w:val="00264DCA"/>
    <w:rsid w:val="00270130"/>
    <w:rsid w:val="0027394C"/>
    <w:rsid w:val="00274C3E"/>
    <w:rsid w:val="002761A0"/>
    <w:rsid w:val="002768A5"/>
    <w:rsid w:val="00281D0D"/>
    <w:rsid w:val="00283FC9"/>
    <w:rsid w:val="00284D89"/>
    <w:rsid w:val="002905C9"/>
    <w:rsid w:val="0029215B"/>
    <w:rsid w:val="00292D7B"/>
    <w:rsid w:val="0029574A"/>
    <w:rsid w:val="00297A08"/>
    <w:rsid w:val="002A00AD"/>
    <w:rsid w:val="002A333E"/>
    <w:rsid w:val="002A4871"/>
    <w:rsid w:val="002A552B"/>
    <w:rsid w:val="002A7989"/>
    <w:rsid w:val="002B1659"/>
    <w:rsid w:val="002B2D67"/>
    <w:rsid w:val="002B523A"/>
    <w:rsid w:val="002C0A66"/>
    <w:rsid w:val="002C117A"/>
    <w:rsid w:val="002C1576"/>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043"/>
    <w:rsid w:val="00327748"/>
    <w:rsid w:val="00330EEF"/>
    <w:rsid w:val="00335E4C"/>
    <w:rsid w:val="00335EA1"/>
    <w:rsid w:val="00336EB4"/>
    <w:rsid w:val="003419FB"/>
    <w:rsid w:val="003435CD"/>
    <w:rsid w:val="00344A43"/>
    <w:rsid w:val="00356372"/>
    <w:rsid w:val="003565FD"/>
    <w:rsid w:val="003612E7"/>
    <w:rsid w:val="00361A5D"/>
    <w:rsid w:val="00361D54"/>
    <w:rsid w:val="003629B4"/>
    <w:rsid w:val="00363AA4"/>
    <w:rsid w:val="00365A67"/>
    <w:rsid w:val="003722D4"/>
    <w:rsid w:val="00374DA8"/>
    <w:rsid w:val="00387390"/>
    <w:rsid w:val="00395EEA"/>
    <w:rsid w:val="00396893"/>
    <w:rsid w:val="003A3CE4"/>
    <w:rsid w:val="003A4828"/>
    <w:rsid w:val="003A4CEA"/>
    <w:rsid w:val="003A7529"/>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73B6"/>
    <w:rsid w:val="00423091"/>
    <w:rsid w:val="0042683B"/>
    <w:rsid w:val="00427530"/>
    <w:rsid w:val="00431C5C"/>
    <w:rsid w:val="00434584"/>
    <w:rsid w:val="0043468D"/>
    <w:rsid w:val="00434BD1"/>
    <w:rsid w:val="0043620E"/>
    <w:rsid w:val="00437388"/>
    <w:rsid w:val="00440353"/>
    <w:rsid w:val="00443907"/>
    <w:rsid w:val="004508CB"/>
    <w:rsid w:val="0045138A"/>
    <w:rsid w:val="00456546"/>
    <w:rsid w:val="004616AF"/>
    <w:rsid w:val="004664DF"/>
    <w:rsid w:val="00467C5B"/>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5C48"/>
    <w:rsid w:val="004C6F3D"/>
    <w:rsid w:val="004F4CEE"/>
    <w:rsid w:val="00513F9F"/>
    <w:rsid w:val="0051400A"/>
    <w:rsid w:val="005156F9"/>
    <w:rsid w:val="00523615"/>
    <w:rsid w:val="0052754D"/>
    <w:rsid w:val="005358BA"/>
    <w:rsid w:val="00535E9E"/>
    <w:rsid w:val="0053675D"/>
    <w:rsid w:val="005407A4"/>
    <w:rsid w:val="0054582A"/>
    <w:rsid w:val="0054617B"/>
    <w:rsid w:val="005502F8"/>
    <w:rsid w:val="00552CAF"/>
    <w:rsid w:val="00553D69"/>
    <w:rsid w:val="005562EC"/>
    <w:rsid w:val="0056124C"/>
    <w:rsid w:val="00567C13"/>
    <w:rsid w:val="00572109"/>
    <w:rsid w:val="005723E8"/>
    <w:rsid w:val="00572BFA"/>
    <w:rsid w:val="005860BC"/>
    <w:rsid w:val="00591C6A"/>
    <w:rsid w:val="005965E5"/>
    <w:rsid w:val="00597538"/>
    <w:rsid w:val="005976B5"/>
    <w:rsid w:val="005B191B"/>
    <w:rsid w:val="005B41F4"/>
    <w:rsid w:val="005B5DB3"/>
    <w:rsid w:val="005B6429"/>
    <w:rsid w:val="005C0228"/>
    <w:rsid w:val="005C241A"/>
    <w:rsid w:val="005C31E7"/>
    <w:rsid w:val="005C5295"/>
    <w:rsid w:val="005C5897"/>
    <w:rsid w:val="005C6D39"/>
    <w:rsid w:val="005E406B"/>
    <w:rsid w:val="005E4B0B"/>
    <w:rsid w:val="00600556"/>
    <w:rsid w:val="006014AF"/>
    <w:rsid w:val="00602E0B"/>
    <w:rsid w:val="0060707D"/>
    <w:rsid w:val="00610D3E"/>
    <w:rsid w:val="00613CA9"/>
    <w:rsid w:val="006140C8"/>
    <w:rsid w:val="006154EE"/>
    <w:rsid w:val="00620649"/>
    <w:rsid w:val="00620EFC"/>
    <w:rsid w:val="00621937"/>
    <w:rsid w:val="00631023"/>
    <w:rsid w:val="00633389"/>
    <w:rsid w:val="00635F10"/>
    <w:rsid w:val="00644455"/>
    <w:rsid w:val="00650015"/>
    <w:rsid w:val="00653A51"/>
    <w:rsid w:val="00655536"/>
    <w:rsid w:val="00660928"/>
    <w:rsid w:val="00660ED9"/>
    <w:rsid w:val="00665D9E"/>
    <w:rsid w:val="006664F7"/>
    <w:rsid w:val="00666537"/>
    <w:rsid w:val="0066773B"/>
    <w:rsid w:val="00667D58"/>
    <w:rsid w:val="0067774E"/>
    <w:rsid w:val="00677DE2"/>
    <w:rsid w:val="00680522"/>
    <w:rsid w:val="00681901"/>
    <w:rsid w:val="00682910"/>
    <w:rsid w:val="006836A7"/>
    <w:rsid w:val="0068426C"/>
    <w:rsid w:val="00686761"/>
    <w:rsid w:val="006909AA"/>
    <w:rsid w:val="006934F1"/>
    <w:rsid w:val="0069521A"/>
    <w:rsid w:val="00697B6E"/>
    <w:rsid w:val="006A2786"/>
    <w:rsid w:val="006B5B9F"/>
    <w:rsid w:val="006B6EDE"/>
    <w:rsid w:val="006C1AA8"/>
    <w:rsid w:val="006C2E46"/>
    <w:rsid w:val="006C4D58"/>
    <w:rsid w:val="006C6999"/>
    <w:rsid w:val="006C7A9C"/>
    <w:rsid w:val="006E1F24"/>
    <w:rsid w:val="006E274B"/>
    <w:rsid w:val="006E4485"/>
    <w:rsid w:val="006F0019"/>
    <w:rsid w:val="007000F5"/>
    <w:rsid w:val="00702872"/>
    <w:rsid w:val="00702EFE"/>
    <w:rsid w:val="00703C91"/>
    <w:rsid w:val="0070502C"/>
    <w:rsid w:val="007060D7"/>
    <w:rsid w:val="00710332"/>
    <w:rsid w:val="007126CB"/>
    <w:rsid w:val="00724D37"/>
    <w:rsid w:val="0073076A"/>
    <w:rsid w:val="00731839"/>
    <w:rsid w:val="00740A5B"/>
    <w:rsid w:val="00743A1E"/>
    <w:rsid w:val="0074433D"/>
    <w:rsid w:val="00745911"/>
    <w:rsid w:val="0074628E"/>
    <w:rsid w:val="007547B2"/>
    <w:rsid w:val="00757573"/>
    <w:rsid w:val="00761461"/>
    <w:rsid w:val="007673F8"/>
    <w:rsid w:val="00776B55"/>
    <w:rsid w:val="00780FA6"/>
    <w:rsid w:val="00782A14"/>
    <w:rsid w:val="00783B75"/>
    <w:rsid w:val="00784C2E"/>
    <w:rsid w:val="0079431F"/>
    <w:rsid w:val="00796070"/>
    <w:rsid w:val="007A5F5F"/>
    <w:rsid w:val="007A6405"/>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4C0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365"/>
    <w:rsid w:val="00870DAB"/>
    <w:rsid w:val="00872C65"/>
    <w:rsid w:val="008732C4"/>
    <w:rsid w:val="008738AD"/>
    <w:rsid w:val="00873E2E"/>
    <w:rsid w:val="008749B1"/>
    <w:rsid w:val="0087549B"/>
    <w:rsid w:val="00875A54"/>
    <w:rsid w:val="008821A4"/>
    <w:rsid w:val="0088543F"/>
    <w:rsid w:val="008929AA"/>
    <w:rsid w:val="008929F0"/>
    <w:rsid w:val="0089488F"/>
    <w:rsid w:val="008A04CC"/>
    <w:rsid w:val="008A6C7E"/>
    <w:rsid w:val="008B2362"/>
    <w:rsid w:val="008C0481"/>
    <w:rsid w:val="008D2F13"/>
    <w:rsid w:val="008D3646"/>
    <w:rsid w:val="008D771D"/>
    <w:rsid w:val="008E3265"/>
    <w:rsid w:val="008E3E96"/>
    <w:rsid w:val="008E5F68"/>
    <w:rsid w:val="008E7929"/>
    <w:rsid w:val="008F2D45"/>
    <w:rsid w:val="008F4E3D"/>
    <w:rsid w:val="008F716B"/>
    <w:rsid w:val="00902CAA"/>
    <w:rsid w:val="00904915"/>
    <w:rsid w:val="009054DC"/>
    <w:rsid w:val="0090735D"/>
    <w:rsid w:val="0091012C"/>
    <w:rsid w:val="009112C2"/>
    <w:rsid w:val="009143D6"/>
    <w:rsid w:val="009208B3"/>
    <w:rsid w:val="0092277B"/>
    <w:rsid w:val="009233D0"/>
    <w:rsid w:val="009312AA"/>
    <w:rsid w:val="00931D2C"/>
    <w:rsid w:val="00931D64"/>
    <w:rsid w:val="00932B9C"/>
    <w:rsid w:val="00933152"/>
    <w:rsid w:val="009367B5"/>
    <w:rsid w:val="0094049C"/>
    <w:rsid w:val="009466F3"/>
    <w:rsid w:val="00946EC3"/>
    <w:rsid w:val="009476E6"/>
    <w:rsid w:val="00950801"/>
    <w:rsid w:val="00953BD1"/>
    <w:rsid w:val="0095607C"/>
    <w:rsid w:val="009569BF"/>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C6C94"/>
    <w:rsid w:val="009D0BC2"/>
    <w:rsid w:val="009D2824"/>
    <w:rsid w:val="009D3FC1"/>
    <w:rsid w:val="009D58A1"/>
    <w:rsid w:val="009D6EE9"/>
    <w:rsid w:val="009D760C"/>
    <w:rsid w:val="009E4B2C"/>
    <w:rsid w:val="009F04A4"/>
    <w:rsid w:val="009F509C"/>
    <w:rsid w:val="009F625E"/>
    <w:rsid w:val="00A01C0E"/>
    <w:rsid w:val="00A05263"/>
    <w:rsid w:val="00A05467"/>
    <w:rsid w:val="00A07B3F"/>
    <w:rsid w:val="00A17F3D"/>
    <w:rsid w:val="00A26DE5"/>
    <w:rsid w:val="00A34F49"/>
    <w:rsid w:val="00A37B2B"/>
    <w:rsid w:val="00A40AC7"/>
    <w:rsid w:val="00A50885"/>
    <w:rsid w:val="00A540A3"/>
    <w:rsid w:val="00A57619"/>
    <w:rsid w:val="00A60A80"/>
    <w:rsid w:val="00A66F63"/>
    <w:rsid w:val="00A72811"/>
    <w:rsid w:val="00A73BFE"/>
    <w:rsid w:val="00A7669A"/>
    <w:rsid w:val="00A7761E"/>
    <w:rsid w:val="00A80DF9"/>
    <w:rsid w:val="00A81620"/>
    <w:rsid w:val="00A83454"/>
    <w:rsid w:val="00A8357B"/>
    <w:rsid w:val="00A86676"/>
    <w:rsid w:val="00A91298"/>
    <w:rsid w:val="00A91F21"/>
    <w:rsid w:val="00A9205C"/>
    <w:rsid w:val="00A929AE"/>
    <w:rsid w:val="00A969BF"/>
    <w:rsid w:val="00AA0C66"/>
    <w:rsid w:val="00AA4853"/>
    <w:rsid w:val="00AA5A59"/>
    <w:rsid w:val="00AA6B0A"/>
    <w:rsid w:val="00AB0735"/>
    <w:rsid w:val="00AB1576"/>
    <w:rsid w:val="00AC08E4"/>
    <w:rsid w:val="00AC5CBA"/>
    <w:rsid w:val="00AC5FE5"/>
    <w:rsid w:val="00AC62F0"/>
    <w:rsid w:val="00AC6318"/>
    <w:rsid w:val="00AC79F9"/>
    <w:rsid w:val="00AC7C37"/>
    <w:rsid w:val="00AC7C56"/>
    <w:rsid w:val="00AD0888"/>
    <w:rsid w:val="00AD766F"/>
    <w:rsid w:val="00AE16F8"/>
    <w:rsid w:val="00AE3174"/>
    <w:rsid w:val="00AE6CE2"/>
    <w:rsid w:val="00AF3870"/>
    <w:rsid w:val="00AF499E"/>
    <w:rsid w:val="00AF6D36"/>
    <w:rsid w:val="00AF6F89"/>
    <w:rsid w:val="00AF774B"/>
    <w:rsid w:val="00B00CFB"/>
    <w:rsid w:val="00B01463"/>
    <w:rsid w:val="00B07F4A"/>
    <w:rsid w:val="00B113D0"/>
    <w:rsid w:val="00B15FDB"/>
    <w:rsid w:val="00B179B9"/>
    <w:rsid w:val="00B24414"/>
    <w:rsid w:val="00B256A7"/>
    <w:rsid w:val="00B337F9"/>
    <w:rsid w:val="00B33E5A"/>
    <w:rsid w:val="00B367EB"/>
    <w:rsid w:val="00B4030A"/>
    <w:rsid w:val="00B4226C"/>
    <w:rsid w:val="00B44ADD"/>
    <w:rsid w:val="00B504B3"/>
    <w:rsid w:val="00B53480"/>
    <w:rsid w:val="00B536E7"/>
    <w:rsid w:val="00B55C4B"/>
    <w:rsid w:val="00B56463"/>
    <w:rsid w:val="00B61681"/>
    <w:rsid w:val="00B64233"/>
    <w:rsid w:val="00B661B0"/>
    <w:rsid w:val="00B72B4B"/>
    <w:rsid w:val="00B83205"/>
    <w:rsid w:val="00B84E6F"/>
    <w:rsid w:val="00B85A9E"/>
    <w:rsid w:val="00B908FC"/>
    <w:rsid w:val="00B91A12"/>
    <w:rsid w:val="00B92B06"/>
    <w:rsid w:val="00B92D71"/>
    <w:rsid w:val="00BA3F9D"/>
    <w:rsid w:val="00BB08A8"/>
    <w:rsid w:val="00BB10DC"/>
    <w:rsid w:val="00BB4A79"/>
    <w:rsid w:val="00BB77D2"/>
    <w:rsid w:val="00BC12AB"/>
    <w:rsid w:val="00BC137D"/>
    <w:rsid w:val="00BC167B"/>
    <w:rsid w:val="00BC655A"/>
    <w:rsid w:val="00BD1584"/>
    <w:rsid w:val="00BD2128"/>
    <w:rsid w:val="00BD6FED"/>
    <w:rsid w:val="00BD7237"/>
    <w:rsid w:val="00BF0BAB"/>
    <w:rsid w:val="00BF1231"/>
    <w:rsid w:val="00BF189E"/>
    <w:rsid w:val="00BF7B67"/>
    <w:rsid w:val="00C06DE3"/>
    <w:rsid w:val="00C06F4B"/>
    <w:rsid w:val="00C07219"/>
    <w:rsid w:val="00C07E64"/>
    <w:rsid w:val="00C1025E"/>
    <w:rsid w:val="00C16A7F"/>
    <w:rsid w:val="00C1717E"/>
    <w:rsid w:val="00C2150B"/>
    <w:rsid w:val="00C22F9E"/>
    <w:rsid w:val="00C2332D"/>
    <w:rsid w:val="00C27254"/>
    <w:rsid w:val="00C275A5"/>
    <w:rsid w:val="00C305B6"/>
    <w:rsid w:val="00C36459"/>
    <w:rsid w:val="00C37389"/>
    <w:rsid w:val="00C40D2C"/>
    <w:rsid w:val="00C5061D"/>
    <w:rsid w:val="00C51738"/>
    <w:rsid w:val="00C55D7F"/>
    <w:rsid w:val="00C56AAE"/>
    <w:rsid w:val="00C60956"/>
    <w:rsid w:val="00C623EC"/>
    <w:rsid w:val="00C63365"/>
    <w:rsid w:val="00C6560E"/>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558E"/>
    <w:rsid w:val="00CE6558"/>
    <w:rsid w:val="00CF1EAD"/>
    <w:rsid w:val="00CF7ED4"/>
    <w:rsid w:val="00D05F85"/>
    <w:rsid w:val="00D07590"/>
    <w:rsid w:val="00D17317"/>
    <w:rsid w:val="00D1785C"/>
    <w:rsid w:val="00D215C3"/>
    <w:rsid w:val="00D234D9"/>
    <w:rsid w:val="00D2477B"/>
    <w:rsid w:val="00D2715C"/>
    <w:rsid w:val="00D424EB"/>
    <w:rsid w:val="00D46197"/>
    <w:rsid w:val="00D60E83"/>
    <w:rsid w:val="00D6107D"/>
    <w:rsid w:val="00D643A4"/>
    <w:rsid w:val="00D7089F"/>
    <w:rsid w:val="00D73AA5"/>
    <w:rsid w:val="00D73DF8"/>
    <w:rsid w:val="00D73F56"/>
    <w:rsid w:val="00D766BC"/>
    <w:rsid w:val="00D839F7"/>
    <w:rsid w:val="00D84EAF"/>
    <w:rsid w:val="00D866BC"/>
    <w:rsid w:val="00D87840"/>
    <w:rsid w:val="00DA2403"/>
    <w:rsid w:val="00DA45EA"/>
    <w:rsid w:val="00DA4AAE"/>
    <w:rsid w:val="00DA5796"/>
    <w:rsid w:val="00DB0E24"/>
    <w:rsid w:val="00DB3462"/>
    <w:rsid w:val="00DB3AF0"/>
    <w:rsid w:val="00DB5455"/>
    <w:rsid w:val="00DC0E25"/>
    <w:rsid w:val="00DC3008"/>
    <w:rsid w:val="00DC3021"/>
    <w:rsid w:val="00DC7B48"/>
    <w:rsid w:val="00DD3FC5"/>
    <w:rsid w:val="00DD4482"/>
    <w:rsid w:val="00DE2EA5"/>
    <w:rsid w:val="00DE6080"/>
    <w:rsid w:val="00DF528D"/>
    <w:rsid w:val="00DF6C29"/>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0B"/>
    <w:rsid w:val="00E51E83"/>
    <w:rsid w:val="00E52820"/>
    <w:rsid w:val="00E53412"/>
    <w:rsid w:val="00E53EF9"/>
    <w:rsid w:val="00E54CD7"/>
    <w:rsid w:val="00E56818"/>
    <w:rsid w:val="00E60C05"/>
    <w:rsid w:val="00E714BE"/>
    <w:rsid w:val="00E804C3"/>
    <w:rsid w:val="00E805CC"/>
    <w:rsid w:val="00E86002"/>
    <w:rsid w:val="00E87014"/>
    <w:rsid w:val="00E9282E"/>
    <w:rsid w:val="00E93BC6"/>
    <w:rsid w:val="00E97B8E"/>
    <w:rsid w:val="00EA6B49"/>
    <w:rsid w:val="00EA71C6"/>
    <w:rsid w:val="00EB2497"/>
    <w:rsid w:val="00EB3DF9"/>
    <w:rsid w:val="00EB3E84"/>
    <w:rsid w:val="00EB59E8"/>
    <w:rsid w:val="00EC14F8"/>
    <w:rsid w:val="00EC6D63"/>
    <w:rsid w:val="00ED0910"/>
    <w:rsid w:val="00ED6380"/>
    <w:rsid w:val="00ED7A9E"/>
    <w:rsid w:val="00EE24B6"/>
    <w:rsid w:val="00EE3ACF"/>
    <w:rsid w:val="00EE3E5B"/>
    <w:rsid w:val="00EE7AD0"/>
    <w:rsid w:val="00EF2E5A"/>
    <w:rsid w:val="00EF7B5B"/>
    <w:rsid w:val="00F001E9"/>
    <w:rsid w:val="00F01F4F"/>
    <w:rsid w:val="00F04CD2"/>
    <w:rsid w:val="00F0591C"/>
    <w:rsid w:val="00F07559"/>
    <w:rsid w:val="00F16D38"/>
    <w:rsid w:val="00F21687"/>
    <w:rsid w:val="00F21D34"/>
    <w:rsid w:val="00F223B6"/>
    <w:rsid w:val="00F22AD4"/>
    <w:rsid w:val="00F3000D"/>
    <w:rsid w:val="00F30B4D"/>
    <w:rsid w:val="00F30D91"/>
    <w:rsid w:val="00F31C08"/>
    <w:rsid w:val="00F31FF5"/>
    <w:rsid w:val="00F40465"/>
    <w:rsid w:val="00F41FD6"/>
    <w:rsid w:val="00F4672E"/>
    <w:rsid w:val="00F4681B"/>
    <w:rsid w:val="00F50C47"/>
    <w:rsid w:val="00F511D8"/>
    <w:rsid w:val="00F54492"/>
    <w:rsid w:val="00F56F3F"/>
    <w:rsid w:val="00F6220D"/>
    <w:rsid w:val="00F625CB"/>
    <w:rsid w:val="00F658D0"/>
    <w:rsid w:val="00F7185A"/>
    <w:rsid w:val="00F722F8"/>
    <w:rsid w:val="00F72E82"/>
    <w:rsid w:val="00F80127"/>
    <w:rsid w:val="00F82BD5"/>
    <w:rsid w:val="00F85C6D"/>
    <w:rsid w:val="00F93417"/>
    <w:rsid w:val="00F976D9"/>
    <w:rsid w:val="00FA2182"/>
    <w:rsid w:val="00FA290C"/>
    <w:rsid w:val="00FA3790"/>
    <w:rsid w:val="00FA40F3"/>
    <w:rsid w:val="00FC005A"/>
    <w:rsid w:val="00FC6759"/>
    <w:rsid w:val="00FC749A"/>
    <w:rsid w:val="00FD40C2"/>
    <w:rsid w:val="00FE3494"/>
    <w:rsid w:val="00FE7D61"/>
    <w:rsid w:val="00FF10A2"/>
    <w:rsid w:val="00FF1E42"/>
    <w:rsid w:val="00FF3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s0020-1693(02)01307-5" TargetMode="External"/><Relationship Id="rId26" Type="http://schemas.openxmlformats.org/officeDocument/2006/relationships/hyperlink" Target="https://doi.org/10.1002/anie.200701258" TargetMode="External"/><Relationship Id="rId3" Type="http://schemas.openxmlformats.org/officeDocument/2006/relationships/customXml" Target="../customXml/item3.xml"/><Relationship Id="rId21" Type="http://schemas.openxmlformats.org/officeDocument/2006/relationships/hyperlink" Target="https://doi.org/10.1002/cctc.20220127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38/s41565-020-0761-y" TargetMode="External"/><Relationship Id="rId25" Type="http://schemas.openxmlformats.org/officeDocument/2006/relationships/hyperlink" Target="https://doi.org/10.1021/ja001179g" TargetMode="External"/><Relationship Id="rId33" Type="http://schemas.openxmlformats.org/officeDocument/2006/relationships/hyperlink" Target="https://doi.org/10.1039/d0py00716a" TargetMode="External"/><Relationship Id="rId2" Type="http://schemas.openxmlformats.org/officeDocument/2006/relationships/customXml" Target="../customXml/item2.xml"/><Relationship Id="rId16" Type="http://schemas.openxmlformats.org/officeDocument/2006/relationships/hyperlink" Target="https://doi.org/10.1081/ncn-200060347" TargetMode="External"/><Relationship Id="rId20" Type="http://schemas.openxmlformats.org/officeDocument/2006/relationships/hyperlink" Target="https://doi.org/10.1016/j.mam.2008.08.006" TargetMode="External"/><Relationship Id="rId29" Type="http://schemas.openxmlformats.org/officeDocument/2006/relationships/hyperlink" Target="https://doi.org/10.1039/c5ob00428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39/c9qm00494g" TargetMode="External"/><Relationship Id="rId32" Type="http://schemas.openxmlformats.org/officeDocument/2006/relationships/hyperlink" Target="https://doi.org/10.1039/b908004j"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016/0009-2797(80)90023-x" TargetMode="External"/><Relationship Id="rId28" Type="http://schemas.openxmlformats.org/officeDocument/2006/relationships/hyperlink" Target="https://doi.org/10.1002/asia.201403005" TargetMode="External"/><Relationship Id="rId10" Type="http://schemas.openxmlformats.org/officeDocument/2006/relationships/endnotes" Target="endnotes.xml"/><Relationship Id="rId19" Type="http://schemas.openxmlformats.org/officeDocument/2006/relationships/hyperlink" Target="https://doi.org/10.1002/cbic.200900002" TargetMode="External"/><Relationship Id="rId31" Type="http://schemas.openxmlformats.org/officeDocument/2006/relationships/hyperlink" Target="https://doi.org/10.1021/acs.biomac.3c004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16/j.tet.2011.10.018" TargetMode="External"/><Relationship Id="rId27" Type="http://schemas.openxmlformats.org/officeDocument/2006/relationships/hyperlink" Target="https://doi.org/10.3762/bjoc.14.265" TargetMode="External"/><Relationship Id="rId30" Type="http://schemas.openxmlformats.org/officeDocument/2006/relationships/hyperlink" Target="https://doi.org/10.1021/acscatal.5b01792"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19733</TotalTime>
  <Pages>19</Pages>
  <Words>9237</Words>
  <Characters>46187</Characters>
  <Application>Microsoft Office Word</Application>
  <DocSecurity>0</DocSecurity>
  <Lines>384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210</cp:revision>
  <dcterms:created xsi:type="dcterms:W3CDTF">2024-12-18T21:42:00Z</dcterms:created>
  <dcterms:modified xsi:type="dcterms:W3CDTF">2025-01-01T14:59:00Z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