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6D7E" w14:textId="2E57DA3C" w:rsidR="006E4485" w:rsidRPr="00D902CF" w:rsidRDefault="006E4485" w:rsidP="006E4485">
      <w:pPr>
        <w:bidi w:val="0"/>
        <w:jc w:val="both"/>
        <w:rPr>
          <w:b/>
          <w:bCs/>
        </w:rPr>
      </w:pPr>
      <w:r>
        <w:rPr>
          <w:b/>
          <w:bCs/>
        </w:rPr>
        <w:t>In Vivo Olefin Metathesis – challenges, approaches and applications</w:t>
      </w:r>
    </w:p>
    <w:p w14:paraId="56A24DA5" w14:textId="40CA17DD" w:rsidR="006E4485" w:rsidRDefault="001930C3" w:rsidP="006E4485">
      <w:pPr>
        <w:bidi w:val="0"/>
        <w:jc w:val="both"/>
      </w:pPr>
      <w:r w:rsidRPr="001930C3">
        <w:rPr>
          <w:highlight w:val="green"/>
        </w:rPr>
        <w:t>Summarized enough</w:t>
      </w:r>
    </w:p>
    <w:p w14:paraId="07307054" w14:textId="798049DB" w:rsidR="001930C3" w:rsidRDefault="001930C3" w:rsidP="001930C3">
      <w:pPr>
        <w:bidi w:val="0"/>
        <w:jc w:val="both"/>
      </w:pPr>
      <w:r w:rsidRPr="001930C3">
        <w:rPr>
          <w:highlight w:val="blue"/>
        </w:rPr>
        <w:t>Summarized moderately</w:t>
      </w:r>
    </w:p>
    <w:p w14:paraId="572BEE59" w14:textId="21C77E44" w:rsidR="001930C3" w:rsidRDefault="001930C3" w:rsidP="001930C3">
      <w:pPr>
        <w:bidi w:val="0"/>
        <w:jc w:val="both"/>
      </w:pPr>
      <w:r w:rsidRPr="001930C3">
        <w:rPr>
          <w:highlight w:val="yellow"/>
        </w:rPr>
        <w:t>Lot of missing info</w:t>
      </w:r>
    </w:p>
    <w:p w14:paraId="2AC73726" w14:textId="61610B7A" w:rsidR="001930C3" w:rsidRDefault="001930C3" w:rsidP="001930C3">
      <w:pPr>
        <w:bidi w:val="0"/>
        <w:jc w:val="both"/>
      </w:pPr>
      <w:r w:rsidRPr="001930C3">
        <w:rPr>
          <w:highlight w:val="red"/>
        </w:rPr>
        <w:t>No info at all</w:t>
      </w:r>
    </w:p>
    <w:p w14:paraId="6F244F33" w14:textId="43EBD6F4" w:rsidR="001930C3" w:rsidRDefault="00FC6759" w:rsidP="001930C3">
      <w:pPr>
        <w:bidi w:val="0"/>
        <w:jc w:val="both"/>
      </w:pPr>
      <w:r>
        <w:t>Citation needed</w:t>
      </w:r>
      <w:r>
        <w:rPr>
          <w:vertAlign w:val="superscript"/>
        </w:rPr>
        <w:t>?</w:t>
      </w:r>
    </w:p>
    <w:p w14:paraId="2086BCA2" w14:textId="1660D09E" w:rsidR="00AF6F89" w:rsidRPr="00FC6759" w:rsidRDefault="00AF6F89" w:rsidP="00AF6F89">
      <w:pPr>
        <w:bidi w:val="0"/>
        <w:jc w:val="both"/>
      </w:pPr>
      <w:r>
        <w:t>Citations are numbered by the Summaries order until I'll specify otherwise</w:t>
      </w:r>
    </w:p>
    <w:p w14:paraId="564F6D50" w14:textId="36587D17" w:rsidR="006E4485" w:rsidRPr="00E26BC4" w:rsidRDefault="006E4485" w:rsidP="00591C6A">
      <w:pPr>
        <w:pStyle w:val="Heading1"/>
      </w:pPr>
      <w:r w:rsidRPr="00E26BC4">
        <w:t>Introduction</w:t>
      </w:r>
    </w:p>
    <w:p w14:paraId="402167CF" w14:textId="70BB1695" w:rsidR="006E4485" w:rsidRPr="001930C3" w:rsidRDefault="006E4485" w:rsidP="00E26BC4">
      <w:pPr>
        <w:pStyle w:val="ListParagraph"/>
        <w:numPr>
          <w:ilvl w:val="1"/>
          <w:numId w:val="6"/>
        </w:numPr>
        <w:bidi w:val="0"/>
        <w:jc w:val="both"/>
        <w:rPr>
          <w:highlight w:val="red"/>
        </w:rPr>
      </w:pPr>
      <w:commentRangeStart w:id="0"/>
      <w:r w:rsidRPr="001930C3">
        <w:rPr>
          <w:highlight w:val="red"/>
        </w:rPr>
        <w:t xml:space="preserve">Olefin metathesis </w:t>
      </w:r>
      <w:commentRangeEnd w:id="0"/>
      <w:r w:rsidR="00CF7ED4">
        <w:rPr>
          <w:rStyle w:val="CommentReference"/>
        </w:rPr>
        <w:commentReference w:id="0"/>
      </w:r>
    </w:p>
    <w:p w14:paraId="7A974AA7" w14:textId="77777777" w:rsidR="0074628E" w:rsidRDefault="0074628E" w:rsidP="0074628E">
      <w:pPr>
        <w:bidi w:val="0"/>
        <w:ind w:left="720"/>
        <w:jc w:val="both"/>
      </w:pPr>
    </w:p>
    <w:p w14:paraId="419BCF62" w14:textId="4FC5708E" w:rsidR="0074628E" w:rsidRDefault="00F722F8" w:rsidP="00AF6F89">
      <w:pPr>
        <w:bidi w:val="0"/>
        <w:jc w:val="both"/>
      </w:pPr>
      <w:r>
        <w:t>F</w:t>
      </w:r>
      <w:r w:rsidRPr="00F722F8">
        <w:t xml:space="preserve">ormation of new carbon-carbon bonds </w:t>
      </w:r>
      <w:r>
        <w:t>is o</w:t>
      </w:r>
      <w:r w:rsidR="0074628E">
        <w:t xml:space="preserve">ne of the major </w:t>
      </w:r>
      <w:commentRangeStart w:id="1"/>
      <w:r w:rsidR="0074628E">
        <w:t xml:space="preserve">objectives </w:t>
      </w:r>
      <w:commentRangeEnd w:id="1"/>
      <w:r w:rsidR="00A26DE5">
        <w:rPr>
          <w:rStyle w:val="CommentReference"/>
        </w:rPr>
        <w:commentReference w:id="1"/>
      </w:r>
      <w:r w:rsidR="0074628E">
        <w:t>in modern organic chemistry</w:t>
      </w:r>
      <w:r w:rsidR="00E0395B">
        <w:t xml:space="preserve">. Alongside mechanisms like </w:t>
      </w:r>
      <w:r w:rsidR="008929F0">
        <w:t xml:space="preserve">the </w:t>
      </w:r>
      <w:r w:rsidR="00E0395B">
        <w:t>Wittig reaction and palladium-catalyzed coupling, olefin metathesis is an important tool for achieving this goal.</w:t>
      </w:r>
    </w:p>
    <w:p w14:paraId="3D469CC1" w14:textId="35FFA2B3" w:rsidR="00FC6759" w:rsidRDefault="00FC6759" w:rsidP="00AF6F89">
      <w:pPr>
        <w:bidi w:val="0"/>
        <w:jc w:val="both"/>
      </w:pPr>
      <w:r>
        <w:t>Olefin metathesis usually involves the exchange of partners between two double bonds, though the same concept has also been applied to reactions in enynes</w:t>
      </w:r>
      <w:r w:rsidRPr="00AF6F89">
        <w:t>?</w:t>
      </w:r>
      <w:r>
        <w:t xml:space="preserve"> (between the double and triple bond)</w:t>
      </w:r>
      <w:r w:rsidR="00C1025E">
        <w:t>, in which … is formed</w:t>
      </w:r>
      <w:r>
        <w:t>.</w:t>
      </w:r>
    </w:p>
    <w:p w14:paraId="77DF6240" w14:textId="664AA4A1" w:rsidR="002505CF" w:rsidRDefault="00FC6759" w:rsidP="00AF6F89">
      <w:pPr>
        <w:bidi w:val="0"/>
        <w:jc w:val="both"/>
      </w:pPr>
      <w:commentRangeStart w:id="2"/>
      <w:commentRangeStart w:id="3"/>
      <w:r>
        <w:t>The mechanism</w:t>
      </w:r>
      <w:r w:rsidR="00493D9C">
        <w:t xml:space="preserve"> of the catalytic cycle was proposed by Yves Chauvin in 1971</w:t>
      </w:r>
      <w:r w:rsidR="002505CF">
        <w:t>. It involve</w:t>
      </w:r>
      <w:r w:rsidR="00853C4F">
        <w:t xml:space="preserve">s initiation of the catalyst by a [2+2]-cycloaddition to create a metallacyclobutane intermediate that immediately </w:t>
      </w:r>
      <w:r w:rsidR="00D1785C">
        <w:t>undergoes cycloreversion</w:t>
      </w:r>
      <w:r w:rsidR="00853C4F">
        <w:t xml:space="preserve"> to form a species with the metal atom of the catalyst bonded to the carbon atom of the first</w:t>
      </w:r>
      <w:r w:rsidR="00D1785C">
        <w:t xml:space="preserve"> alkene. In the propagation step, another cycloaddition and cycloreversion cycle with the second</w:t>
      </w:r>
      <w:r w:rsidR="00853C4F">
        <w:t xml:space="preserve"> </w:t>
      </w:r>
      <w:r w:rsidR="00D1785C">
        <w:t>alkene create</w:t>
      </w:r>
      <w:r w:rsidR="001126E3">
        <w:t>s</w:t>
      </w:r>
      <w:r w:rsidR="00D1785C">
        <w:t xml:space="preserve"> the meta</w:t>
      </w:r>
      <w:r w:rsidR="001126E3">
        <w:t>thesis product</w:t>
      </w:r>
      <w:r w:rsidR="00D839F7">
        <w:t xml:space="preserve"> (figure 1)</w:t>
      </w:r>
      <w:r w:rsidR="001126E3">
        <w:t>. The release of small alkenes, like ethylene, can make the reaction entropically favorable.</w:t>
      </w:r>
      <w:commentRangeEnd w:id="2"/>
      <w:commentRangeEnd w:id="3"/>
      <w:r w:rsidR="00806E97" w:rsidRPr="00AF6F89">
        <w:t>?</w:t>
      </w:r>
      <w:r w:rsidR="00D839F7" w:rsidRPr="00AF6F89">
        <w:commentReference w:id="2"/>
      </w:r>
      <w:r w:rsidR="007C00A1" w:rsidRPr="00AF6F89">
        <w:commentReference w:id="3"/>
      </w:r>
    </w:p>
    <w:p w14:paraId="748D6403" w14:textId="621ECDBF" w:rsidR="00FC6759" w:rsidRDefault="00FC6759" w:rsidP="00AF6F89">
      <w:pPr>
        <w:bidi w:val="0"/>
        <w:jc w:val="both"/>
      </w:pPr>
      <w:r>
        <w:t xml:space="preserve">OM reactions </w:t>
      </w:r>
      <w:r w:rsidR="008070A3">
        <w:t>are</w:t>
      </w:r>
      <w:r w:rsidR="002505CF">
        <w:t xml:space="preserve"> grouped by the </w:t>
      </w:r>
      <w:r w:rsidR="00C275A5">
        <w:t>type</w:t>
      </w:r>
      <w:r w:rsidR="002505CF">
        <w:t xml:space="preserve"> of the reactants and products (figure </w:t>
      </w:r>
      <w:r w:rsidR="00D7089F">
        <w:t>2</w:t>
      </w:r>
      <w:r w:rsidR="002505CF">
        <w:t>) – intermolecular cross-metathesis (</w:t>
      </w:r>
      <w:r w:rsidR="00F0591C">
        <w:t>2</w:t>
      </w:r>
      <w:r w:rsidR="002505CF">
        <w:t xml:space="preserve">a) involves the exchange of double-bond partners between two separate molecules. Ring-closing metathesis (RCM; </w:t>
      </w:r>
      <w:r w:rsidR="00F0591C">
        <w:t>2</w:t>
      </w:r>
      <w:r w:rsidR="002505CF">
        <w:t xml:space="preserve">b) is an intramolecular reaction </w:t>
      </w:r>
      <w:r w:rsidR="00D7089F">
        <w:t>that can be driven by the relative stability of five- and six- membered rings</w:t>
      </w:r>
      <w:r w:rsidR="00F0591C" w:rsidRPr="00AF6F89">
        <w:t>?</w:t>
      </w:r>
      <w:r w:rsidR="00D7089F">
        <w:t>.</w:t>
      </w:r>
      <w:r w:rsidR="00F0591C">
        <w:t xml:space="preserve"> Polymerization reactions include ring-opening metathesis polymerization (ROMP; 2c) and acyclic diene metathesis (ADMET;</w:t>
      </w:r>
      <w:r w:rsidR="008929F0">
        <w:t xml:space="preserve"> 2d</w:t>
      </w:r>
      <w:r w:rsidR="00F0591C">
        <w:t>), which competes with RCM in some cases.</w:t>
      </w:r>
      <w:r w:rsidR="00F0591C" w:rsidRPr="00AF6F89">
        <w:t>?</w:t>
      </w:r>
      <w:r w:rsidR="0090735D">
        <w:t xml:space="preserve"> A sentence about the regio- and stereo- selectivity of the reaction.</w:t>
      </w:r>
    </w:p>
    <w:p w14:paraId="337C450E" w14:textId="77777777" w:rsidR="00CF7ED4" w:rsidRDefault="008929F0" w:rsidP="00AF6F89">
      <w:pPr>
        <w:bidi w:val="0"/>
        <w:jc w:val="both"/>
      </w:pPr>
      <w:commentRangeStart w:id="4"/>
      <w:r>
        <w:t>The evolution</w:t>
      </w:r>
      <w:commentRangeEnd w:id="4"/>
      <w:r w:rsidR="00EC6D63" w:rsidRPr="00AF6F89">
        <w:commentReference w:id="4"/>
      </w:r>
      <w:r>
        <w:t xml:space="preserve"> of metathesis catalysts includes two major </w:t>
      </w:r>
      <w:r w:rsidR="008F716B">
        <w:t>progression</w:t>
      </w:r>
      <w:r w:rsidR="00F22AD4">
        <w:t>s</w:t>
      </w:r>
      <w:r>
        <w:t xml:space="preserve"> – </w:t>
      </w:r>
      <w:r w:rsidR="00F22AD4">
        <w:t xml:space="preserve">choice of </w:t>
      </w:r>
      <w:r>
        <w:t>the central transition metal involved and its ligands. Early</w:t>
      </w:r>
      <w:r w:rsidR="003C4FA3">
        <w:t xml:space="preserve"> reactions </w:t>
      </w:r>
      <w:r w:rsidR="001E7795">
        <w:t>included Ti</w:t>
      </w:r>
      <w:r w:rsidR="001E7795" w:rsidRPr="00AF6F89">
        <w:t>?</w:t>
      </w:r>
      <w:r w:rsidR="001E7795">
        <w:t>, Nb</w:t>
      </w:r>
      <w:r w:rsidR="001E7795" w:rsidRPr="00AF6F89">
        <w:t>?</w:t>
      </w:r>
      <w:r w:rsidR="001E7795">
        <w:t xml:space="preserve"> and Ta</w:t>
      </w:r>
      <w:r w:rsidR="001E7795" w:rsidRPr="00AF6F89">
        <w:t>?</w:t>
      </w:r>
      <w:r w:rsidR="001E7795">
        <w:t xml:space="preserve"> complexes as catalysts. Later, tungsten (W) and molybdenum complexes were introduced </w:t>
      </w:r>
      <w:r w:rsidR="00731839">
        <w:t>and enabled – especially in Mo complexes – superior catalytic activity.</w:t>
      </w:r>
      <w:r w:rsidR="002C30FB" w:rsidRPr="00AF6F89">
        <w:t>?</w:t>
      </w:r>
      <w:r w:rsidR="00731839">
        <w:t xml:space="preserve"> </w:t>
      </w:r>
      <w:r w:rsidR="002C30FB">
        <w:t>However, their low functional group tolerance and sensitivity to moisture and oxygen were significant drawbacks for many reactions.</w:t>
      </w:r>
      <w:r w:rsidR="002C30FB" w:rsidRPr="00AF6F89">
        <w:t>?</w:t>
      </w:r>
      <w:r w:rsidR="002C30FB">
        <w:t xml:space="preserve"> In 1992, Grubbs introduced the first ruthenium complex for olefin metathesis, exhibiting lower activity but a </w:t>
      </w:r>
      <w:r w:rsidR="00EC6D63">
        <w:t>significant improvement in stability in oxygen- and water-containing environments and for various functional groups.</w:t>
      </w:r>
      <w:r w:rsidR="00EC6D63" w:rsidRPr="00AF6F89">
        <w:t>?</w:t>
      </w:r>
    </w:p>
    <w:p w14:paraId="696A6F67" w14:textId="7C8FCB6E" w:rsidR="0090735D" w:rsidRPr="00EC6D63" w:rsidRDefault="00F001E9" w:rsidP="00AF6F89">
      <w:pPr>
        <w:bidi w:val="0"/>
        <w:jc w:val="both"/>
      </w:pPr>
      <w:r>
        <w:lastRenderedPageBreak/>
        <w:t>The second factor determining the catalyst's characteristics – its ligands – has also progressed significantly.</w:t>
      </w:r>
      <w:r w:rsidR="00BF7B67">
        <w:t xml:space="preserve"> Most Ru catalysts contain the carbene ligand responsible for the initiation – usually benzylidene (?) – two anionic ligands like chloride and two neutral ligands.</w:t>
      </w:r>
      <w:r w:rsidR="00CC769F">
        <w:t xml:space="preserve"> While in early catalysts these neutral ligands were phosphines – chosen for…</w:t>
      </w:r>
    </w:p>
    <w:p w14:paraId="4FD40CBC" w14:textId="77777777" w:rsidR="0090735D" w:rsidRPr="00F0591C" w:rsidRDefault="0090735D" w:rsidP="0090735D">
      <w:pPr>
        <w:bidi w:val="0"/>
        <w:ind w:left="720"/>
        <w:jc w:val="both"/>
      </w:pPr>
    </w:p>
    <w:p w14:paraId="39A92FC3" w14:textId="77777777" w:rsidR="00E0395B" w:rsidRDefault="00E0395B" w:rsidP="00E0395B">
      <w:pPr>
        <w:bidi w:val="0"/>
        <w:ind w:left="720"/>
        <w:jc w:val="both"/>
      </w:pPr>
    </w:p>
    <w:p w14:paraId="5C98508E" w14:textId="5756AB0F" w:rsidR="006E4485" w:rsidRPr="00BF1231" w:rsidRDefault="006E4485" w:rsidP="006C4D58">
      <w:pPr>
        <w:pStyle w:val="ListParagraph"/>
        <w:numPr>
          <w:ilvl w:val="1"/>
          <w:numId w:val="6"/>
        </w:numPr>
        <w:bidi w:val="0"/>
        <w:jc w:val="both"/>
        <w:rPr>
          <w:highlight w:val="green"/>
        </w:rPr>
      </w:pPr>
      <w:commentRangeStart w:id="5"/>
      <w:r w:rsidRPr="00BF1231">
        <w:rPr>
          <w:highlight w:val="green"/>
        </w:rPr>
        <w:t>Principles of bioorthogonal chemistry</w:t>
      </w:r>
      <w:commentRangeEnd w:id="5"/>
      <w:r w:rsidR="007C00A1" w:rsidRPr="00BF1231">
        <w:rPr>
          <w:rStyle w:val="CommentReference"/>
          <w:highlight w:val="green"/>
        </w:rPr>
        <w:commentReference w:id="5"/>
      </w:r>
    </w:p>
    <w:p w14:paraId="6856CC79" w14:textId="57D12E96" w:rsidR="00E41765" w:rsidRDefault="00E41765" w:rsidP="00E41765">
      <w:pPr>
        <w:bidi w:val="0"/>
        <w:jc w:val="both"/>
      </w:pPr>
      <w:r>
        <w:t>Bioorthogonal chemistry</w:t>
      </w:r>
      <w:r w:rsidR="008E5F68">
        <w:t xml:space="preserve"> describes a set of reactions that can be used in biological contexts and include reac</w:t>
      </w:r>
      <w:r w:rsidR="00126D1E">
        <w:t>tants or catalysts</w:t>
      </w:r>
      <w:r w:rsidR="00971ABA">
        <w:t xml:space="preserve"> that are not commonly found in nature</w:t>
      </w:r>
      <w:r w:rsidR="00126D1E">
        <w:t>. Thus, their reactivity with endogenous biological molecules like proteins, sugars and nucleic acids can be limited.</w:t>
      </w:r>
      <w:r w:rsidR="002F05B3">
        <w:t xml:space="preserve"> Other key characteristics of bioorthogonal reactions are high yields and reactions rate, water tolerance and generally small </w:t>
      </w:r>
      <w:r w:rsidR="00F21687">
        <w:t>reaction partners</w:t>
      </w:r>
      <w:r w:rsidR="002F05B3">
        <w:t>, which minimize perturbance to the biological system.</w:t>
      </w:r>
      <w:r w:rsidR="00AF6F89">
        <w:rPr>
          <w:vertAlign w:val="superscript"/>
        </w:rPr>
        <w:t>14</w:t>
      </w:r>
      <w:r w:rsidR="00971ABA">
        <w:t xml:space="preserve"> </w:t>
      </w:r>
      <w:r w:rsidR="001F5E2C">
        <w:t>These requirements enable highly selective and efficient modification of molecules in biological environments</w:t>
      </w:r>
      <w:r w:rsidR="00CC6ADB">
        <w:t>.</w:t>
      </w:r>
    </w:p>
    <w:p w14:paraId="2DD3700A" w14:textId="4883C3EE" w:rsidR="00AB0735" w:rsidRDefault="00AB0735" w:rsidP="00AB0735">
      <w:pPr>
        <w:bidi w:val="0"/>
        <w:jc w:val="both"/>
      </w:pPr>
      <w:r>
        <w:t>Multiple bioorthogonal reactions have been reported, including native chemical ligation to create amide bonds in protein synthesis,</w:t>
      </w:r>
      <w:r>
        <w:rPr>
          <w:vertAlign w:val="superscript"/>
        </w:rPr>
        <w:t>?</w:t>
      </w:r>
      <w:r>
        <w:t xml:space="preserve"> Copper-catalyzed azide-alkyne cycloaddition (CuAAC)</w:t>
      </w:r>
      <w:r w:rsidR="00DA4AAE">
        <w:t xml:space="preserve"> that forms triazoles,</w:t>
      </w:r>
      <w:r w:rsidR="0086644A">
        <w:rPr>
          <w:vertAlign w:val="superscript"/>
        </w:rPr>
        <w:t>?</w:t>
      </w:r>
      <w:r w:rsidR="00DA4AAE">
        <w:t xml:space="preserve"> </w:t>
      </w:r>
      <w:r w:rsidR="00EE7AD0">
        <w:t>tetrazine ligation that forms bicyclic compounds</w:t>
      </w:r>
      <w:r w:rsidR="0086644A">
        <w:rPr>
          <w:vertAlign w:val="superscript"/>
        </w:rPr>
        <w:t>?</w:t>
      </w:r>
      <w:r w:rsidR="00EE7AD0">
        <w:t xml:space="preserve"> and </w:t>
      </w:r>
      <w:r w:rsidR="00AE16F8">
        <w:t xml:space="preserve">several types of </w:t>
      </w:r>
      <w:r w:rsidR="0086644A">
        <w:t xml:space="preserve">photoinducible reactions, in which light </w:t>
      </w:r>
      <w:r w:rsidR="00980ED0">
        <w:t>activates relatively stable reactants</w:t>
      </w:r>
      <w:r w:rsidR="003A4CEA">
        <w:t>.</w:t>
      </w:r>
      <w:r w:rsidR="003A4CEA">
        <w:rPr>
          <w:vertAlign w:val="superscript"/>
        </w:rPr>
        <w:t>?</w:t>
      </w:r>
    </w:p>
    <w:p w14:paraId="14798CA9" w14:textId="7C3082BF" w:rsidR="005B5DB3" w:rsidRPr="00F04CD2" w:rsidRDefault="005B5DB3" w:rsidP="005B5DB3">
      <w:pPr>
        <w:bidi w:val="0"/>
        <w:jc w:val="both"/>
      </w:pPr>
      <w:r>
        <w:t xml:space="preserve">Bioorthogonal reactions are often modified </w:t>
      </w:r>
      <w:r w:rsidR="00E174E1">
        <w:t>forms of</w:t>
      </w:r>
      <w:r>
        <w:t xml:space="preserve"> well-known reactions </w:t>
      </w:r>
      <w:r w:rsidR="00E174E1">
        <w:t xml:space="preserve">that were optimized </w:t>
      </w:r>
      <w:r>
        <w:t xml:space="preserve">for the strict requirements of biological systems. For example, the Staudinger reaction </w:t>
      </w:r>
      <w:r w:rsidR="00AA6B0A">
        <w:t xml:space="preserve">– between a phosphine and an azide – </w:t>
      </w:r>
      <w:r>
        <w:t>was described in 1919</w:t>
      </w:r>
      <w:r w:rsidR="00AA6B0A">
        <w:t xml:space="preserve"> but was not useful </w:t>
      </w:r>
      <w:r w:rsidR="00AC5CBA">
        <w:t>for the creation of an amide bond in an</w:t>
      </w:r>
      <w:r w:rsidR="00AA6B0A">
        <w:t xml:space="preserve"> aqueous environment because of spontaneous hydroly</w:t>
      </w:r>
      <w:r w:rsidR="002A4871">
        <w:t xml:space="preserve">sis. </w:t>
      </w:r>
      <w:r w:rsidR="00F04CD2">
        <w:t xml:space="preserve">Changing the </w:t>
      </w:r>
      <w:r w:rsidR="00AC5CBA">
        <w:t xml:space="preserve">ligands of </w:t>
      </w:r>
      <w:r w:rsidR="00F04CD2">
        <w:t>phosphine</w:t>
      </w:r>
      <w:r w:rsidR="00F4681B">
        <w:t xml:space="preserve"> (??)</w:t>
      </w:r>
      <w:r w:rsidR="00F04CD2">
        <w:t xml:space="preserve"> prevented this and </w:t>
      </w:r>
      <w:r w:rsidR="00CB4138">
        <w:t>uncovered</w:t>
      </w:r>
      <w:r w:rsidR="00F04CD2">
        <w:t xml:space="preserve"> a highly selective and biocompatible tool.</w:t>
      </w:r>
      <w:r w:rsidR="00F04CD2">
        <w:rPr>
          <w:vertAlign w:val="superscript"/>
        </w:rPr>
        <w:t>20</w:t>
      </w:r>
    </w:p>
    <w:p w14:paraId="149E5E5C" w14:textId="0A4EFA25" w:rsidR="00AF6F89" w:rsidRPr="00644455" w:rsidRDefault="006F0019" w:rsidP="00644455">
      <w:pPr>
        <w:bidi w:val="0"/>
        <w:jc w:val="both"/>
      </w:pPr>
      <w:r>
        <w:t>Bioorthogonal techniques complement strategies like genetic engineering and protein tags for many applications – drug development</w:t>
      </w:r>
      <w:r>
        <w:rPr>
          <w:vertAlign w:val="superscript"/>
        </w:rPr>
        <w:t>?</w:t>
      </w:r>
      <w:r>
        <w:t xml:space="preserve"> and delivery</w:t>
      </w:r>
      <w:r>
        <w:rPr>
          <w:vertAlign w:val="superscript"/>
        </w:rPr>
        <w:t>?</w:t>
      </w:r>
      <w:r>
        <w:t>, expansion of the genetic code by incorporation of unnatural amino acids</w:t>
      </w:r>
      <w:r>
        <w:rPr>
          <w:vertAlign w:val="superscript"/>
        </w:rPr>
        <w:t>?</w:t>
      </w:r>
      <w:r>
        <w:t xml:space="preserve">, </w:t>
      </w:r>
      <w:r w:rsidR="00644455">
        <w:t>targeted protein degradation</w:t>
      </w:r>
      <w:r w:rsidR="00644455">
        <w:rPr>
          <w:vertAlign w:val="superscript"/>
        </w:rPr>
        <w:t>?</w:t>
      </w:r>
      <w:r w:rsidR="00644455">
        <w:t xml:space="preserve"> and cell imaging by tagging different kinds of target molecules. A striking example of the latter</w:t>
      </w:r>
      <w:r w:rsidR="00A540A3">
        <w:t>,</w:t>
      </w:r>
      <w:r w:rsidR="00A83454">
        <w:t xml:space="preserve"> </w:t>
      </w:r>
      <w:r w:rsidR="00644455">
        <w:t>for in-vivo imaging of glycans distribution</w:t>
      </w:r>
      <w:r w:rsidR="00A540A3">
        <w:t>,</w:t>
      </w:r>
      <w:r w:rsidR="00A83454">
        <w:t xml:space="preserve"> </w:t>
      </w:r>
      <w:r w:rsidR="00644455">
        <w:t>was achieved</w:t>
      </w:r>
      <w:r w:rsidR="00A83454">
        <w:t xml:space="preserve"> in</w:t>
      </w:r>
      <w:r w:rsidR="00644455">
        <w:t xml:space="preserve"> </w:t>
      </w:r>
      <w:r w:rsidR="00644455" w:rsidRPr="00644455">
        <w:t>2008 – researchers labeled cell-surface glycans in a zebrafish cell line with an azide equivalent then reacted it with a fluorescent cyclooctyne variant (DIFO-488).15 The glycans were labeled distinctly through the zebrafish's development.</w:t>
      </w:r>
    </w:p>
    <w:p w14:paraId="5C59F264" w14:textId="5FB55990" w:rsidR="009C09F7" w:rsidRDefault="009C09F7" w:rsidP="009C09F7">
      <w:pPr>
        <w:bidi w:val="0"/>
        <w:jc w:val="both"/>
      </w:pPr>
      <w:r>
        <w:t>In this work, I shall</w:t>
      </w:r>
      <w:r w:rsidR="0060707D">
        <w:t xml:space="preserve"> summarize the recent advances </w:t>
      </w:r>
      <w:r w:rsidR="004B48D5">
        <w:t xml:space="preserve">in olefin metathesis in the context of bioorthogonal chemistry </w:t>
      </w:r>
      <w:r w:rsidR="0060707D">
        <w:t>and focus o</w:t>
      </w:r>
      <w:r w:rsidR="004B48D5">
        <w:t>n</w:t>
      </w:r>
      <w:r w:rsidR="003C6BD6">
        <w:t xml:space="preserve"> the techniques and catalysts used to progress from reactions in aqueous media</w:t>
      </w:r>
      <w:r w:rsidR="004B48D5">
        <w:t xml:space="preserve"> </w:t>
      </w:r>
      <w:r w:rsidR="00B24414">
        <w:t>to metathesis in living cells (in-vivo).</w:t>
      </w:r>
    </w:p>
    <w:p w14:paraId="5A57480D" w14:textId="61F9747F" w:rsidR="006E4485" w:rsidRDefault="006E4485" w:rsidP="00591C6A">
      <w:pPr>
        <w:pStyle w:val="Heading1"/>
      </w:pPr>
      <w:r>
        <w:t>Body</w:t>
      </w:r>
    </w:p>
    <w:p w14:paraId="61740D36" w14:textId="77777777" w:rsidR="006E4485" w:rsidRPr="002C25F4" w:rsidRDefault="006E4485" w:rsidP="002C25F4">
      <w:pPr>
        <w:pStyle w:val="Heading2"/>
        <w:rPr>
          <w:highlight w:val="blue"/>
        </w:rPr>
      </w:pPr>
      <w:commentRangeStart w:id="6"/>
      <w:r w:rsidRPr="002C25F4">
        <w:rPr>
          <w:highlight w:val="blue"/>
        </w:rPr>
        <w:t>Reasons to attempt in-vivo metathesis and examples of specific reactions</w:t>
      </w:r>
      <w:commentRangeEnd w:id="6"/>
      <w:r w:rsidR="005C241A" w:rsidRPr="002C25F4">
        <w:rPr>
          <w:rStyle w:val="CommentReference"/>
          <w:sz w:val="22"/>
          <w:szCs w:val="22"/>
          <w:highlight w:val="blue"/>
        </w:rPr>
        <w:commentReference w:id="6"/>
      </w:r>
    </w:p>
    <w:p w14:paraId="116C7690" w14:textId="0D49F34C" w:rsidR="00A540A3" w:rsidRDefault="00A540A3" w:rsidP="00E44B36">
      <w:pPr>
        <w:bidi w:val="0"/>
        <w:jc w:val="both"/>
      </w:pPr>
      <w:r>
        <w:t xml:space="preserve">Although bioorthogonal </w:t>
      </w:r>
      <w:r w:rsidR="005E4B0B">
        <w:t>chemistry</w:t>
      </w:r>
      <w:r>
        <w:t xml:space="preserve"> enabled significant progress in research and </w:t>
      </w:r>
      <w:r w:rsidR="005E4B0B">
        <w:t>is</w:t>
      </w:r>
      <w:r>
        <w:t xml:space="preserve"> even used in certain industry processes,</w:t>
      </w:r>
      <w:r>
        <w:rPr>
          <w:vertAlign w:val="superscript"/>
        </w:rPr>
        <w:t>?</w:t>
      </w:r>
      <w:r>
        <w:t xml:space="preserve"> the reactions mentioned </w:t>
      </w:r>
      <w:r w:rsidR="00054048">
        <w:t xml:space="preserve">in the section </w:t>
      </w:r>
      <w:r>
        <w:t xml:space="preserve">above have a limited scope of reactants and products – most additions involve azides, nitrogen heterocycles or alkynes and the </w:t>
      </w:r>
      <w:r w:rsidR="00A86676">
        <w:t>formation</w:t>
      </w:r>
      <w:r>
        <w:t xml:space="preserve"> </w:t>
      </w:r>
      <w:r w:rsidR="00A86676">
        <w:t>of amide or similar heteroatom-containing bonds.</w:t>
      </w:r>
      <w:r w:rsidR="00A86676">
        <w:rPr>
          <w:vertAlign w:val="superscript"/>
        </w:rPr>
        <w:t>?</w:t>
      </w:r>
      <w:r w:rsidR="00A86676">
        <w:t xml:space="preserve"> </w:t>
      </w:r>
      <w:r w:rsidR="004B5C43">
        <w:t>T</w:t>
      </w:r>
      <w:r w:rsidR="00A86676">
        <w:t>hese</w:t>
      </w:r>
      <w:r w:rsidR="005C0228">
        <w:t xml:space="preserve"> can be </w:t>
      </w:r>
      <w:r w:rsidR="005C0228">
        <w:lastRenderedPageBreak/>
        <w:t>useful in biological contexts,</w:t>
      </w:r>
      <w:r w:rsidR="004B5C43">
        <w:t xml:space="preserve"> but</w:t>
      </w:r>
      <w:r w:rsidR="005C0228">
        <w:t xml:space="preserve"> there is still a need for </w:t>
      </w:r>
      <w:r w:rsidR="003C6BD6">
        <w:t>reactions that create a new carbon backbone</w:t>
      </w:r>
      <w:r w:rsidR="005C0228">
        <w:t>.</w:t>
      </w:r>
    </w:p>
    <w:p w14:paraId="6B615555" w14:textId="2D0D3C4B" w:rsidR="005C0228" w:rsidRDefault="005C0228" w:rsidP="003C6BD6">
      <w:pPr>
        <w:bidi w:val="0"/>
        <w:jc w:val="both"/>
      </w:pPr>
      <w:r>
        <w:t xml:space="preserve">Olefin metathesis can be a valuable tool in this endeavor – its versatility enables synthesis of many </w:t>
      </w:r>
      <w:commentRangeStart w:id="7"/>
      <w:r>
        <w:t xml:space="preserve">biologic </w:t>
      </w:r>
      <w:commentRangeEnd w:id="7"/>
      <w:r>
        <w:rPr>
          <w:rStyle w:val="CommentReference"/>
        </w:rPr>
        <w:commentReference w:id="7"/>
      </w:r>
      <w:r>
        <w:t>and biologically reactive molecules, such as amino acids, peptides, proteins, sugars, lipids nucleic acids and drugs.</w:t>
      </w:r>
      <w:r w:rsidR="00CE0AD4">
        <w:t xml:space="preserve"> A couple of the researched and proposed usages are hereby presented.</w:t>
      </w:r>
    </w:p>
    <w:p w14:paraId="26E08C63" w14:textId="29FEA95F" w:rsidR="008749B1" w:rsidRDefault="008749B1" w:rsidP="00B24414">
      <w:pPr>
        <w:bidi w:val="0"/>
        <w:jc w:val="both"/>
        <w:rPr>
          <w:vertAlign w:val="superscript"/>
        </w:rPr>
      </w:pPr>
      <w:r>
        <w:t>Synthesis and modification of proteins is</w:t>
      </w:r>
      <w:r w:rsidR="00932B9C">
        <w:t xml:space="preserve"> one of the best</w:t>
      </w:r>
      <w:r w:rsidR="001A69C0">
        <w:t xml:space="preserve"> </w:t>
      </w:r>
      <w:r w:rsidR="00932B9C">
        <w:t>studied</w:t>
      </w:r>
      <w:r w:rsidR="00101630">
        <w:t xml:space="preserve"> applications of bioorthogonal olefin metathesis.</w:t>
      </w:r>
      <w:r w:rsidR="00950801">
        <w:t xml:space="preserve"> Not only can metathesis catalyze the formation of a protein similar to one found in nature, but through a careful choice of the reacting residues, the synthesized protein can be improved in terms of stability and ligand affinity in comparison to the "natural" form. For example</w:t>
      </w:r>
      <w:r w:rsidR="00EE3E5B">
        <w:t>, when a</w:t>
      </w:r>
      <w:r w:rsidR="003612E7">
        <w:t>n ethylene bridge replaces</w:t>
      </w:r>
      <w:r w:rsidR="00F30B4D">
        <w:t xml:space="preserve"> the disulfide bond in protein this can result in greater conformational rigidity and stability. A study comparing the activity and half-lives of oxytocin agonists and antagonists with the</w:t>
      </w:r>
      <w:r w:rsidR="0029574A">
        <w:t>se</w:t>
      </w:r>
      <w:r w:rsidR="00F30B4D">
        <w:t xml:space="preserve"> "dicarba analogues"</w:t>
      </w:r>
      <w:r w:rsidR="00AE16F8">
        <w:t xml:space="preserve">, that were </w:t>
      </w:r>
      <w:r w:rsidR="00F30B4D">
        <w:t>synthesized through RCM</w:t>
      </w:r>
      <w:r w:rsidR="00AE16F8">
        <w:t>,</w:t>
      </w:r>
      <w:r w:rsidR="00F30B4D">
        <w:t xml:space="preserve"> found that the replacement increases the half-life while retaining the biological activity of this peptide hormone.</w:t>
      </w:r>
      <w:r w:rsidR="00F30B4D">
        <w:rPr>
          <w:vertAlign w:val="superscript"/>
        </w:rPr>
        <w:t>19</w:t>
      </w:r>
    </w:p>
    <w:p w14:paraId="01BA5A36" w14:textId="59FC4855" w:rsidR="000D5EA5" w:rsidRPr="000D5EA5" w:rsidRDefault="000B15A9" w:rsidP="000D5EA5">
      <w:pPr>
        <w:bidi w:val="0"/>
        <w:jc w:val="both"/>
      </w:pPr>
      <w:r>
        <w:t>Protein degradation</w:t>
      </w:r>
    </w:p>
    <w:p w14:paraId="0A4F7735" w14:textId="4E7A3C6E" w:rsidR="000A3821" w:rsidRDefault="00361D54" w:rsidP="00A540A3">
      <w:pPr>
        <w:bidi w:val="0"/>
        <w:ind w:left="720"/>
        <w:jc w:val="both"/>
      </w:pPr>
      <w:r>
        <w:t>Sugars</w:t>
      </w:r>
    </w:p>
    <w:p w14:paraId="13F60FC7" w14:textId="27459658" w:rsidR="00361D54" w:rsidRDefault="00361D54" w:rsidP="00361D54">
      <w:pPr>
        <w:bidi w:val="0"/>
        <w:ind w:left="720"/>
        <w:jc w:val="both"/>
      </w:pPr>
      <w:r>
        <w:t>Lipids (?)</w:t>
      </w:r>
    </w:p>
    <w:p w14:paraId="6B8F58F6" w14:textId="27B0B6C5" w:rsidR="00361D54" w:rsidRDefault="00361D54" w:rsidP="00361D54">
      <w:pPr>
        <w:bidi w:val="0"/>
        <w:ind w:left="720"/>
        <w:jc w:val="both"/>
      </w:pPr>
      <w:r>
        <w:t>DNA (and RNA?)</w:t>
      </w:r>
    </w:p>
    <w:p w14:paraId="2DC07011" w14:textId="79C3D232" w:rsidR="00361D54" w:rsidRDefault="00361D54" w:rsidP="00361D54">
      <w:pPr>
        <w:bidi w:val="0"/>
        <w:ind w:left="720"/>
        <w:jc w:val="both"/>
      </w:pPr>
      <w:r>
        <w:t>Drugs</w:t>
      </w:r>
      <w:r w:rsidR="0069521A">
        <w:t xml:space="preserve"> – prodrug activation and drug delivery</w:t>
      </w:r>
    </w:p>
    <w:p w14:paraId="58EB73C1" w14:textId="13120E86" w:rsidR="00361D54" w:rsidRDefault="00320280" w:rsidP="009054DC">
      <w:pPr>
        <w:bidi w:val="0"/>
        <w:jc w:val="both"/>
      </w:pPr>
      <w:r>
        <w:t xml:space="preserve">Metathesis </w:t>
      </w:r>
      <w:r w:rsidR="00F31FF5">
        <w:t xml:space="preserve">in-vivo can be a valuable tool in drug delivery, as </w:t>
      </w:r>
      <w:r w:rsidR="00D2477B">
        <w:t>the</w:t>
      </w:r>
      <w:r w:rsidR="00F31FF5">
        <w:t xml:space="preserve"> bond forming or breaking process can liberate bioactive molecules from a cage in the required tissue or microenvironment. </w:t>
      </w:r>
      <w:r w:rsidR="00C07219">
        <w:t xml:space="preserve">A study </w:t>
      </w:r>
      <w:r w:rsidR="008E3E96">
        <w:t xml:space="preserve">of virus-like particles as carrier molecules for peptide drugs developed the use of ROMP as the </w:t>
      </w:r>
      <w:r w:rsidR="00D2477B">
        <w:t>uncaging</w:t>
      </w:r>
      <w:r w:rsidR="008E3E96">
        <w:t xml:space="preserve"> process. The particles were functionalized with NHS-activated norborene, and so a ROMP reaction tha created a bond between two norborene molecules drove the disassembly of the vesicle and release of the cargo peptide.</w:t>
      </w:r>
      <w:r w:rsidR="00BB77D2">
        <w:rPr>
          <w:vertAlign w:val="superscript"/>
        </w:rPr>
        <w:t>23</w:t>
      </w:r>
      <w:r w:rsidR="00BB77D2">
        <w:t xml:space="preserve"> This generic mechanism may be used for other types of drugs and for other vesicles, as long as they can bind metathesis substrates.</w:t>
      </w:r>
    </w:p>
    <w:p w14:paraId="7B0B9581" w14:textId="747E9A61" w:rsidR="000A3821" w:rsidRDefault="000A3821" w:rsidP="000A3821">
      <w:pPr>
        <w:pStyle w:val="ListParagraph"/>
        <w:numPr>
          <w:ilvl w:val="0"/>
          <w:numId w:val="5"/>
        </w:numPr>
        <w:bidi w:val="0"/>
        <w:jc w:val="both"/>
      </w:pPr>
      <w:r>
        <w:t>"Living factories" inside organisms</w:t>
      </w:r>
    </w:p>
    <w:p w14:paraId="1EDD2492" w14:textId="6AFDC008" w:rsidR="000A3821" w:rsidRDefault="000A3821" w:rsidP="000A3821">
      <w:pPr>
        <w:pStyle w:val="ListParagraph"/>
        <w:numPr>
          <w:ilvl w:val="0"/>
          <w:numId w:val="5"/>
        </w:numPr>
        <w:bidi w:val="0"/>
        <w:jc w:val="both"/>
      </w:pPr>
      <w:r>
        <w:t>Drug synthesis, transport and uncaging/deprotection</w:t>
      </w:r>
    </w:p>
    <w:p w14:paraId="200FAA38" w14:textId="7C67E965" w:rsidR="000A3821" w:rsidRDefault="000A3821" w:rsidP="000A3821">
      <w:pPr>
        <w:pStyle w:val="ListParagraph"/>
        <w:numPr>
          <w:ilvl w:val="0"/>
          <w:numId w:val="5"/>
        </w:numPr>
        <w:bidi w:val="0"/>
        <w:jc w:val="both"/>
      </w:pPr>
      <w:r>
        <w:t>Protein modification</w:t>
      </w:r>
    </w:p>
    <w:p w14:paraId="1ED75DCD" w14:textId="2191BAC0" w:rsidR="000A3821" w:rsidRDefault="000A3821" w:rsidP="000A3821">
      <w:pPr>
        <w:pStyle w:val="ListParagraph"/>
        <w:numPr>
          <w:ilvl w:val="0"/>
          <w:numId w:val="5"/>
        </w:numPr>
        <w:bidi w:val="0"/>
        <w:jc w:val="both"/>
      </w:pPr>
      <w:r>
        <w:t>DNA modification</w:t>
      </w:r>
    </w:p>
    <w:p w14:paraId="5B68E441" w14:textId="339CE8A5" w:rsidR="000A3821" w:rsidRDefault="000A3821" w:rsidP="000A3821">
      <w:pPr>
        <w:pStyle w:val="ListParagraph"/>
        <w:numPr>
          <w:ilvl w:val="0"/>
          <w:numId w:val="5"/>
        </w:numPr>
        <w:bidi w:val="0"/>
        <w:jc w:val="both"/>
      </w:pPr>
      <w:r>
        <w:t>Further examples</w:t>
      </w:r>
    </w:p>
    <w:p w14:paraId="00907FAB" w14:textId="00BED904" w:rsidR="000A3821" w:rsidRDefault="000A3821" w:rsidP="000A3821">
      <w:pPr>
        <w:pStyle w:val="ListParagraph"/>
        <w:numPr>
          <w:ilvl w:val="0"/>
          <w:numId w:val="5"/>
        </w:numPr>
        <w:bidi w:val="0"/>
        <w:jc w:val="both"/>
      </w:pPr>
      <w:r>
        <w:t>Replacement of different bioorthogonal reactions (not OM)</w:t>
      </w:r>
    </w:p>
    <w:p w14:paraId="7E1E0B13" w14:textId="77777777" w:rsidR="00395EEA" w:rsidRDefault="00395EEA" w:rsidP="00395EEA">
      <w:pPr>
        <w:bidi w:val="0"/>
        <w:jc w:val="both"/>
      </w:pPr>
    </w:p>
    <w:p w14:paraId="1B1AC80D" w14:textId="77777777" w:rsidR="00395EEA" w:rsidRDefault="00395EEA" w:rsidP="00395EEA">
      <w:pPr>
        <w:bidi w:val="0"/>
        <w:jc w:val="both"/>
      </w:pPr>
    </w:p>
    <w:p w14:paraId="3C2BBF70" w14:textId="77777777" w:rsidR="006E4485" w:rsidRDefault="006E4485" w:rsidP="002C25F4">
      <w:pPr>
        <w:pStyle w:val="Heading2"/>
      </w:pPr>
      <w:r>
        <w:t>Challenges and requirements</w:t>
      </w:r>
    </w:p>
    <w:p w14:paraId="488EB956" w14:textId="786F89FB" w:rsidR="000A3821" w:rsidRDefault="000A3821" w:rsidP="000A3821">
      <w:pPr>
        <w:pStyle w:val="ListParagraph"/>
        <w:bidi w:val="0"/>
        <w:ind w:left="1080"/>
        <w:jc w:val="both"/>
      </w:pPr>
      <w:r>
        <w:t xml:space="preserve">The things that currently prevent us from achieving </w:t>
      </w:r>
      <w:r w:rsidR="000A1714">
        <w:t>in-vivo metathesis in industry scale.</w:t>
      </w:r>
    </w:p>
    <w:p w14:paraId="755BF7F6" w14:textId="77777777" w:rsidR="006E4485" w:rsidRPr="00410C2C" w:rsidRDefault="006E4485" w:rsidP="006E4485">
      <w:pPr>
        <w:pStyle w:val="ListParagraph"/>
        <w:numPr>
          <w:ilvl w:val="1"/>
          <w:numId w:val="1"/>
        </w:numPr>
        <w:bidi w:val="0"/>
        <w:jc w:val="both"/>
        <w:rPr>
          <w:highlight w:val="red"/>
        </w:rPr>
      </w:pPr>
      <w:r w:rsidRPr="00410C2C">
        <w:rPr>
          <w:highlight w:val="red"/>
        </w:rPr>
        <w:t>General (limitations of every OM)</w:t>
      </w:r>
    </w:p>
    <w:p w14:paraId="1F30B9F4" w14:textId="71EB7780" w:rsidR="000A1714" w:rsidRDefault="000A1714" w:rsidP="000A1714">
      <w:pPr>
        <w:pStyle w:val="ListParagraph"/>
        <w:bidi w:val="0"/>
        <w:ind w:left="1800"/>
        <w:jc w:val="both"/>
      </w:pPr>
      <w:r>
        <w:lastRenderedPageBreak/>
        <w:t>There must be alkenes…</w:t>
      </w:r>
    </w:p>
    <w:p w14:paraId="052BB2DB" w14:textId="5486FE18" w:rsidR="0070502C" w:rsidRDefault="0070502C" w:rsidP="0070502C">
      <w:pPr>
        <w:bidi w:val="0"/>
        <w:jc w:val="both"/>
      </w:pPr>
      <w:r>
        <w:t>A major challenge in utilizing olefin metathesis reactions in biological systems stems from nature of their biorthogonality – unconjugated alkenes, and especially terminal ones, are the common reactant in metathesis and may not be found in the cells where the desired metathesis should occur.</w:t>
      </w:r>
      <w:r w:rsidR="00DE6080">
        <w:rPr>
          <w:vertAlign w:val="superscript"/>
        </w:rPr>
        <w:t>?</w:t>
      </w:r>
      <w:r>
        <w:t xml:space="preserve"> Thus, in most cases the reactants should be administ</w:t>
      </w:r>
      <w:r w:rsidR="008D2F13">
        <w:t xml:space="preserve">ered </w:t>
      </w:r>
      <w:r>
        <w:t xml:space="preserve">with the catalyst or synthesized in-situ from a </w:t>
      </w:r>
      <w:r w:rsidR="00DE6080">
        <w:t>naturally occurring</w:t>
      </w:r>
      <w:r>
        <w:t xml:space="preserve"> compound.</w:t>
      </w:r>
      <w:r w:rsidR="00DE6080">
        <w:t xml:space="preserve"> Th</w:t>
      </w:r>
      <w:r w:rsidR="003F6215">
        <w:t>o</w:t>
      </w:r>
      <w:r w:rsidR="00DE6080">
        <w:t>se olefins should be stable in the cellular environment</w:t>
      </w:r>
      <w:r w:rsidR="003F6215">
        <w:t xml:space="preserve"> and </w:t>
      </w:r>
      <w:r w:rsidR="00A05467">
        <w:t>not cause harm to the cell.</w:t>
      </w:r>
    </w:p>
    <w:p w14:paraId="358750FC" w14:textId="43921A0C" w:rsidR="00A05467" w:rsidRDefault="00AB1576" w:rsidP="00A05467">
      <w:pPr>
        <w:bidi w:val="0"/>
        <w:jc w:val="both"/>
      </w:pPr>
      <w:r>
        <w:t>We cannot really change temperature and pH.</w:t>
      </w:r>
    </w:p>
    <w:p w14:paraId="4ED52B39" w14:textId="37EFD818" w:rsidR="000A1714" w:rsidRDefault="000A1714" w:rsidP="000A1714">
      <w:pPr>
        <w:pStyle w:val="ListParagraph"/>
        <w:bidi w:val="0"/>
        <w:ind w:left="1800"/>
        <w:jc w:val="both"/>
      </w:pPr>
      <w:r>
        <w:t>Side reactions must be avoided</w:t>
      </w:r>
      <w:r w:rsidR="00410C2C">
        <w:t>…</w:t>
      </w:r>
    </w:p>
    <w:p w14:paraId="716001D8" w14:textId="021923A9" w:rsidR="009D0BC2" w:rsidRDefault="009D0BC2" w:rsidP="009D0BC2">
      <w:pPr>
        <w:pStyle w:val="ListParagraph"/>
        <w:bidi w:val="0"/>
        <w:ind w:left="1800"/>
        <w:jc w:val="both"/>
      </w:pPr>
      <w:r>
        <w:t>Beta-hydrsomething and double bond migration…</w:t>
      </w:r>
    </w:p>
    <w:p w14:paraId="042CC004" w14:textId="411A5C89" w:rsidR="00410C2C" w:rsidRDefault="00410C2C" w:rsidP="00410C2C">
      <w:pPr>
        <w:pStyle w:val="ListParagraph"/>
        <w:bidi w:val="0"/>
        <w:ind w:left="1800"/>
        <w:jc w:val="both"/>
      </w:pPr>
      <w:r>
        <w:t>R</w:t>
      </w:r>
      <w:r w:rsidRPr="00410C2C">
        <w:t>emoving ruthenium from the final products</w:t>
      </w:r>
      <w:r w:rsidR="00D866BC">
        <w:t>…</w:t>
      </w:r>
    </w:p>
    <w:p w14:paraId="6444951F" w14:textId="6F49AE9B" w:rsidR="006E4485" w:rsidRPr="00D866BC" w:rsidRDefault="006E4485" w:rsidP="006E4485">
      <w:pPr>
        <w:pStyle w:val="ListParagraph"/>
        <w:numPr>
          <w:ilvl w:val="1"/>
          <w:numId w:val="1"/>
        </w:numPr>
        <w:bidi w:val="0"/>
        <w:jc w:val="both"/>
        <w:rPr>
          <w:highlight w:val="yellow"/>
        </w:rPr>
      </w:pPr>
      <w:r w:rsidRPr="00D866BC">
        <w:rPr>
          <w:highlight w:val="yellow"/>
        </w:rPr>
        <w:t>Reaction-specific</w:t>
      </w:r>
      <w:r w:rsidR="00497433">
        <w:rPr>
          <w:highlight w:val="yellow"/>
        </w:rPr>
        <w:t xml:space="preserve"> challenges</w:t>
      </w:r>
    </w:p>
    <w:p w14:paraId="23BB7E13" w14:textId="166D8A15" w:rsidR="00D866BC" w:rsidRDefault="00D866BC" w:rsidP="00C40D2C">
      <w:pPr>
        <w:pStyle w:val="ListParagraph"/>
        <w:bidi w:val="0"/>
        <w:ind w:left="1800"/>
        <w:jc w:val="both"/>
      </w:pPr>
      <w:r>
        <w:t>Two ways I can explain this:</w:t>
      </w:r>
    </w:p>
    <w:p w14:paraId="19A633A6" w14:textId="4F182FEA" w:rsidR="00C40D2C" w:rsidRDefault="00D866BC" w:rsidP="00D866BC">
      <w:pPr>
        <w:pStyle w:val="ListParagraph"/>
        <w:numPr>
          <w:ilvl w:val="1"/>
          <w:numId w:val="5"/>
        </w:numPr>
        <w:bidi w:val="0"/>
        <w:jc w:val="both"/>
      </w:pPr>
      <w:r>
        <w:t>the common grouping of OM reactions – RCM, CM, ROMP and ADMET, which is better and which present challenges</w:t>
      </w:r>
    </w:p>
    <w:p w14:paraId="21205B8E" w14:textId="06A7C647" w:rsidR="00D866BC" w:rsidRDefault="00D866BC" w:rsidP="00D866BC">
      <w:pPr>
        <w:pStyle w:val="ListParagraph"/>
        <w:numPr>
          <w:ilvl w:val="1"/>
          <w:numId w:val="5"/>
        </w:numPr>
        <w:bidi w:val="0"/>
        <w:jc w:val="both"/>
      </w:pPr>
      <w:r>
        <w:t>effect of specific groups in biological reactants, such as OH in sugars, steric hindrance in proteins, side reactions and reactivity of products</w:t>
      </w:r>
    </w:p>
    <w:p w14:paraId="3619B0BC" w14:textId="77777777" w:rsidR="006E4485" w:rsidRPr="00D866BC" w:rsidRDefault="006E4485" w:rsidP="006E4485">
      <w:pPr>
        <w:pStyle w:val="ListParagraph"/>
        <w:numPr>
          <w:ilvl w:val="1"/>
          <w:numId w:val="1"/>
        </w:numPr>
        <w:bidi w:val="0"/>
        <w:jc w:val="both"/>
        <w:rPr>
          <w:highlight w:val="green"/>
        </w:rPr>
      </w:pPr>
      <w:r w:rsidRPr="00D866BC">
        <w:rPr>
          <w:highlight w:val="green"/>
        </w:rPr>
        <w:t>Water-related</w:t>
      </w:r>
    </w:p>
    <w:p w14:paraId="129DFA69" w14:textId="179219ED" w:rsidR="006E4485" w:rsidRPr="00D866BC" w:rsidRDefault="000A1714" w:rsidP="006E4485">
      <w:pPr>
        <w:pStyle w:val="ListParagraph"/>
        <w:numPr>
          <w:ilvl w:val="1"/>
          <w:numId w:val="1"/>
        </w:numPr>
        <w:bidi w:val="0"/>
        <w:jc w:val="both"/>
        <w:rPr>
          <w:highlight w:val="blue"/>
        </w:rPr>
      </w:pPr>
      <w:r w:rsidRPr="00D866BC">
        <w:rPr>
          <w:highlight w:val="blue"/>
        </w:rPr>
        <w:t>B</w:t>
      </w:r>
      <w:r w:rsidR="006E4485" w:rsidRPr="00D866BC">
        <w:rPr>
          <w:highlight w:val="blue"/>
        </w:rPr>
        <w:t>iology-related</w:t>
      </w:r>
    </w:p>
    <w:p w14:paraId="2D3A0431" w14:textId="43488931" w:rsidR="000A1714" w:rsidRDefault="00D866BC" w:rsidP="000A1714">
      <w:pPr>
        <w:pStyle w:val="ListParagraph"/>
        <w:bidi w:val="0"/>
        <w:ind w:left="1800"/>
        <w:jc w:val="both"/>
      </w:pPr>
      <w:r>
        <w:t>The reaction must be fast…</w:t>
      </w:r>
    </w:p>
    <w:p w14:paraId="443B94C0" w14:textId="75FEC9F8" w:rsidR="00D866BC" w:rsidRDefault="00D866BC" w:rsidP="00D866BC">
      <w:pPr>
        <w:pStyle w:val="ListParagraph"/>
        <w:bidi w:val="0"/>
        <w:ind w:left="1800"/>
        <w:jc w:val="both"/>
      </w:pPr>
      <w:r>
        <w:t>Low substrate concentration…</w:t>
      </w:r>
    </w:p>
    <w:p w14:paraId="68173F78" w14:textId="4411E9A9" w:rsidR="00D866BC" w:rsidRDefault="00D866BC" w:rsidP="00D866BC">
      <w:pPr>
        <w:pStyle w:val="ListParagraph"/>
        <w:bidi w:val="0"/>
        <w:ind w:left="1800"/>
        <w:jc w:val="both"/>
      </w:pPr>
      <w:r>
        <w:t xml:space="preserve">Specificity </w:t>
      </w:r>
    </w:p>
    <w:p w14:paraId="337F75AE" w14:textId="22D46293" w:rsidR="00D866BC" w:rsidRDefault="00D866BC" w:rsidP="00D866BC">
      <w:pPr>
        <w:pStyle w:val="ListParagraph"/>
        <w:bidi w:val="0"/>
        <w:ind w:left="1800"/>
        <w:jc w:val="both"/>
      </w:pPr>
      <w:r>
        <w:t>That damned GSH</w:t>
      </w:r>
    </w:p>
    <w:p w14:paraId="649989D8" w14:textId="1BDEE232" w:rsidR="00D866BC" w:rsidRDefault="00D866BC" w:rsidP="00D866BC">
      <w:pPr>
        <w:pStyle w:val="ListParagraph"/>
        <w:bidi w:val="0"/>
        <w:ind w:left="1800"/>
        <w:jc w:val="both"/>
      </w:pPr>
      <w:r>
        <w:t>Poisoning the organism</w:t>
      </w:r>
      <w:r w:rsidR="00931D2C">
        <w:t xml:space="preserve"> - Ru is usually considered toxic and carcinogenic :(</w:t>
      </w:r>
    </w:p>
    <w:p w14:paraId="50E98D06" w14:textId="4123A3D6" w:rsidR="00D866BC" w:rsidRDefault="00D866BC" w:rsidP="00D866BC">
      <w:pPr>
        <w:pStyle w:val="ListParagraph"/>
        <w:bidi w:val="0"/>
        <w:ind w:left="1800"/>
        <w:jc w:val="both"/>
      </w:pPr>
      <w:r>
        <w:t>Catalyst poisoning, decomposition, chelation and aggregation</w:t>
      </w:r>
    </w:p>
    <w:p w14:paraId="587FD13C" w14:textId="34354EED" w:rsidR="00D866BC" w:rsidRDefault="00D866BC" w:rsidP="00D866BC">
      <w:pPr>
        <w:pStyle w:val="ListParagraph"/>
        <w:bidi w:val="0"/>
        <w:ind w:left="1800"/>
        <w:jc w:val="both"/>
      </w:pPr>
      <w:r>
        <w:t>Probably more about it in my summaries</w:t>
      </w:r>
    </w:p>
    <w:p w14:paraId="519C4704" w14:textId="77777777" w:rsidR="006E4485" w:rsidRDefault="006E4485" w:rsidP="006E4485">
      <w:pPr>
        <w:pStyle w:val="ListParagraph"/>
        <w:numPr>
          <w:ilvl w:val="1"/>
          <w:numId w:val="1"/>
        </w:numPr>
        <w:bidi w:val="0"/>
        <w:jc w:val="both"/>
        <w:rPr>
          <w:highlight w:val="red"/>
        </w:rPr>
      </w:pPr>
      <w:r w:rsidRPr="00D866BC">
        <w:rPr>
          <w:highlight w:val="red"/>
        </w:rPr>
        <w:t xml:space="preserve">use-case-specific (e.g. blood/cancer environment)  </w:t>
      </w:r>
    </w:p>
    <w:p w14:paraId="24EFE914" w14:textId="1B09654B" w:rsidR="00D866BC" w:rsidRPr="00D866BC" w:rsidRDefault="00D866BC" w:rsidP="00D866BC">
      <w:pPr>
        <w:pStyle w:val="ListParagraph"/>
        <w:bidi w:val="0"/>
        <w:ind w:left="1800"/>
        <w:jc w:val="both"/>
      </w:pPr>
      <w:r w:rsidRPr="00D866BC">
        <w:t>componentization of the reaction to the correct organ/organelle inside the cell</w:t>
      </w:r>
    </w:p>
    <w:p w14:paraId="735D391F" w14:textId="77777777" w:rsidR="006E4485" w:rsidRDefault="006E4485" w:rsidP="002C25F4">
      <w:pPr>
        <w:pStyle w:val="Heading2"/>
      </w:pPr>
      <w:r w:rsidRPr="002C25F4">
        <w:rPr>
          <w:rStyle w:val="Heading2Char"/>
        </w:rPr>
        <w:t>Solutions</w:t>
      </w:r>
      <w:r>
        <w:t xml:space="preserve"> (can include lessons from other biorthogonal reactions)</w:t>
      </w:r>
    </w:p>
    <w:p w14:paraId="79024A60" w14:textId="77777777" w:rsidR="006E4485" w:rsidRPr="00FF10A2" w:rsidRDefault="006E4485" w:rsidP="00FF10A2">
      <w:pPr>
        <w:pStyle w:val="Heading3"/>
      </w:pPr>
      <w:r w:rsidRPr="00FF10A2">
        <w:t>Catalysts</w:t>
      </w:r>
    </w:p>
    <w:p w14:paraId="4083A2E8" w14:textId="50D252D6" w:rsidR="00931D2C" w:rsidRDefault="00D866BC" w:rsidP="00931D2C">
      <w:pPr>
        <w:pStyle w:val="ListParagraph"/>
        <w:bidi w:val="0"/>
        <w:ind w:left="1800"/>
        <w:jc w:val="both"/>
      </w:pPr>
      <w:r>
        <w:t>Generally, why Ru is the best and the rest suc</w:t>
      </w:r>
      <w:r w:rsidR="00931D2C">
        <w:t>k</w:t>
      </w:r>
    </w:p>
    <w:p w14:paraId="67EC4CF1" w14:textId="77777777" w:rsidR="006E4485" w:rsidRPr="00931D2C" w:rsidRDefault="006E4485" w:rsidP="006E4485">
      <w:pPr>
        <w:pStyle w:val="ListParagraph"/>
        <w:numPr>
          <w:ilvl w:val="2"/>
          <w:numId w:val="1"/>
        </w:numPr>
        <w:bidi w:val="0"/>
        <w:jc w:val="both"/>
        <w:rPr>
          <w:highlight w:val="yellow"/>
        </w:rPr>
      </w:pPr>
      <w:r w:rsidRPr="00931D2C">
        <w:rPr>
          <w:highlight w:val="yellow"/>
        </w:rPr>
        <w:t>GHII (and III?) catalysts</w:t>
      </w:r>
    </w:p>
    <w:p w14:paraId="106FF661" w14:textId="7F244AAF" w:rsidR="00931D2C" w:rsidRDefault="00931D2C" w:rsidP="00931D2C">
      <w:pPr>
        <w:pStyle w:val="ListParagraph"/>
        <w:bidi w:val="0"/>
        <w:ind w:left="2520"/>
        <w:jc w:val="both"/>
      </w:pPr>
      <w:r>
        <w:t>Why carbenes are the best and phosphines suck</w:t>
      </w:r>
    </w:p>
    <w:p w14:paraId="1C48D257" w14:textId="53E6BA24" w:rsidR="00931D2C" w:rsidRDefault="00931D2C" w:rsidP="00931D2C">
      <w:pPr>
        <w:pStyle w:val="ListParagraph"/>
        <w:bidi w:val="0"/>
        <w:ind w:left="2520"/>
        <w:jc w:val="both"/>
      </w:pPr>
      <w:r>
        <w:t>Short introduction to GHII, GHIII, AquaMet and Grela with comparative studies of their STABILITY, TON, TOF and selectivity in some reactions</w:t>
      </w:r>
    </w:p>
    <w:p w14:paraId="6463D76E" w14:textId="64108ABB" w:rsidR="000B15A9" w:rsidRDefault="000B15A9" w:rsidP="00E87014">
      <w:pPr>
        <w:bidi w:val="0"/>
        <w:jc w:val="both"/>
      </w:pPr>
      <w:r>
        <w:t xml:space="preserve">Choosing the catalyst is one of the most important decisions when planning a synthesis, and in the case of in-vivo olefin metathesis it must </w:t>
      </w:r>
      <w:r w:rsidR="008117FE">
        <w:t>fit</w:t>
      </w:r>
      <w:r>
        <w:t xml:space="preserve"> the strict requirements of the reaction – </w:t>
      </w:r>
      <w:r w:rsidR="009233D0">
        <w:t>rapid and efficient catalysis in low concentration, specificity for reactants and selectivity for products, being biologically inert and non-toxic</w:t>
      </w:r>
      <w:r w:rsidR="00567C13">
        <w:t xml:space="preserve"> and localization to the relevant tissues and cellular components.</w:t>
      </w:r>
    </w:p>
    <w:p w14:paraId="18D6ED7E" w14:textId="423A7091" w:rsidR="0027394C" w:rsidRDefault="0027394C" w:rsidP="0027394C">
      <w:pPr>
        <w:bidi w:val="0"/>
        <w:jc w:val="both"/>
      </w:pPr>
      <w:r>
        <w:lastRenderedPageBreak/>
        <w:t>Ru</w:t>
      </w:r>
      <w:r w:rsidR="0000649F">
        <w:t xml:space="preserve"> complexes are </w:t>
      </w:r>
      <w:r w:rsidR="00872C65">
        <w:t>established to be the most stable and functional</w:t>
      </w:r>
      <w:r w:rsidR="00B15FDB">
        <w:t xml:space="preserve"> </w:t>
      </w:r>
      <w:r w:rsidR="00872C65">
        <w:t>group</w:t>
      </w:r>
      <w:r w:rsidR="00B15FDB">
        <w:t>- and water-</w:t>
      </w:r>
      <w:r w:rsidR="00872C65">
        <w:t xml:space="preserve"> tolerant olefin metathesis catalysts,</w:t>
      </w:r>
      <w:r w:rsidR="00872C65">
        <w:rPr>
          <w:vertAlign w:val="superscript"/>
        </w:rPr>
        <w:t>??</w:t>
      </w:r>
      <w:r w:rsidR="00872C65">
        <w:t xml:space="preserve"> and most </w:t>
      </w:r>
      <w:r w:rsidR="00B15FDB">
        <w:t xml:space="preserve">recent research in the field of aqueous olefin metathesis involved different ruthenium </w:t>
      </w:r>
      <w:r w:rsidR="00FC749A">
        <w:t>compounds</w:t>
      </w:r>
      <w:r w:rsidR="00B15FDB">
        <w:t>.</w:t>
      </w:r>
      <w:r w:rsidR="00B15FDB">
        <w:rPr>
          <w:vertAlign w:val="superscript"/>
        </w:rPr>
        <w:t>?</w:t>
      </w:r>
      <w:r w:rsidR="00B15FDB">
        <w:t xml:space="preserve"> Their early versions, with phosphine ligands, were very air sensitive and could catalyze a limited range of metathesis reactions, even when equipped with cationic groups to increase solubility.</w:t>
      </w:r>
      <w:r w:rsidR="00B15FDB">
        <w:rPr>
          <w:vertAlign w:val="superscript"/>
        </w:rPr>
        <w:t>4 quoted?</w:t>
      </w:r>
      <w:r w:rsidR="00B15FDB">
        <w:t xml:space="preserve"> </w:t>
      </w:r>
      <w:r w:rsidR="0067774E">
        <w:t>Replacing one phosphine ligand with NHC and the other with an isopropoxy group bound to the benz</w:t>
      </w:r>
      <w:r w:rsidR="0056124C">
        <w:t>ylidene</w:t>
      </w:r>
      <w:r w:rsidR="0069521A">
        <w:t xml:space="preserve"> creates the Grubbs-Hoveyda second generation catalyst (GHII),</w:t>
      </w:r>
      <w:r w:rsidR="00801450">
        <w:t xml:space="preserve"> blab la bla (figure Xa)</w:t>
      </w:r>
      <w:r w:rsidR="0069521A">
        <w:t xml:space="preserve"> </w:t>
      </w:r>
    </w:p>
    <w:p w14:paraId="4EE4B47F" w14:textId="1EABFA70" w:rsidR="00E87014" w:rsidRDefault="00FF10A2" w:rsidP="00E87014">
      <w:pPr>
        <w:bidi w:val="0"/>
        <w:jc w:val="both"/>
      </w:pPr>
      <w:r>
        <w:t xml:space="preserve">Despite these advantages, GHII catalysts have glaring </w:t>
      </w:r>
      <w:r w:rsidR="004741AA">
        <w:t>drawbacks</w:t>
      </w:r>
      <w:r>
        <w:t xml:space="preserve"> – the cellular toxicity of ruthenium, the poor solubility of the hydrophobic catalyst in aqueous solutions</w:t>
      </w:r>
    </w:p>
    <w:p w14:paraId="6F50B45B" w14:textId="77777777" w:rsidR="006E4485" w:rsidRPr="00931D2C" w:rsidRDefault="006E4485" w:rsidP="006E4485">
      <w:pPr>
        <w:pStyle w:val="ListParagraph"/>
        <w:numPr>
          <w:ilvl w:val="2"/>
          <w:numId w:val="1"/>
        </w:numPr>
        <w:bidi w:val="0"/>
        <w:jc w:val="both"/>
        <w:rPr>
          <w:highlight w:val="blue"/>
        </w:rPr>
      </w:pPr>
      <w:r w:rsidRPr="00931D2C">
        <w:rPr>
          <w:highlight w:val="blue"/>
        </w:rPr>
        <w:t>Charged catalysts</w:t>
      </w:r>
    </w:p>
    <w:p w14:paraId="02251518" w14:textId="77777777" w:rsidR="00EF7B5B" w:rsidRDefault="00EF7B5B" w:rsidP="003E40DC">
      <w:pPr>
        <w:bidi w:val="0"/>
        <w:jc w:val="both"/>
      </w:pPr>
    </w:p>
    <w:p w14:paraId="12C18D0D" w14:textId="1BDBC735" w:rsidR="00EF7B5B" w:rsidRDefault="00EF7B5B" w:rsidP="00EF7B5B">
      <w:pPr>
        <w:bidi w:val="0"/>
        <w:jc w:val="both"/>
      </w:pPr>
      <w:r>
        <w:t>Article 21</w:t>
      </w:r>
    </w:p>
    <w:p w14:paraId="3023ABE3" w14:textId="63A6D836" w:rsidR="00931D2C" w:rsidRDefault="00931D2C" w:rsidP="00EF7B5B">
      <w:pPr>
        <w:bidi w:val="0"/>
        <w:jc w:val="both"/>
      </w:pPr>
      <w:r>
        <w:t>Cationic and anionic and what's good about them, should compare to previous point's catalyst</w:t>
      </w:r>
      <w:r w:rsidR="00E33E32">
        <w:t>s</w:t>
      </w:r>
      <w:r>
        <w:t xml:space="preserve"> in same/similar table</w:t>
      </w:r>
    </w:p>
    <w:p w14:paraId="31521B51" w14:textId="6953E523" w:rsidR="00801450" w:rsidRDefault="003E40DC" w:rsidP="00801450">
      <w:pPr>
        <w:bidi w:val="0"/>
        <w:jc w:val="both"/>
      </w:pPr>
      <w:commentRangeStart w:id="8"/>
      <w:r>
        <w:t>Some downside</w:t>
      </w:r>
      <w:r w:rsidR="00E30202">
        <w:t>s</w:t>
      </w:r>
      <w:r>
        <w:t xml:space="preserve"> of neutral, hydrophobic catalysts can be resolved by attaching ionic moieties. </w:t>
      </w:r>
      <w:r w:rsidR="00801450">
        <w:t xml:space="preserve">AquaMet </w:t>
      </w:r>
      <w:commentRangeEnd w:id="8"/>
      <w:r w:rsidR="00710332">
        <w:rPr>
          <w:rStyle w:val="CommentReference"/>
        </w:rPr>
        <w:commentReference w:id="8"/>
      </w:r>
      <w:r w:rsidR="00801450">
        <w:t xml:space="preserve">is a GHII catalyst in which a </w:t>
      </w:r>
      <w:r w:rsidR="00801450">
        <w:t>quaternary</w:t>
      </w:r>
      <w:r w:rsidR="00801450">
        <w:t xml:space="preserve"> ammonium</w:t>
      </w:r>
      <w:r w:rsidR="00801450">
        <w:t xml:space="preserve"> group is attached to the N-heterocyclic carbine and improves the solubility in water. It was successfully employed in physiological conditions</w:t>
      </w:r>
      <w:r w:rsidR="00201824">
        <w:rPr>
          <w:vertAlign w:val="superscript"/>
        </w:rPr>
        <w:t xml:space="preserve"> </w:t>
      </w:r>
      <w:r w:rsidR="00201824">
        <w:t>and is moderately cytotoxic, significantly impacting HeLa cells viability in concentrations above 0.2 mg/mL</w:t>
      </w:r>
      <w:r w:rsidR="00D2477B">
        <w:t xml:space="preserve"> and not harming 1MEA cells even in greater concentrations</w:t>
      </w:r>
      <w:r w:rsidR="00201824">
        <w:t>.</w:t>
      </w:r>
      <w:r w:rsidR="00201824">
        <w:rPr>
          <w:vertAlign w:val="superscript"/>
        </w:rPr>
        <w:t>23</w:t>
      </w:r>
      <w:r w:rsidR="00201824">
        <w:t xml:space="preserve"> </w:t>
      </w:r>
    </w:p>
    <w:p w14:paraId="4D3064A6" w14:textId="235F824B" w:rsidR="00330EEF" w:rsidRPr="00323D29" w:rsidRDefault="00330EEF" w:rsidP="00330EEF">
      <w:pPr>
        <w:bidi w:val="0"/>
        <w:jc w:val="both"/>
      </w:pPr>
      <w:r>
        <w:t>However, cationic</w:t>
      </w:r>
      <w:r w:rsidR="004B5C43">
        <w:t>-ligand bearing</w:t>
      </w:r>
      <w:r>
        <w:t xml:space="preserve"> catalyst like AquaMet have drawbacks as well </w:t>
      </w:r>
      <w:r w:rsidR="004B5C43">
        <w:t>–</w:t>
      </w:r>
      <w:r>
        <w:t xml:space="preserve"> </w:t>
      </w:r>
      <w:r w:rsidR="004B5C43">
        <w:t>they may acidify the water around the ruthenium complex, accelerating its decomposition and fail to catalyze substrates on nucleic acids because of the attraction between the cationic group and the negatively-charged phosphate backbone (12 quotes).</w:t>
      </w:r>
      <w:r w:rsidR="00E13B16">
        <w:t xml:space="preserve"> Anionic tags may resolve this issue – cyclic alkylaminocarbene (CAAC) ligands functionalized with a sulfonate tag showed greatly improved stability in water </w:t>
      </w:r>
      <w:r w:rsidR="00323D29">
        <w:t>–</w:t>
      </w:r>
      <w:r w:rsidR="00E13B16">
        <w:t xml:space="preserve"> </w:t>
      </w:r>
      <w:r w:rsidR="00323D29">
        <w:t>the AquaMet aqua species, which is formed immediately in water, decays over 2 hours whereas the anionic catalyst remains over 24 hours.</w:t>
      </w:r>
      <w:r w:rsidR="00323D29">
        <w:rPr>
          <w:vertAlign w:val="superscript"/>
        </w:rPr>
        <w:t>11</w:t>
      </w:r>
      <w:r w:rsidR="00323D29">
        <w:t xml:space="preserve"> They also managed to achieve attractive TONs (70-1520, depending on the reaction) for RCM and CM of various challenging substrates like the sugar </w:t>
      </w:r>
      <w:r w:rsidR="00323D29" w:rsidRPr="00323D29">
        <w:t>galactopyranoside</w:t>
      </w:r>
      <w:r w:rsidR="00323D29">
        <w:t xml:space="preserve"> and uridine (a sentence about potential). The reactions proceeded in 70</w:t>
      </w:r>
      <w:r w:rsidR="00323D29">
        <w:rPr>
          <w:rFonts w:ascii="Cambria Math" w:hAnsi="Cambria Math"/>
        </w:rPr>
        <w:t>˚</w:t>
      </w:r>
      <w:r w:rsidR="00323D29">
        <w:t>C and in the presence of NaCl and should therefore tested in more realistic biological conditions.</w:t>
      </w:r>
    </w:p>
    <w:p w14:paraId="1D32BB86" w14:textId="35EEC7EB" w:rsidR="003E40DC" w:rsidRDefault="003E40DC" w:rsidP="003E40DC">
      <w:pPr>
        <w:bidi w:val="0"/>
        <w:jc w:val="both"/>
      </w:pPr>
    </w:p>
    <w:p w14:paraId="0623FC1A" w14:textId="452222E9" w:rsidR="006E4485" w:rsidRDefault="006E4485" w:rsidP="006E4485">
      <w:pPr>
        <w:pStyle w:val="ListParagraph"/>
        <w:numPr>
          <w:ilvl w:val="2"/>
          <w:numId w:val="1"/>
        </w:numPr>
        <w:bidi w:val="0"/>
        <w:jc w:val="both"/>
        <w:rPr>
          <w:highlight w:val="yellow"/>
        </w:rPr>
      </w:pPr>
      <w:r w:rsidRPr="00931D2C">
        <w:rPr>
          <w:highlight w:val="yellow"/>
        </w:rPr>
        <w:t>Metalloproteins</w:t>
      </w:r>
      <w:r w:rsidR="00BD2128">
        <w:rPr>
          <w:highlight w:val="yellow"/>
        </w:rPr>
        <w:t>/metalloenzymes</w:t>
      </w:r>
      <w:r w:rsidRPr="00931D2C">
        <w:rPr>
          <w:highlight w:val="yellow"/>
        </w:rPr>
        <w:t xml:space="preserve"> – design, synthesis and usage</w:t>
      </w:r>
      <w:r w:rsidR="009208B3">
        <w:rPr>
          <w:highlight w:val="yellow"/>
        </w:rPr>
        <w:t>+examples</w:t>
      </w:r>
    </w:p>
    <w:p w14:paraId="1EED4E6A" w14:textId="1609698C" w:rsidR="00EF7B5B" w:rsidRDefault="00EF7B5B" w:rsidP="003E40DC">
      <w:pPr>
        <w:bidi w:val="0"/>
        <w:jc w:val="both"/>
      </w:pPr>
      <w:r>
        <w:t>Article 21</w:t>
      </w:r>
    </w:p>
    <w:p w14:paraId="7BCCF381" w14:textId="072C949C" w:rsidR="003E40DC" w:rsidRDefault="003E40DC" w:rsidP="00EF7B5B">
      <w:pPr>
        <w:bidi w:val="0"/>
        <w:jc w:val="both"/>
      </w:pPr>
    </w:p>
    <w:p w14:paraId="47B22F43" w14:textId="77777777" w:rsidR="002C25F4" w:rsidRDefault="002C25F4" w:rsidP="002C25F4">
      <w:pPr>
        <w:bidi w:val="0"/>
        <w:jc w:val="both"/>
      </w:pPr>
    </w:p>
    <w:p w14:paraId="43463552" w14:textId="77777777" w:rsidR="002C25F4" w:rsidRDefault="002C25F4" w:rsidP="002C25F4">
      <w:pPr>
        <w:bidi w:val="0"/>
        <w:jc w:val="both"/>
      </w:pPr>
    </w:p>
    <w:p w14:paraId="5EDEFB7F" w14:textId="47FE92CB" w:rsidR="002C25F4" w:rsidRPr="005502F8" w:rsidRDefault="002C25F4" w:rsidP="002C25F4">
      <w:pPr>
        <w:bidi w:val="0"/>
        <w:jc w:val="both"/>
      </w:pPr>
      <w:r>
        <w:t xml:space="preserve">Another promising technology for catalyst uptake is </w:t>
      </w:r>
      <w:r w:rsidR="006C1AA8">
        <w:t>through</w:t>
      </w:r>
      <w:r>
        <w:t xml:space="preserve"> a polymerso</w:t>
      </w:r>
      <w:r w:rsidR="00CA4D46">
        <w:t>m</w:t>
      </w:r>
      <w:r>
        <w:t xml:space="preserve">e – </w:t>
      </w:r>
      <w:r w:rsidR="00CA4D46">
        <w:t xml:space="preserve">an </w:t>
      </w:r>
      <w:r>
        <w:t xml:space="preserve">artificial organelle composed of a polymer and the catalyst. In a recent study, a polyethylene glycol </w:t>
      </w:r>
      <w:r>
        <w:lastRenderedPageBreak/>
        <w:t xml:space="preserve">(PEG) derivative was conjugated – </w:t>
      </w:r>
      <w:r w:rsidR="004C38E5">
        <w:t xml:space="preserve">either </w:t>
      </w:r>
      <w:r>
        <w:t xml:space="preserve">covalently or through hydrophobic interactions – to HGII catalyst </w:t>
      </w:r>
      <w:r w:rsidR="004C38E5">
        <w:t>to form polymersomes.</w:t>
      </w:r>
      <w:r w:rsidR="006C1AA8">
        <w:t xml:space="preserve"> These were successfully internalized by HeLa cells</w:t>
      </w:r>
      <w:r w:rsidR="00A9205C">
        <w:t>, localized in the lysosome</w:t>
      </w:r>
      <w:r w:rsidR="006C1AA8">
        <w:t xml:space="preserve"> and catalyzed RCM formation of umbelliferone inside the cell.</w:t>
      </w:r>
      <w:r w:rsidR="00CA0153">
        <w:t xml:space="preserve"> Th</w:t>
      </w:r>
      <w:r w:rsidR="00C06F4B">
        <w:t xml:space="preserve">e </w:t>
      </w:r>
      <w:r w:rsidR="009D2824">
        <w:t xml:space="preserve">combined effect of </w:t>
      </w:r>
      <w:r w:rsidR="00C06F4B">
        <w:t xml:space="preserve">encapsulation </w:t>
      </w:r>
      <w:r w:rsidR="009D2824">
        <w:t xml:space="preserve">and localization inside an intracellular organelle </w:t>
      </w:r>
      <w:r w:rsidR="00CA0153">
        <w:t xml:space="preserve">both protects the cell from the </w:t>
      </w:r>
      <w:r w:rsidR="007000F5">
        <w:t>cytotoxic</w:t>
      </w:r>
      <w:r w:rsidR="009D2824">
        <w:t>ity</w:t>
      </w:r>
      <w:r w:rsidR="00CA0153">
        <w:t xml:space="preserve"> of free GHII catalysts and prevents decomposition of the catalyst </w:t>
      </w:r>
      <w:r w:rsidR="00A81620">
        <w:t xml:space="preserve">by cellular </w:t>
      </w:r>
      <w:r w:rsidR="00996E08">
        <w:t>compounds</w:t>
      </w:r>
      <w:r w:rsidR="00A81620">
        <w:t xml:space="preserve"> like GSH.</w:t>
      </w:r>
      <w:r w:rsidR="005502F8">
        <w:t xml:space="preserve"> It should be noted that the conversion rate of this reaction was quite low, perhaps due to said encapsulation isolating the catalyst from the substrate.</w:t>
      </w:r>
      <w:r w:rsidR="005502F8">
        <w:rPr>
          <w:vertAlign w:val="superscript"/>
        </w:rPr>
        <w:t>22</w:t>
      </w:r>
      <w:r w:rsidR="005502F8">
        <w:t xml:space="preserve"> Further optimization is necessary to adapt this interesting technique to other metathesis reactions and in a wider scale.</w:t>
      </w:r>
    </w:p>
    <w:p w14:paraId="7D55A75A" w14:textId="0DDABE52" w:rsidR="00931D2C" w:rsidRPr="00931D2C" w:rsidRDefault="00931D2C" w:rsidP="00931D2C">
      <w:pPr>
        <w:pStyle w:val="ListParagraph"/>
        <w:numPr>
          <w:ilvl w:val="2"/>
          <w:numId w:val="1"/>
        </w:numPr>
        <w:bidi w:val="0"/>
        <w:jc w:val="both"/>
        <w:rPr>
          <w:highlight w:val="red"/>
        </w:rPr>
      </w:pPr>
      <w:r w:rsidRPr="00931D2C">
        <w:rPr>
          <w:highlight w:val="red"/>
        </w:rPr>
        <w:t>Getting rid of the catalyst afterward</w:t>
      </w:r>
    </w:p>
    <w:p w14:paraId="38E0C4EC" w14:textId="3F1C41D8" w:rsidR="000A1714" w:rsidRPr="006C7A9C" w:rsidRDefault="000A1714" w:rsidP="000A1714">
      <w:pPr>
        <w:pStyle w:val="ListParagraph"/>
        <w:numPr>
          <w:ilvl w:val="1"/>
          <w:numId w:val="1"/>
        </w:numPr>
        <w:bidi w:val="0"/>
        <w:jc w:val="both"/>
        <w:rPr>
          <w:highlight w:val="darkBlue"/>
        </w:rPr>
      </w:pPr>
      <w:r w:rsidRPr="006C7A9C">
        <w:rPr>
          <w:highlight w:val="darkBlue"/>
        </w:rPr>
        <w:t>Biologically relevant conditions and model reactions – choice of substrate and reaction partners</w:t>
      </w:r>
    </w:p>
    <w:p w14:paraId="49799EB0" w14:textId="7F4D6554" w:rsidR="00B44ADD" w:rsidRDefault="00E33E32" w:rsidP="00B44ADD">
      <w:pPr>
        <w:pStyle w:val="ListParagraph"/>
        <w:bidi w:val="0"/>
        <w:ind w:left="1800"/>
        <w:jc w:val="both"/>
      </w:pPr>
      <w:r w:rsidRPr="00E23DB7">
        <w:rPr>
          <w:highlight w:val="green"/>
        </w:rPr>
        <w:t>Pseudo-amino acids and how to make them</w:t>
      </w:r>
    </w:p>
    <w:p w14:paraId="6726CD0B" w14:textId="718304D4" w:rsidR="00D17317" w:rsidRDefault="00D17317" w:rsidP="00E174E1">
      <w:pPr>
        <w:bidi w:val="0"/>
        <w:jc w:val="both"/>
      </w:pPr>
      <w:r>
        <w:t>Metatheses in which one of the substrates is a peptide or a protein require the incorporation of alkene-containing amino acids, which are unnatural amino acids (UAAs).</w:t>
      </w:r>
      <w:r w:rsidR="00496C13">
        <w:t xml:space="preserve"> This can be achieved chemically – by modifying an existing residue – or genetically.</w:t>
      </w:r>
    </w:p>
    <w:p w14:paraId="35CF2AA7" w14:textId="222A76FD" w:rsidR="00FA40F3" w:rsidRDefault="00FE7D61" w:rsidP="00E174E1">
      <w:pPr>
        <w:bidi w:val="0"/>
        <w:jc w:val="both"/>
      </w:pPr>
      <w:r>
        <w:t xml:space="preserve">Common alkene containing amino acids are </w:t>
      </w:r>
      <w:r w:rsidR="00AA0C66">
        <w:t>depicted</w:t>
      </w:r>
      <w:r>
        <w:t xml:space="preserve"> in figure x. </w:t>
      </w:r>
    </w:p>
    <w:p w14:paraId="51E152A0" w14:textId="6BE1CC90" w:rsidR="00E44A9C" w:rsidRDefault="00E44A9C" w:rsidP="00E174E1">
      <w:pPr>
        <w:bidi w:val="0"/>
        <w:jc w:val="both"/>
      </w:pPr>
      <w:r>
        <w:t>Bla bla chemical modification</w:t>
      </w:r>
    </w:p>
    <w:p w14:paraId="34038FE9" w14:textId="77777777" w:rsidR="00E44A9C" w:rsidRDefault="00E44A9C" w:rsidP="00E44A9C">
      <w:pPr>
        <w:pStyle w:val="ListParagraph"/>
        <w:bidi w:val="0"/>
        <w:ind w:left="1800"/>
        <w:jc w:val="both"/>
      </w:pPr>
    </w:p>
    <w:p w14:paraId="37102E56" w14:textId="263D4742" w:rsidR="00E44A9C" w:rsidRPr="006909AA" w:rsidRDefault="001E1C72" w:rsidP="005C5295">
      <w:pPr>
        <w:bidi w:val="0"/>
        <w:jc w:val="both"/>
      </w:pPr>
      <w:r>
        <w:t xml:space="preserve">Genetic incorporation of UAAs exploits their similarity to natural amino acids which </w:t>
      </w:r>
      <w:r w:rsidR="009B3F40">
        <w:t>allows</w:t>
      </w:r>
      <w:r>
        <w:t xml:space="preserve"> them to occupy the binding site in aminoacyl-tRNA synthetase</w:t>
      </w:r>
      <w:r w:rsidR="00AA0C66">
        <w:t xml:space="preserve">. A study testing the incorporation of </w:t>
      </w:r>
      <w:r w:rsidR="003E48E1">
        <w:t xml:space="preserve">S and Se </w:t>
      </w:r>
      <w:r w:rsidR="00AA0C66">
        <w:t>methionine analogues to E. Coli methionyl-tRNA synthetase revealed that</w:t>
      </w:r>
      <w:r w:rsidR="003E48E1">
        <w:t xml:space="preserve"> the turnover was the highest for S-allylhomocysteine</w:t>
      </w:r>
      <w:r w:rsidR="00A57619">
        <w:t xml:space="preserve"> (Ahc).</w:t>
      </w:r>
      <w:r w:rsidR="00203D63">
        <w:t xml:space="preserve"> Ahc was also incorporated successfully to multiple proteins in-vivo</w:t>
      </w:r>
      <w:r w:rsidR="0001343E">
        <w:t xml:space="preserve"> while keeping their original secondary structure and function</w:t>
      </w:r>
      <w:r w:rsidR="00203D63">
        <w:t xml:space="preserve"> – </w:t>
      </w:r>
      <w:r w:rsidR="007126CB">
        <w:t>look at notes</w:t>
      </w:r>
      <w:r w:rsidR="005C31E7">
        <w:t xml:space="preserve">. Cross-metathesis </w:t>
      </w:r>
      <w:r w:rsidR="003D6527">
        <w:t xml:space="preserve">by GHII catalyst </w:t>
      </w:r>
      <w:r w:rsidR="005C31E7">
        <w:t xml:space="preserve">with allyl alcohol or the fluorescent tracer fluorescein was performed with moderate </w:t>
      </w:r>
      <w:r w:rsidR="00DD3FC5">
        <w:t>to high yields (55%-95%), depending on the protein and the reaction partner.</w:t>
      </w:r>
      <w:r w:rsidR="00D73F56">
        <w:t xml:space="preserve"> The same UAA was also installed into the Fc region of immunoglobulin G in a human cell line and reacted</w:t>
      </w:r>
      <w:r w:rsidR="005C5295">
        <w:t xml:space="preserve"> with olefin-biotin, illustrating the potential use for biotin tagging (??).</w:t>
      </w:r>
    </w:p>
    <w:p w14:paraId="31A2EB61" w14:textId="365EB181" w:rsidR="00E33E32" w:rsidRDefault="00E33E32" w:rsidP="00E33E32">
      <w:pPr>
        <w:pStyle w:val="ListParagraph"/>
        <w:bidi w:val="0"/>
        <w:ind w:left="1800"/>
        <w:jc w:val="both"/>
      </w:pPr>
      <w:r>
        <w:t>The chalcogen effect</w:t>
      </w:r>
    </w:p>
    <w:p w14:paraId="6439BF7E" w14:textId="41E34EE4" w:rsidR="00E33E32" w:rsidRDefault="00E33E32" w:rsidP="00E33E32">
      <w:pPr>
        <w:pStyle w:val="ListParagraph"/>
        <w:bidi w:val="0"/>
        <w:ind w:left="1800"/>
        <w:jc w:val="both"/>
      </w:pPr>
      <w:r>
        <w:t>Steric optimizations</w:t>
      </w:r>
    </w:p>
    <w:p w14:paraId="364E07DC" w14:textId="54D4400F" w:rsidR="00E33E32" w:rsidRDefault="00023038" w:rsidP="00E33E32">
      <w:pPr>
        <w:pStyle w:val="ListParagraph"/>
        <w:bidi w:val="0"/>
        <w:ind w:left="1800"/>
        <w:jc w:val="both"/>
      </w:pPr>
      <w:r>
        <w:t>All the nice things that facilitate reactions</w:t>
      </w:r>
    </w:p>
    <w:p w14:paraId="2D8B1A6F" w14:textId="77777777" w:rsidR="006E4485" w:rsidRPr="006C7A9C" w:rsidRDefault="006E4485" w:rsidP="006E4485">
      <w:pPr>
        <w:pStyle w:val="ListParagraph"/>
        <w:numPr>
          <w:ilvl w:val="1"/>
          <w:numId w:val="1"/>
        </w:numPr>
        <w:bidi w:val="0"/>
        <w:jc w:val="both"/>
        <w:rPr>
          <w:highlight w:val="yellow"/>
        </w:rPr>
      </w:pPr>
      <w:r w:rsidRPr="006C7A9C">
        <w:rPr>
          <w:highlight w:val="yellow"/>
        </w:rPr>
        <w:t>Modification of the environment/additional reagents</w:t>
      </w:r>
    </w:p>
    <w:p w14:paraId="6E9DFF7D" w14:textId="2223EB3B" w:rsidR="00B44ADD" w:rsidRDefault="00B44ADD" w:rsidP="00B44ADD">
      <w:pPr>
        <w:pStyle w:val="ListParagraph"/>
        <w:bidi w:val="0"/>
        <w:ind w:left="1800"/>
        <w:jc w:val="both"/>
      </w:pPr>
      <w:r>
        <w:t>Should be careful that these reagents are chemically and biologically inert</w:t>
      </w:r>
    </w:p>
    <w:p w14:paraId="4C81D583" w14:textId="77777777" w:rsidR="006E4485" w:rsidRPr="006C7A9C" w:rsidRDefault="006E4485" w:rsidP="006E4485">
      <w:pPr>
        <w:pStyle w:val="ListParagraph"/>
        <w:numPr>
          <w:ilvl w:val="1"/>
          <w:numId w:val="1"/>
        </w:numPr>
        <w:bidi w:val="0"/>
        <w:jc w:val="both"/>
        <w:rPr>
          <w:highlight w:val="yellow"/>
        </w:rPr>
      </w:pPr>
      <w:r w:rsidRPr="006C7A9C">
        <w:rPr>
          <w:highlight w:val="yellow"/>
        </w:rPr>
        <w:t>Choice of the organism</w:t>
      </w:r>
    </w:p>
    <w:p w14:paraId="195664F6" w14:textId="10FA82F0" w:rsidR="00B44ADD" w:rsidRDefault="00B44ADD" w:rsidP="00B44ADD">
      <w:pPr>
        <w:bidi w:val="0"/>
        <w:ind w:left="1440"/>
        <w:jc w:val="both"/>
      </w:pPr>
      <w:r>
        <w:t>In case we get to</w:t>
      </w:r>
      <w:r w:rsidR="006C7A9C">
        <w:t xml:space="preserve"> – a good place for lessons from other </w:t>
      </w:r>
      <w:r w:rsidR="000505A9">
        <w:t>reactions</w:t>
      </w:r>
    </w:p>
    <w:p w14:paraId="609FF664" w14:textId="6360E404" w:rsidR="001D3DEA" w:rsidRDefault="001D3DEA" w:rsidP="001D3DEA">
      <w:pPr>
        <w:pStyle w:val="ListParagraph"/>
        <w:numPr>
          <w:ilvl w:val="1"/>
          <w:numId w:val="1"/>
        </w:numPr>
        <w:bidi w:val="0"/>
        <w:jc w:val="both"/>
      </w:pPr>
      <w:r>
        <w:t>Purification and removal of the catalyst</w:t>
      </w:r>
    </w:p>
    <w:p w14:paraId="2BE8DD7B" w14:textId="77777777" w:rsidR="006E4485" w:rsidRDefault="006E4485" w:rsidP="00591C6A">
      <w:pPr>
        <w:pStyle w:val="Heading1"/>
      </w:pPr>
      <w:r>
        <w:t>Discussion</w:t>
      </w:r>
    </w:p>
    <w:p w14:paraId="1F8577D3" w14:textId="77777777" w:rsidR="006E4485" w:rsidRDefault="006E4485" w:rsidP="006E4485">
      <w:pPr>
        <w:pStyle w:val="ListParagraph"/>
        <w:numPr>
          <w:ilvl w:val="0"/>
          <w:numId w:val="3"/>
        </w:numPr>
        <w:bidi w:val="0"/>
        <w:jc w:val="both"/>
      </w:pPr>
      <w:r>
        <w:t>Recommended catalyst for each use-case</w:t>
      </w:r>
    </w:p>
    <w:p w14:paraId="5E529FB5" w14:textId="77777777" w:rsidR="006E4485" w:rsidRDefault="006E4485" w:rsidP="006E4485">
      <w:pPr>
        <w:pStyle w:val="ListParagraph"/>
        <w:numPr>
          <w:ilvl w:val="0"/>
          <w:numId w:val="3"/>
        </w:numPr>
        <w:bidi w:val="0"/>
        <w:jc w:val="both"/>
      </w:pPr>
      <w:r>
        <w:t>Most- and least-fitting OM reactions</w:t>
      </w:r>
    </w:p>
    <w:p w14:paraId="25253885" w14:textId="6CDBDEEA" w:rsidR="00AE3174" w:rsidRDefault="00AE3174" w:rsidP="00AE3174">
      <w:pPr>
        <w:pStyle w:val="ListParagraph"/>
        <w:numPr>
          <w:ilvl w:val="0"/>
          <w:numId w:val="3"/>
        </w:numPr>
        <w:bidi w:val="0"/>
        <w:jc w:val="both"/>
      </w:pPr>
      <w:r>
        <w:t>Challenges that still aren't answered and if I have any possible solutions</w:t>
      </w:r>
    </w:p>
    <w:p w14:paraId="22C5DC97" w14:textId="77777777" w:rsidR="006E4485" w:rsidRDefault="006E4485" w:rsidP="006E4485">
      <w:pPr>
        <w:pStyle w:val="ListParagraph"/>
        <w:numPr>
          <w:ilvl w:val="0"/>
          <w:numId w:val="3"/>
        </w:numPr>
        <w:bidi w:val="0"/>
        <w:jc w:val="both"/>
      </w:pPr>
      <w:r>
        <w:lastRenderedPageBreak/>
        <w:t>More ideas for applications</w:t>
      </w:r>
    </w:p>
    <w:p w14:paraId="1BAC4DAC" w14:textId="77777777" w:rsidR="006E4485" w:rsidRDefault="006E4485" w:rsidP="00591C6A">
      <w:pPr>
        <w:pStyle w:val="Heading1"/>
      </w:pPr>
      <w:r>
        <w:t>Conclusion</w:t>
      </w:r>
    </w:p>
    <w:p w14:paraId="54D595E3" w14:textId="77777777" w:rsidR="001D04D4" w:rsidRDefault="001D04D4">
      <w:pPr>
        <w:rPr>
          <w:rFonts w:hint="cs"/>
          <w:rtl/>
        </w:rPr>
      </w:pPr>
    </w:p>
    <w:p w14:paraId="36F38650" w14:textId="77777777" w:rsidR="00591C6A" w:rsidRDefault="00591C6A">
      <w:pPr>
        <w:rPr>
          <w:rFonts w:hint="cs"/>
          <w:rtl/>
        </w:rPr>
      </w:pPr>
    </w:p>
    <w:p w14:paraId="0D23D7B2" w14:textId="783FD37B" w:rsidR="00591C6A" w:rsidRPr="00591C6A" w:rsidRDefault="00591C6A" w:rsidP="00591C6A">
      <w:pPr>
        <w:pStyle w:val="Heading1"/>
      </w:pPr>
      <w:r w:rsidRPr="00591C6A">
        <w:t>References</w:t>
      </w:r>
    </w:p>
    <w:sectPr w:rsidR="00591C6A" w:rsidRPr="00591C6A" w:rsidSect="0097412C">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adas Gayer" w:date="2024-11-09T09:34:00Z" w:initials="HG">
    <w:p w14:paraId="0079CF83" w14:textId="77777777" w:rsidR="00CF7ED4" w:rsidRDefault="00CF7ED4" w:rsidP="00CF7ED4">
      <w:pPr>
        <w:pStyle w:val="CommentText"/>
        <w:bidi w:val="0"/>
      </w:pPr>
      <w:r>
        <w:rPr>
          <w:rStyle w:val="CommentReference"/>
        </w:rPr>
        <w:annotationRef/>
      </w:r>
      <w:r>
        <w:t xml:space="preserve">In this chapter I'll present very briefly the history of olefin metathesis, general reaction mechanism, metals used to catalyze it, phosphine ligands and carbenes, including Schrock's and Fischer's. Some non-biological industry use-cases might be interesting as well. </w:t>
      </w:r>
    </w:p>
  </w:comment>
  <w:comment w:id="1" w:author="Hadas Gayer" w:date="2024-11-15T10:15:00Z" w:initials="HG">
    <w:p w14:paraId="483491DA" w14:textId="77777777" w:rsidR="00A26DE5" w:rsidRDefault="00A26DE5" w:rsidP="00A26DE5">
      <w:pPr>
        <w:pStyle w:val="CommentText"/>
        <w:bidi w:val="0"/>
      </w:pPr>
      <w:r>
        <w:rPr>
          <w:rStyle w:val="CommentReference"/>
        </w:rPr>
        <w:annotationRef/>
      </w:r>
      <w:r>
        <w:t>Or endeavors?</w:t>
      </w:r>
    </w:p>
  </w:comment>
  <w:comment w:id="2" w:author="Hadas Gayer" w:date="2024-11-02T18:35:00Z" w:initials="HG">
    <w:p w14:paraId="51A824C8" w14:textId="088ED932" w:rsidR="00D839F7" w:rsidRDefault="00D839F7" w:rsidP="00D839F7">
      <w:pPr>
        <w:pStyle w:val="CommentText"/>
        <w:bidi w:val="0"/>
      </w:pPr>
      <w:r>
        <w:rPr>
          <w:rStyle w:val="CommentReference"/>
        </w:rPr>
        <w:annotationRef/>
      </w:r>
      <w:r>
        <w:t>Citiation needed!!!</w:t>
      </w:r>
    </w:p>
  </w:comment>
  <w:comment w:id="3" w:author="Hadas Gayer" w:date="2024-11-09T09:40:00Z" w:initials="HG">
    <w:p w14:paraId="4AD51934" w14:textId="77777777" w:rsidR="007C00A1" w:rsidRDefault="007C00A1" w:rsidP="007C00A1">
      <w:pPr>
        <w:pStyle w:val="CommentText"/>
        <w:bidi w:val="0"/>
      </w:pPr>
      <w:r>
        <w:rPr>
          <w:rStyle w:val="CommentReference"/>
        </w:rPr>
        <w:annotationRef/>
      </w:r>
      <w:r>
        <w:t>catalyse de transformation des olefines par les complexes du tungstene</w:t>
      </w:r>
    </w:p>
  </w:comment>
  <w:comment w:id="4" w:author="Hadas Gayer" w:date="2024-11-06T17:50:00Z" w:initials="HG">
    <w:p w14:paraId="2B92CE55" w14:textId="7840B9B0" w:rsidR="00EC6D63" w:rsidRDefault="00EC6D63" w:rsidP="00EC6D63">
      <w:pPr>
        <w:pStyle w:val="CommentText"/>
        <w:bidi w:val="0"/>
      </w:pPr>
      <w:r>
        <w:rPr>
          <w:rStyle w:val="CommentReference"/>
        </w:rPr>
        <w:annotationRef/>
      </w:r>
      <w:r>
        <w:t>Find quotes in the cited articles of olefin metathesis and beyond by furstner</w:t>
      </w:r>
    </w:p>
  </w:comment>
  <w:comment w:id="5" w:author="Hadas Gayer" w:date="2024-11-09T09:40:00Z" w:initials="HG">
    <w:p w14:paraId="512EE406" w14:textId="77777777" w:rsidR="007C00A1" w:rsidRDefault="007C00A1" w:rsidP="007C00A1">
      <w:pPr>
        <w:pStyle w:val="CommentText"/>
        <w:bidi w:val="0"/>
      </w:pPr>
      <w:r>
        <w:rPr>
          <w:rStyle w:val="CommentReference"/>
        </w:rPr>
        <w:annotationRef/>
      </w:r>
      <w:r>
        <w:t>As my work attempts to describe OM as a bioorthogonal process, some detail on existing bioorthogonal reactions is needed – definition, short history, two-three examples of used reactions.</w:t>
      </w:r>
    </w:p>
  </w:comment>
  <w:comment w:id="6" w:author="Hadas Gayer" w:date="2024-11-15T09:23:00Z" w:initials="HG">
    <w:p w14:paraId="2ED4C701" w14:textId="77777777" w:rsidR="005C241A" w:rsidRDefault="005C241A" w:rsidP="005C241A">
      <w:pPr>
        <w:pStyle w:val="CommentText"/>
        <w:bidi w:val="0"/>
      </w:pPr>
      <w:r>
        <w:rPr>
          <w:rStyle w:val="CommentReference"/>
        </w:rPr>
        <w:annotationRef/>
      </w:r>
      <w:r>
        <w:t>Not sure if this section should be in the end (more inspiring) or the beginning (makes more sense when introducing the challenges), can consult Reem about it. Here I'd present in detail both the existing and proposed usages</w:t>
      </w:r>
    </w:p>
  </w:comment>
  <w:comment w:id="7" w:author="Hadas Gayer" w:date="2024-11-15T09:22:00Z" w:initials="HG">
    <w:p w14:paraId="5C646504" w14:textId="77777777" w:rsidR="005C0228" w:rsidRDefault="005C0228" w:rsidP="005C0228">
      <w:pPr>
        <w:pStyle w:val="CommentText"/>
        <w:bidi w:val="0"/>
      </w:pPr>
      <w:r>
        <w:rPr>
          <w:rStyle w:val="CommentReference"/>
        </w:rPr>
        <w:annotationRef/>
      </w:r>
      <w:r>
        <w:t>Is this the word?</w:t>
      </w:r>
    </w:p>
  </w:comment>
  <w:comment w:id="8" w:author="Hadas Gayer" w:date="2024-11-22T11:31:00Z" w:initials="HG">
    <w:p w14:paraId="346F4F99" w14:textId="77777777" w:rsidR="00710332" w:rsidRDefault="00710332" w:rsidP="00710332">
      <w:pPr>
        <w:pStyle w:val="CommentText"/>
        <w:bidi w:val="0"/>
      </w:pPr>
      <w:r>
        <w:rPr>
          <w:rStyle w:val="CommentReference"/>
        </w:rPr>
        <w:annotationRef/>
      </w:r>
      <w:r>
        <w:t>Small-Molecule N-Heterocyclic-Carbene-Containing Olefin-Metathesis Catalysts for Use in Water†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79CF83" w15:done="0"/>
  <w15:commentEx w15:paraId="483491DA" w15:done="0"/>
  <w15:commentEx w15:paraId="51A824C8" w15:done="0"/>
  <w15:commentEx w15:paraId="4AD51934" w15:paraIdParent="51A824C8" w15:done="0"/>
  <w15:commentEx w15:paraId="2B92CE55" w15:done="0"/>
  <w15:commentEx w15:paraId="512EE406" w15:done="0"/>
  <w15:commentEx w15:paraId="2ED4C701" w15:done="0"/>
  <w15:commentEx w15:paraId="5C646504" w15:done="0"/>
  <w15:commentEx w15:paraId="346F4F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D63C2D5" w16cex:dateUtc="2024-11-09T07:34:00Z"/>
  <w16cex:commentExtensible w16cex:durableId="4C44A505" w16cex:dateUtc="2024-11-15T08:15:00Z"/>
  <w16cex:commentExtensible w16cex:durableId="3B2DAA88" w16cex:dateUtc="2024-11-02T16:35:00Z"/>
  <w16cex:commentExtensible w16cex:durableId="4C4249FD" w16cex:dateUtc="2024-11-09T07:40:00Z"/>
  <w16cex:commentExtensible w16cex:durableId="46284CAC" w16cex:dateUtc="2024-11-06T15:50:00Z"/>
  <w16cex:commentExtensible w16cex:durableId="33CF7641" w16cex:dateUtc="2024-11-09T07:40:00Z"/>
  <w16cex:commentExtensible w16cex:durableId="00C0E093" w16cex:dateUtc="2024-11-15T07:23:00Z"/>
  <w16cex:commentExtensible w16cex:durableId="042E239D" w16cex:dateUtc="2024-11-15T07:22:00Z"/>
  <w16cex:commentExtensible w16cex:durableId="453BA0AA" w16cex:dateUtc="2024-11-22T0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79CF83" w16cid:durableId="6D63C2D5"/>
  <w16cid:commentId w16cid:paraId="483491DA" w16cid:durableId="4C44A505"/>
  <w16cid:commentId w16cid:paraId="51A824C8" w16cid:durableId="3B2DAA88"/>
  <w16cid:commentId w16cid:paraId="4AD51934" w16cid:durableId="4C4249FD"/>
  <w16cid:commentId w16cid:paraId="2B92CE55" w16cid:durableId="46284CAC"/>
  <w16cid:commentId w16cid:paraId="512EE406" w16cid:durableId="33CF7641"/>
  <w16cid:commentId w16cid:paraId="2ED4C701" w16cid:durableId="00C0E093"/>
  <w16cid:commentId w16cid:paraId="5C646504" w16cid:durableId="042E239D"/>
  <w16cid:commentId w16cid:paraId="346F4F99" w16cid:durableId="453BA0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37A33"/>
    <w:multiLevelType w:val="hybridMultilevel"/>
    <w:tmpl w:val="0630AB4A"/>
    <w:lvl w:ilvl="0" w:tplc="26E470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A97ED9"/>
    <w:multiLevelType w:val="multilevel"/>
    <w:tmpl w:val="633206C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E8F0088"/>
    <w:multiLevelType w:val="multilevel"/>
    <w:tmpl w:val="BC7A31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3AD4C84"/>
    <w:multiLevelType w:val="hybridMultilevel"/>
    <w:tmpl w:val="573E5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E5766A"/>
    <w:multiLevelType w:val="hybridMultilevel"/>
    <w:tmpl w:val="8F02E4E2"/>
    <w:lvl w:ilvl="0" w:tplc="C890E3CC">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B36BF"/>
    <w:multiLevelType w:val="hybridMultilevel"/>
    <w:tmpl w:val="1E42442E"/>
    <w:lvl w:ilvl="0" w:tplc="67DCC6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9D81D55"/>
    <w:multiLevelType w:val="hybridMultilevel"/>
    <w:tmpl w:val="0366A0EA"/>
    <w:lvl w:ilvl="0" w:tplc="524477EE">
      <w:start w:val="1"/>
      <w:numFmt w:val="decimal"/>
      <w:pStyle w:val="Heading2"/>
      <w:lvlText w:val="%1."/>
      <w:lvlJc w:val="left"/>
      <w:pPr>
        <w:ind w:left="1080" w:hanging="360"/>
      </w:pPr>
      <w:rPr>
        <w:rFonts w:hint="default"/>
      </w:rPr>
    </w:lvl>
    <w:lvl w:ilvl="1" w:tplc="ADBA4B04">
      <w:start w:val="1"/>
      <w:numFmt w:val="lowerLetter"/>
      <w:pStyle w:val="Heading3"/>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429997">
    <w:abstractNumId w:val="6"/>
  </w:num>
  <w:num w:numId="2" w16cid:durableId="596400272">
    <w:abstractNumId w:val="4"/>
  </w:num>
  <w:num w:numId="3" w16cid:durableId="544604840">
    <w:abstractNumId w:val="0"/>
  </w:num>
  <w:num w:numId="4" w16cid:durableId="501357413">
    <w:abstractNumId w:val="5"/>
  </w:num>
  <w:num w:numId="5" w16cid:durableId="968821789">
    <w:abstractNumId w:val="3"/>
  </w:num>
  <w:num w:numId="6" w16cid:durableId="2014801295">
    <w:abstractNumId w:val="2"/>
  </w:num>
  <w:num w:numId="7" w16cid:durableId="10511551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adas Gayer">
    <w15:presenceInfo w15:providerId="AD" w15:userId="S::GAHADAS8@365.openu.ac.il::c8cc9fa1-0e22-4383-931b-1fc93a1550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85"/>
    <w:rsid w:val="0000649F"/>
    <w:rsid w:val="0001343E"/>
    <w:rsid w:val="00023038"/>
    <w:rsid w:val="000505A9"/>
    <w:rsid w:val="00054048"/>
    <w:rsid w:val="00096AEF"/>
    <w:rsid w:val="000A1714"/>
    <w:rsid w:val="000A3821"/>
    <w:rsid w:val="000B15A9"/>
    <w:rsid w:val="000D5EA5"/>
    <w:rsid w:val="00101630"/>
    <w:rsid w:val="001126E3"/>
    <w:rsid w:val="00126D1E"/>
    <w:rsid w:val="001930C3"/>
    <w:rsid w:val="001A69C0"/>
    <w:rsid w:val="001D04D4"/>
    <w:rsid w:val="001D3DEA"/>
    <w:rsid w:val="001E1C72"/>
    <w:rsid w:val="001E7795"/>
    <w:rsid w:val="001F4377"/>
    <w:rsid w:val="001F5E2C"/>
    <w:rsid w:val="001F6830"/>
    <w:rsid w:val="00201824"/>
    <w:rsid w:val="00203D63"/>
    <w:rsid w:val="002505CF"/>
    <w:rsid w:val="00264DCA"/>
    <w:rsid w:val="0027394C"/>
    <w:rsid w:val="0029574A"/>
    <w:rsid w:val="002A4871"/>
    <w:rsid w:val="002C25F4"/>
    <w:rsid w:val="002C30FB"/>
    <w:rsid w:val="002F05B3"/>
    <w:rsid w:val="00320280"/>
    <w:rsid w:val="003221F6"/>
    <w:rsid w:val="00323D29"/>
    <w:rsid w:val="00330EEF"/>
    <w:rsid w:val="003612E7"/>
    <w:rsid w:val="00361D54"/>
    <w:rsid w:val="00395EEA"/>
    <w:rsid w:val="00396893"/>
    <w:rsid w:val="003A4CEA"/>
    <w:rsid w:val="003C4FA3"/>
    <w:rsid w:val="003C6BD6"/>
    <w:rsid w:val="003D6527"/>
    <w:rsid w:val="003E40DC"/>
    <w:rsid w:val="003E48E1"/>
    <w:rsid w:val="003F6215"/>
    <w:rsid w:val="00410C2C"/>
    <w:rsid w:val="004741AA"/>
    <w:rsid w:val="00493D9C"/>
    <w:rsid w:val="00496C13"/>
    <w:rsid w:val="00497433"/>
    <w:rsid w:val="004B48D5"/>
    <w:rsid w:val="004B5C43"/>
    <w:rsid w:val="004C38E5"/>
    <w:rsid w:val="005502F8"/>
    <w:rsid w:val="0056124C"/>
    <w:rsid w:val="00567C13"/>
    <w:rsid w:val="00591C6A"/>
    <w:rsid w:val="005B5DB3"/>
    <w:rsid w:val="005C0228"/>
    <w:rsid w:val="005C241A"/>
    <w:rsid w:val="005C31E7"/>
    <w:rsid w:val="005C5295"/>
    <w:rsid w:val="005E4B0B"/>
    <w:rsid w:val="0060707D"/>
    <w:rsid w:val="00644455"/>
    <w:rsid w:val="0067774E"/>
    <w:rsid w:val="006909AA"/>
    <w:rsid w:val="0069521A"/>
    <w:rsid w:val="006C1AA8"/>
    <w:rsid w:val="006C4D58"/>
    <w:rsid w:val="006C7A9C"/>
    <w:rsid w:val="006E4485"/>
    <w:rsid w:val="006F0019"/>
    <w:rsid w:val="007000F5"/>
    <w:rsid w:val="0070502C"/>
    <w:rsid w:val="00710332"/>
    <w:rsid w:val="007126CB"/>
    <w:rsid w:val="00731839"/>
    <w:rsid w:val="0074628E"/>
    <w:rsid w:val="00776B55"/>
    <w:rsid w:val="007B1FC5"/>
    <w:rsid w:val="007C00A1"/>
    <w:rsid w:val="00801450"/>
    <w:rsid w:val="00806E97"/>
    <w:rsid w:val="008070A3"/>
    <w:rsid w:val="00807BCA"/>
    <w:rsid w:val="008117FE"/>
    <w:rsid w:val="00853C4F"/>
    <w:rsid w:val="0086644A"/>
    <w:rsid w:val="00872C65"/>
    <w:rsid w:val="008749B1"/>
    <w:rsid w:val="008929F0"/>
    <w:rsid w:val="0089488F"/>
    <w:rsid w:val="008B2362"/>
    <w:rsid w:val="008D2F13"/>
    <w:rsid w:val="008E3E96"/>
    <w:rsid w:val="008E5F68"/>
    <w:rsid w:val="008E7929"/>
    <w:rsid w:val="008F716B"/>
    <w:rsid w:val="009054DC"/>
    <w:rsid w:val="0090735D"/>
    <w:rsid w:val="009208B3"/>
    <w:rsid w:val="009233D0"/>
    <w:rsid w:val="00931D2C"/>
    <w:rsid w:val="00932B9C"/>
    <w:rsid w:val="00950801"/>
    <w:rsid w:val="00971ABA"/>
    <w:rsid w:val="0097412C"/>
    <w:rsid w:val="00980ED0"/>
    <w:rsid w:val="00996E08"/>
    <w:rsid w:val="009B3F40"/>
    <w:rsid w:val="009C09F7"/>
    <w:rsid w:val="009D0BC2"/>
    <w:rsid w:val="009D2824"/>
    <w:rsid w:val="00A05467"/>
    <w:rsid w:val="00A26DE5"/>
    <w:rsid w:val="00A34F49"/>
    <w:rsid w:val="00A540A3"/>
    <w:rsid w:val="00A57619"/>
    <w:rsid w:val="00A81620"/>
    <w:rsid w:val="00A83454"/>
    <w:rsid w:val="00A86676"/>
    <w:rsid w:val="00A9205C"/>
    <w:rsid w:val="00AA0C66"/>
    <w:rsid w:val="00AA6B0A"/>
    <w:rsid w:val="00AB0735"/>
    <w:rsid w:val="00AB1576"/>
    <w:rsid w:val="00AC5CBA"/>
    <w:rsid w:val="00AE16F8"/>
    <w:rsid w:val="00AE3174"/>
    <w:rsid w:val="00AF6F89"/>
    <w:rsid w:val="00B07F4A"/>
    <w:rsid w:val="00B15FDB"/>
    <w:rsid w:val="00B24414"/>
    <w:rsid w:val="00B44ADD"/>
    <w:rsid w:val="00B56463"/>
    <w:rsid w:val="00BB77D2"/>
    <w:rsid w:val="00BD2128"/>
    <w:rsid w:val="00BF1231"/>
    <w:rsid w:val="00BF7B67"/>
    <w:rsid w:val="00C06F4B"/>
    <w:rsid w:val="00C07219"/>
    <w:rsid w:val="00C1025E"/>
    <w:rsid w:val="00C2332D"/>
    <w:rsid w:val="00C275A5"/>
    <w:rsid w:val="00C40D2C"/>
    <w:rsid w:val="00CA0153"/>
    <w:rsid w:val="00CA4D46"/>
    <w:rsid w:val="00CB4138"/>
    <w:rsid w:val="00CC6ADB"/>
    <w:rsid w:val="00CC769F"/>
    <w:rsid w:val="00CE0AD4"/>
    <w:rsid w:val="00CF7ED4"/>
    <w:rsid w:val="00D17317"/>
    <w:rsid w:val="00D1785C"/>
    <w:rsid w:val="00D2477B"/>
    <w:rsid w:val="00D7089F"/>
    <w:rsid w:val="00D73F56"/>
    <w:rsid w:val="00D839F7"/>
    <w:rsid w:val="00D866BC"/>
    <w:rsid w:val="00DA4AAE"/>
    <w:rsid w:val="00DD3FC5"/>
    <w:rsid w:val="00DE6080"/>
    <w:rsid w:val="00E0395B"/>
    <w:rsid w:val="00E13B16"/>
    <w:rsid w:val="00E174E1"/>
    <w:rsid w:val="00E23DB7"/>
    <w:rsid w:val="00E26BC4"/>
    <w:rsid w:val="00E30202"/>
    <w:rsid w:val="00E33E32"/>
    <w:rsid w:val="00E41765"/>
    <w:rsid w:val="00E44A9C"/>
    <w:rsid w:val="00E44B36"/>
    <w:rsid w:val="00E47B16"/>
    <w:rsid w:val="00E87014"/>
    <w:rsid w:val="00EC6D63"/>
    <w:rsid w:val="00EE3E5B"/>
    <w:rsid w:val="00EE7AD0"/>
    <w:rsid w:val="00EF7B5B"/>
    <w:rsid w:val="00F001E9"/>
    <w:rsid w:val="00F04CD2"/>
    <w:rsid w:val="00F0591C"/>
    <w:rsid w:val="00F21687"/>
    <w:rsid w:val="00F22AD4"/>
    <w:rsid w:val="00F30B4D"/>
    <w:rsid w:val="00F31FF5"/>
    <w:rsid w:val="00F4681B"/>
    <w:rsid w:val="00F722F8"/>
    <w:rsid w:val="00FA40F3"/>
    <w:rsid w:val="00FC6759"/>
    <w:rsid w:val="00FC749A"/>
    <w:rsid w:val="00FE7D61"/>
    <w:rsid w:val="00FF10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8F9FB"/>
  <w15:chartTrackingRefBased/>
  <w15:docId w15:val="{D6D19B56-FE41-40C2-BE83-84F791FF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85"/>
    <w:pPr>
      <w:bidi/>
    </w:pPr>
  </w:style>
  <w:style w:type="paragraph" w:styleId="Heading1">
    <w:name w:val="heading 1"/>
    <w:basedOn w:val="ListParagraph"/>
    <w:next w:val="Normal"/>
    <w:link w:val="Heading1Char"/>
    <w:uiPriority w:val="9"/>
    <w:qFormat/>
    <w:rsid w:val="00591C6A"/>
    <w:pPr>
      <w:bidi w:val="0"/>
      <w:ind w:left="360" w:hanging="360"/>
      <w:jc w:val="both"/>
      <w:outlineLvl w:val="0"/>
    </w:pPr>
    <w:rPr>
      <w:b/>
      <w:bCs/>
      <w:sz w:val="28"/>
      <w:szCs w:val="28"/>
    </w:rPr>
  </w:style>
  <w:style w:type="paragraph" w:styleId="Heading2">
    <w:name w:val="heading 2"/>
    <w:basedOn w:val="ListParagraph"/>
    <w:next w:val="Normal"/>
    <w:link w:val="Heading2Char"/>
    <w:uiPriority w:val="9"/>
    <w:unhideWhenUsed/>
    <w:qFormat/>
    <w:rsid w:val="002C25F4"/>
    <w:pPr>
      <w:numPr>
        <w:numId w:val="1"/>
      </w:numPr>
      <w:bidi w:val="0"/>
      <w:jc w:val="both"/>
      <w:outlineLvl w:val="1"/>
    </w:pPr>
  </w:style>
  <w:style w:type="paragraph" w:styleId="Heading3">
    <w:name w:val="heading 3"/>
    <w:basedOn w:val="ListParagraph"/>
    <w:next w:val="Normal"/>
    <w:link w:val="Heading3Char"/>
    <w:uiPriority w:val="9"/>
    <w:unhideWhenUsed/>
    <w:qFormat/>
    <w:rsid w:val="00FF10A2"/>
    <w:pPr>
      <w:numPr>
        <w:ilvl w:val="1"/>
        <w:numId w:val="1"/>
      </w:numPr>
      <w:bidi w:val="0"/>
      <w:jc w:val="both"/>
      <w:outlineLvl w:val="2"/>
    </w:pPr>
  </w:style>
  <w:style w:type="paragraph" w:styleId="Heading4">
    <w:name w:val="heading 4"/>
    <w:basedOn w:val="Normal"/>
    <w:next w:val="Normal"/>
    <w:link w:val="Heading4Char"/>
    <w:uiPriority w:val="9"/>
    <w:semiHidden/>
    <w:unhideWhenUsed/>
    <w:qFormat/>
    <w:rsid w:val="006E44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44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44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4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4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4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C6A"/>
    <w:rPr>
      <w:b/>
      <w:bCs/>
      <w:sz w:val="28"/>
      <w:szCs w:val="28"/>
    </w:rPr>
  </w:style>
  <w:style w:type="character" w:customStyle="1" w:styleId="Heading2Char">
    <w:name w:val="Heading 2 Char"/>
    <w:basedOn w:val="DefaultParagraphFont"/>
    <w:link w:val="Heading2"/>
    <w:uiPriority w:val="9"/>
    <w:rsid w:val="002C25F4"/>
  </w:style>
  <w:style w:type="character" w:customStyle="1" w:styleId="Heading3Char">
    <w:name w:val="Heading 3 Char"/>
    <w:basedOn w:val="DefaultParagraphFont"/>
    <w:link w:val="Heading3"/>
    <w:uiPriority w:val="9"/>
    <w:rsid w:val="00FF10A2"/>
  </w:style>
  <w:style w:type="character" w:customStyle="1" w:styleId="Heading4Char">
    <w:name w:val="Heading 4 Char"/>
    <w:basedOn w:val="DefaultParagraphFont"/>
    <w:link w:val="Heading4"/>
    <w:uiPriority w:val="9"/>
    <w:semiHidden/>
    <w:rsid w:val="006E44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44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4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485"/>
    <w:rPr>
      <w:rFonts w:eastAsiaTheme="majorEastAsia" w:cstheme="majorBidi"/>
      <w:color w:val="272727" w:themeColor="text1" w:themeTint="D8"/>
    </w:rPr>
  </w:style>
  <w:style w:type="paragraph" w:styleId="Title">
    <w:name w:val="Title"/>
    <w:basedOn w:val="Normal"/>
    <w:next w:val="Normal"/>
    <w:link w:val="TitleChar"/>
    <w:uiPriority w:val="10"/>
    <w:qFormat/>
    <w:rsid w:val="006E44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485"/>
    <w:pPr>
      <w:spacing w:before="160"/>
      <w:jc w:val="center"/>
    </w:pPr>
    <w:rPr>
      <w:i/>
      <w:iCs/>
      <w:color w:val="404040" w:themeColor="text1" w:themeTint="BF"/>
    </w:rPr>
  </w:style>
  <w:style w:type="character" w:customStyle="1" w:styleId="QuoteChar">
    <w:name w:val="Quote Char"/>
    <w:basedOn w:val="DefaultParagraphFont"/>
    <w:link w:val="Quote"/>
    <w:uiPriority w:val="29"/>
    <w:rsid w:val="006E4485"/>
    <w:rPr>
      <w:i/>
      <w:iCs/>
      <w:color w:val="404040" w:themeColor="text1" w:themeTint="BF"/>
    </w:rPr>
  </w:style>
  <w:style w:type="paragraph" w:styleId="ListParagraph">
    <w:name w:val="List Paragraph"/>
    <w:basedOn w:val="Normal"/>
    <w:uiPriority w:val="34"/>
    <w:qFormat/>
    <w:rsid w:val="006E4485"/>
    <w:pPr>
      <w:ind w:left="720"/>
      <w:contextualSpacing/>
    </w:pPr>
  </w:style>
  <w:style w:type="character" w:styleId="IntenseEmphasis">
    <w:name w:val="Intense Emphasis"/>
    <w:basedOn w:val="DefaultParagraphFont"/>
    <w:uiPriority w:val="21"/>
    <w:qFormat/>
    <w:rsid w:val="006E4485"/>
    <w:rPr>
      <w:i/>
      <w:iCs/>
      <w:color w:val="2F5496" w:themeColor="accent1" w:themeShade="BF"/>
    </w:rPr>
  </w:style>
  <w:style w:type="paragraph" w:styleId="IntenseQuote">
    <w:name w:val="Intense Quote"/>
    <w:basedOn w:val="Normal"/>
    <w:next w:val="Normal"/>
    <w:link w:val="IntenseQuoteChar"/>
    <w:uiPriority w:val="30"/>
    <w:qFormat/>
    <w:rsid w:val="006E44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4485"/>
    <w:rPr>
      <w:i/>
      <w:iCs/>
      <w:color w:val="2F5496" w:themeColor="accent1" w:themeShade="BF"/>
    </w:rPr>
  </w:style>
  <w:style w:type="character" w:styleId="IntenseReference">
    <w:name w:val="Intense Reference"/>
    <w:basedOn w:val="DefaultParagraphFont"/>
    <w:uiPriority w:val="32"/>
    <w:qFormat/>
    <w:rsid w:val="006E4485"/>
    <w:rPr>
      <w:b/>
      <w:bCs/>
      <w:smallCaps/>
      <w:color w:val="2F5496" w:themeColor="accent1" w:themeShade="BF"/>
      <w:spacing w:val="5"/>
    </w:rPr>
  </w:style>
  <w:style w:type="character" w:styleId="Hyperlink">
    <w:name w:val="Hyperlink"/>
    <w:basedOn w:val="DefaultParagraphFont"/>
    <w:uiPriority w:val="99"/>
    <w:unhideWhenUsed/>
    <w:rsid w:val="000A3821"/>
    <w:rPr>
      <w:color w:val="0563C1" w:themeColor="hyperlink"/>
      <w:u w:val="single"/>
    </w:rPr>
  </w:style>
  <w:style w:type="character" w:styleId="UnresolvedMention">
    <w:name w:val="Unresolved Mention"/>
    <w:basedOn w:val="DefaultParagraphFont"/>
    <w:uiPriority w:val="99"/>
    <w:semiHidden/>
    <w:unhideWhenUsed/>
    <w:rsid w:val="000A3821"/>
    <w:rPr>
      <w:color w:val="605E5C"/>
      <w:shd w:val="clear" w:color="auto" w:fill="E1DFDD"/>
    </w:rPr>
  </w:style>
  <w:style w:type="character" w:styleId="CommentReference">
    <w:name w:val="annotation reference"/>
    <w:basedOn w:val="DefaultParagraphFont"/>
    <w:uiPriority w:val="99"/>
    <w:semiHidden/>
    <w:unhideWhenUsed/>
    <w:rsid w:val="00D839F7"/>
    <w:rPr>
      <w:sz w:val="16"/>
      <w:szCs w:val="16"/>
    </w:rPr>
  </w:style>
  <w:style w:type="paragraph" w:styleId="CommentText">
    <w:name w:val="annotation text"/>
    <w:basedOn w:val="Normal"/>
    <w:link w:val="CommentTextChar"/>
    <w:uiPriority w:val="99"/>
    <w:unhideWhenUsed/>
    <w:rsid w:val="00D839F7"/>
    <w:pPr>
      <w:spacing w:line="240" w:lineRule="auto"/>
    </w:pPr>
    <w:rPr>
      <w:sz w:val="20"/>
      <w:szCs w:val="20"/>
    </w:rPr>
  </w:style>
  <w:style w:type="character" w:customStyle="1" w:styleId="CommentTextChar">
    <w:name w:val="Comment Text Char"/>
    <w:basedOn w:val="DefaultParagraphFont"/>
    <w:link w:val="CommentText"/>
    <w:uiPriority w:val="99"/>
    <w:rsid w:val="00D839F7"/>
    <w:rPr>
      <w:sz w:val="20"/>
      <w:szCs w:val="20"/>
    </w:rPr>
  </w:style>
  <w:style w:type="paragraph" w:styleId="CommentSubject">
    <w:name w:val="annotation subject"/>
    <w:basedOn w:val="CommentText"/>
    <w:next w:val="CommentText"/>
    <w:link w:val="CommentSubjectChar"/>
    <w:uiPriority w:val="99"/>
    <w:semiHidden/>
    <w:unhideWhenUsed/>
    <w:rsid w:val="00D839F7"/>
    <w:rPr>
      <w:b/>
      <w:bCs/>
    </w:rPr>
  </w:style>
  <w:style w:type="character" w:customStyle="1" w:styleId="CommentSubjectChar">
    <w:name w:val="Comment Subject Char"/>
    <w:basedOn w:val="CommentTextChar"/>
    <w:link w:val="CommentSubject"/>
    <w:uiPriority w:val="99"/>
    <w:semiHidden/>
    <w:rsid w:val="00D839F7"/>
    <w:rPr>
      <w:b/>
      <w:bCs/>
      <w:sz w:val="20"/>
      <w:szCs w:val="20"/>
    </w:rPr>
  </w:style>
  <w:style w:type="character" w:styleId="FollowedHyperlink">
    <w:name w:val="FollowedHyperlink"/>
    <w:basedOn w:val="DefaultParagraphFont"/>
    <w:uiPriority w:val="99"/>
    <w:semiHidden/>
    <w:unhideWhenUsed/>
    <w:rsid w:val="00E417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0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20AF-2239-4341-A226-3905F860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14373</TotalTime>
  <Pages>7</Pages>
  <Words>2590</Words>
  <Characters>12952</Characters>
  <Application>Microsoft Office Word</Application>
  <DocSecurity>0</DocSecurity>
  <Lines>107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Hadas Gayer</dc:creator>
  <cp:keywords/>
  <dc:description/>
  <cp:lastModifiedBy>Hadas Gayer</cp:lastModifiedBy>
  <cp:revision>145</cp:revision>
  <dcterms:created xsi:type="dcterms:W3CDTF">2024-10-31T16:10:00Z</dcterms:created>
  <dcterms:modified xsi:type="dcterms:W3CDTF">2024-11-22T17:59:00Z</dcterms:modified>
</cp:coreProperties>
</file>