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7E1A19"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lastRenderedPageBreak/>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for 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lastRenderedPageBreak/>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E1A19" w:rsidRDefault="0095607C" w:rsidP="002C25F4">
      <w:pPr>
        <w:pStyle w:val="Heading2"/>
        <w:rPr>
          <w:rFonts w:cstheme="minorHAnsi"/>
          <w:highlight w:val="blue"/>
        </w:rPr>
      </w:pPr>
      <w:r w:rsidRPr="007E1A19">
        <w:rPr>
          <w:rFonts w:cstheme="minorHAnsi"/>
          <w:highlight w:val="blue"/>
        </w:rPr>
        <w:t xml:space="preserve">Use cases </w:t>
      </w:r>
      <w:r w:rsidR="00EA6B49">
        <w:rPr>
          <w:rFonts w:cstheme="minorHAnsi"/>
          <w:highlight w:val="blue"/>
        </w:rPr>
        <w:t>for</w:t>
      </w:r>
      <w:r w:rsidR="006E4485" w:rsidRPr="007E1A19">
        <w:rPr>
          <w:rFonts w:cstheme="minorHAnsi"/>
          <w:highlight w:val="blue"/>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for the formation of building blocks for DNA libraries – a technology for the identification of small molecules. A ruthenium NHC catalyst 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w:t>
      </w:r>
      <w:r w:rsidR="00953BD1" w:rsidRPr="007E1A19">
        <w:rPr>
          <w:rFonts w:cstheme="minorHAnsi"/>
        </w:rPr>
        <w:lastRenderedPageBreak/>
        <w:t xml:space="preserve">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5"/>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4B8AB33"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xml:space="preserve">. An artificial metalloenzyme (ArM) was synthesized, containing a Grubbs-Hoveyda second-generation (GHII)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7F4123F0"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Grubbs-Hoveyda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 xml:space="preserve">The ArM catalyzed an RCM reaction that resulted in the release of fluorescent </w:t>
      </w:r>
      <w:r w:rsidR="00FA2182" w:rsidRPr="007E1A19">
        <w:rPr>
          <w:rFonts w:cstheme="minorHAnsi"/>
        </w:rPr>
        <w:lastRenderedPageBreak/>
        <w:t>–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1006A346"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sidRPr="007E1A19">
        <w:rPr>
          <w:rFonts w:cstheme="minorHAnsi"/>
          <w:vertAlign w:val="superscript"/>
        </w:rPr>
        <w:t>4</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6CEC6434" w:rsidR="001D7BED" w:rsidRPr="007E1A19" w:rsidRDefault="001D7BED" w:rsidP="001D7BED">
      <w:pPr>
        <w:bidi w:val="0"/>
        <w:jc w:val="both"/>
        <w:rPr>
          <w:rFonts w:cstheme="minorHAnsi"/>
        </w:rPr>
      </w:pPr>
      <w:r w:rsidRPr="007E1A19">
        <w:rPr>
          <w:rFonts w:cstheme="minorHAnsi"/>
        </w:rPr>
        <w:t xml:space="preserve">Two common ways to increase the yield and rate of olefin metathesis reactions are lowering the pH and increasing the </w:t>
      </w:r>
      <w:commentRangeStart w:id="3"/>
      <w:r w:rsidRPr="007E1A19">
        <w:rPr>
          <w:rFonts w:cstheme="minorHAnsi"/>
        </w:rPr>
        <w:t>temperature</w:t>
      </w:r>
      <w:commentRangeEnd w:id="3"/>
      <w:r w:rsidR="00C37389" w:rsidRPr="007E1A19">
        <w:rPr>
          <w:rStyle w:val="CommentReference"/>
          <w:rFonts w:cstheme="minorHAnsi"/>
        </w:rPr>
        <w:commentReference w:id="3"/>
      </w:r>
      <w:r w:rsidRPr="007E1A19">
        <w:rPr>
          <w:rFonts w:cstheme="minorHAnsi"/>
        </w:rPr>
        <w:t>.</w:t>
      </w:r>
      <w:r w:rsidR="005358BA" w:rsidRPr="007E1A19">
        <w:rPr>
          <w:rFonts w:cstheme="minorHAnsi"/>
          <w:vertAlign w:val="superscript"/>
        </w:rPr>
        <w:t>6,16,21</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EB2497" w:rsidRPr="007E1A19">
        <w:rPr>
          <w:rFonts w:cstheme="minorHAnsi"/>
        </w:rPr>
        <w:t xml:space="preserve">attempt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3BFB9C2F"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434584" w:rsidRPr="007E1A19">
        <w:rPr>
          <w:rFonts w:cstheme="minorHAnsi"/>
          <w:vertAlign w:val="superscript"/>
        </w:rPr>
        <w:t>4,</w:t>
      </w:r>
      <w:r w:rsidR="00FA290C" w:rsidRPr="007E1A19">
        <w:rPr>
          <w:rFonts w:cstheme="minorHAnsi"/>
          <w:vertAlign w:val="superscript"/>
        </w:rPr>
        <w:t>16</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3C417E28"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2,17,22</w:t>
      </w:r>
      <w:r w:rsidRPr="007E1A19">
        <w:rPr>
          <w:rFonts w:cstheme="minorHAnsi"/>
        </w:rPr>
        <w:t xml:space="preserve"> The cosolvent increases the solubility of the catalyst and prevents aggregation.</w:t>
      </w:r>
      <w:r w:rsidRPr="007E1A19">
        <w:rPr>
          <w:rFonts w:cstheme="minorHAnsi"/>
          <w:vertAlign w:val="superscript"/>
        </w:rPr>
        <w:t>21</w:t>
      </w:r>
      <w:r w:rsidRPr="007E1A19">
        <w:rPr>
          <w:rFonts w:cstheme="minorHAnsi"/>
        </w:rPr>
        <w:t xml:space="preserve"> However, just like for the solvent, in living systems a cosolvent cannot be added without serious damage to the cell.</w:t>
      </w:r>
    </w:p>
    <w:p w14:paraId="3E4361B7" w14:textId="25389A67" w:rsidR="00C82E69" w:rsidRPr="007E1A19"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w:t>
      </w:r>
      <w:commentRangeStart w:id="4"/>
      <w:r w:rsidR="00B64233" w:rsidRPr="007E1A19">
        <w:rPr>
          <w:rFonts w:cstheme="minorHAnsi"/>
        </w:rPr>
        <w:t xml:space="preserve">isomerization </w:t>
      </w:r>
      <w:commentRangeEnd w:id="4"/>
      <w:r w:rsidR="00B64233" w:rsidRPr="007E1A19">
        <w:rPr>
          <w:rStyle w:val="CommentReference"/>
          <w:rFonts w:cstheme="minorHAnsi"/>
        </w:rPr>
        <w:commentReference w:id="4"/>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lastRenderedPageBreak/>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002534DB"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A40AC7" w:rsidRPr="007E1A19">
        <w:rPr>
          <w:rFonts w:cstheme="minorHAnsi"/>
          <w:vertAlign w:val="superscript"/>
        </w:rPr>
        <w:t>10</w:t>
      </w:r>
    </w:p>
    <w:p w14:paraId="5EEDA6F0" w14:textId="5DCF654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E35CEB" w:rsidRPr="007E1A19">
        <w:rPr>
          <w:rFonts w:cstheme="minorHAnsi"/>
          <w:vertAlign w:val="superscript"/>
        </w:rPr>
        <w:t>10</w:t>
      </w:r>
      <w:r w:rsidR="00B33E5A" w:rsidRPr="007E1A19">
        <w:rPr>
          <w:rFonts w:cstheme="minorHAnsi"/>
        </w:rPr>
        <w:t xml:space="preserve"> The catalytic cycle explains this as well – an electron-deficient moiety prevents coordination with the electron deficient catalyst.</w:t>
      </w:r>
    </w:p>
    <w:p w14:paraId="704BD42D" w14:textId="0477C1F4"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66773B" w:rsidRPr="007E1A19">
        <w:rPr>
          <w:rFonts w:cstheme="minorHAnsi"/>
          <w:vertAlign w:val="superscript"/>
        </w:rPr>
        <w:t>10</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088977F4" w14:textId="73C0526F" w:rsidR="006B6EDE" w:rsidRPr="007E1A19" w:rsidRDefault="009A31DF" w:rsidP="00034A25">
      <w:pPr>
        <w:bidi w:val="0"/>
        <w:jc w:val="both"/>
        <w:rPr>
          <w:rFonts w:cstheme="minorHAnsi"/>
          <w:vertAlign w:val="superscript"/>
        </w:rPr>
      </w:pPr>
      <w:r w:rsidRPr="007E1A19">
        <w:rPr>
          <w:rFonts w:cstheme="minorHAnsi"/>
        </w:rPr>
        <w:t xml:space="preserve">The </w:t>
      </w:r>
      <w:r w:rsidR="00F82BD5" w:rsidRPr="007E1A19">
        <w:rPr>
          <w:rFonts w:cstheme="minorHAnsi"/>
        </w:rPr>
        <w:t>main</w:t>
      </w:r>
      <w:r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B91A12" w:rsidRPr="007E1A19">
        <w:rPr>
          <w:rFonts w:cstheme="minorHAnsi"/>
          <w:vertAlign w:val="superscript"/>
        </w:rPr>
        <w:t>6 quoting others</w:t>
      </w:r>
      <w:r w:rsidR="00C5061D" w:rsidRPr="007E1A19">
        <w:rPr>
          <w:rFonts w:cstheme="minorHAnsi"/>
          <w:vertAlign w:val="superscript"/>
        </w:rPr>
        <w:t>,12 (?)</w:t>
      </w:r>
      <w:r w:rsidR="00034A25" w:rsidRPr="007E1A19">
        <w:rPr>
          <w:rFonts w:cstheme="minorHAnsi"/>
        </w:rPr>
        <w:t xml:space="preserve"> </w:t>
      </w:r>
      <w:r w:rsidR="006B6EDE" w:rsidRPr="007E1A19">
        <w:rPr>
          <w:rFonts w:cstheme="minorHAnsi"/>
        </w:rPr>
        <w:t xml:space="preserve">Ruthenium </w:t>
      </w:r>
      <w:r w:rsidR="00034A25" w:rsidRPr="007E1A19">
        <w:rPr>
          <w:rFonts w:cstheme="minorHAnsi"/>
        </w:rPr>
        <w:t>hydroxide and hydride species</w:t>
      </w:r>
      <w:r w:rsidR="006B6EDE" w:rsidRPr="007E1A19">
        <w:rPr>
          <w:rFonts w:cstheme="minorHAnsi"/>
        </w:rPr>
        <w:t xml:space="preserve"> – the result of </w:t>
      </w:r>
      <w:r w:rsidR="00034A25" w:rsidRPr="007E1A19">
        <w:rPr>
          <w:rFonts w:cstheme="minorHAnsi"/>
        </w:rPr>
        <w:t>exchange of the halide for hydroxide</w:t>
      </w:r>
      <w:r w:rsidR="006B6EDE"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006B6EDE" w:rsidRPr="007E1A19">
        <w:rPr>
          <w:rFonts w:cstheme="minorHAnsi"/>
        </w:rPr>
        <w:t>products.</w:t>
      </w:r>
      <w:r w:rsidR="006934F1" w:rsidRPr="007E1A19">
        <w:rPr>
          <w:rFonts w:cstheme="minorHAnsi"/>
          <w:vertAlign w:val="superscript"/>
        </w:rPr>
        <w:t>5,</w:t>
      </w:r>
      <w:r w:rsidR="00D87840" w:rsidRPr="007E1A19">
        <w:rPr>
          <w:rFonts w:cstheme="minorHAnsi"/>
          <w:vertAlign w:val="superscript"/>
        </w:rPr>
        <w:t>11 (look at quote)</w:t>
      </w:r>
    </w:p>
    <w:p w14:paraId="536C10B8" w14:textId="74B4D2B4" w:rsidR="00B113D0" w:rsidRPr="007E1A19" w:rsidRDefault="00B113D0" w:rsidP="00B113D0">
      <w:pPr>
        <w:bidi w:val="0"/>
        <w:jc w:val="both"/>
        <w:rPr>
          <w:rFonts w:cstheme="minorHAnsi"/>
        </w:rPr>
      </w:pPr>
      <w:r w:rsidRPr="007E1A19">
        <w:rPr>
          <w:rFonts w:cstheme="minorHAnsi"/>
        </w:rPr>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7D20F98C"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356372" w:rsidRPr="007E1A19">
        <w:rPr>
          <w:rFonts w:cstheme="minorHAnsi"/>
          <w:vertAlign w:val="superscript"/>
        </w:rPr>
        <w:t>5</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w:t>
      </w:r>
      <w:r w:rsidRPr="007E1A19">
        <w:rPr>
          <w:rFonts w:cstheme="minorHAnsi"/>
        </w:rPr>
        <w:lastRenderedPageBreak/>
        <w:t xml:space="preserve">often undergo very rapid enzymatic changes, the reaction rate must </w:t>
      </w:r>
      <w:commentRangeStart w:id="5"/>
      <w:r w:rsidRPr="007E1A19">
        <w:rPr>
          <w:rFonts w:cstheme="minorHAnsi"/>
        </w:rPr>
        <w:t>be maximized as well</w:t>
      </w:r>
      <w:commentRangeEnd w:id="5"/>
      <w:r w:rsidR="00281D0D" w:rsidRPr="007E1A19">
        <w:rPr>
          <w:rStyle w:val="CommentReference"/>
          <w:rFonts w:cstheme="minorHAnsi"/>
        </w:rPr>
        <w:commentReference w:id="5"/>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25AFF0C1"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E1258E" w:rsidRPr="007E1A19">
        <w:rPr>
          <w:rFonts w:cstheme="minorHAnsi"/>
          <w:vertAlign w:val="superscript"/>
        </w:rPr>
        <w:t>?</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C27254" w:rsidRPr="007E1A19">
        <w:rPr>
          <w:rFonts w:cstheme="minorHAnsi"/>
          <w:vertAlign w:val="superscript"/>
        </w:rPr>
        <w:t>?</w:t>
      </w:r>
      <w:r w:rsidR="00C27254" w:rsidRPr="007E1A19">
        <w:rPr>
          <w:rFonts w:cstheme="minorHAnsi"/>
        </w:rPr>
        <w:t xml:space="preserve"> and should therefore be optimized to achieve effective yields in-vivo.</w:t>
      </w:r>
    </w:p>
    <w:p w14:paraId="68173F78" w14:textId="3C916DBB" w:rsidR="00D866BC" w:rsidRPr="007E1A19"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 xml:space="preserve">ruthenium complexes demonstrate an ability </w:t>
      </w:r>
      <w:commentRangeStart w:id="6"/>
      <w:r w:rsidR="00E97B8E" w:rsidRPr="007E1A19">
        <w:rPr>
          <w:rFonts w:cstheme="minorHAnsi"/>
        </w:rPr>
        <w:t>to bind to DNA</w:t>
      </w:r>
      <w:commentRangeEnd w:id="6"/>
      <w:r w:rsidR="00E97B8E" w:rsidRPr="007E1A19">
        <w:rPr>
          <w:rStyle w:val="CommentReference"/>
          <w:rFonts w:cstheme="minorHAnsi"/>
        </w:rPr>
        <w:commentReference w:id="6"/>
      </w:r>
      <w:r w:rsidR="00E97B8E" w:rsidRPr="007E1A19">
        <w:rPr>
          <w:rFonts w:cstheme="minorHAnsi"/>
        </w:rPr>
        <w:t>, which can inactivate them.</w:t>
      </w:r>
    </w:p>
    <w:p w14:paraId="37FFF857" w14:textId="55B22F9C"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commentRangeStart w:id="7"/>
      <w:r w:rsidR="001864F7" w:rsidRPr="007E1A19">
        <w:rPr>
          <w:rFonts w:cstheme="minorHAnsi"/>
        </w:rPr>
        <w:t>that binds preferentially near the reaction environment</w:t>
      </w:r>
      <w:commentRangeEnd w:id="7"/>
      <w:r w:rsidR="001864F7" w:rsidRPr="007E1A19">
        <w:rPr>
          <w:rStyle w:val="CommentReference"/>
          <w:rFonts w:cstheme="minorHAnsi"/>
        </w:rPr>
        <w:commentReference w:id="7"/>
      </w:r>
      <w:r w:rsidR="001864F7" w:rsidRPr="007E1A19">
        <w:rPr>
          <w:rFonts w:cstheme="minorHAnsi"/>
        </w:rPr>
        <w:t>.</w:t>
      </w:r>
    </w:p>
    <w:p w14:paraId="790C0481" w14:textId="7D2776FB"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commentRangeStart w:id="8"/>
      <w:r w:rsidR="0025227D" w:rsidRPr="007E1A19">
        <w:rPr>
          <w:rFonts w:cstheme="minorHAnsi"/>
          <w:vertAlign w:val="superscript"/>
        </w:rPr>
        <w:t>yay</w:t>
      </w:r>
      <w:commentRangeEnd w:id="8"/>
      <w:r w:rsidR="0025227D" w:rsidRPr="007E1A19">
        <w:rPr>
          <w:rStyle w:val="CommentReference"/>
          <w:rFonts w:cstheme="minorHAnsi"/>
        </w:rPr>
        <w:commentReference w:id="8"/>
      </w:r>
      <w:r w:rsidR="0025227D" w:rsidRPr="007E1A19">
        <w:rPr>
          <w:rFonts w:cstheme="minorHAnsi"/>
          <w:vertAlign w:val="superscript"/>
        </w:rPr>
        <w:t xml:space="preserve"> </w:t>
      </w:r>
      <w:r w:rsidR="0025227D" w:rsidRPr="007E1A19">
        <w:rPr>
          <w:rFonts w:cstheme="minorHAnsi"/>
        </w:rPr>
        <w:t xml:space="preserve"> This tendency (?) for reduction makes it a potent inhibitor for metathesis complexes – it coordinates to the metal center and deactivates it. The amino acid histidine has similar properties and damages yield in a comparable manner.</w:t>
      </w:r>
      <w:r w:rsidR="0025227D" w:rsidRPr="007E1A19">
        <w:rPr>
          <w:rFonts w:cstheme="minorHAnsi"/>
          <w:vertAlign w:val="superscript"/>
        </w:rPr>
        <w:t>7</w:t>
      </w:r>
      <w:r w:rsidR="0025227D" w:rsidRPr="007E1A19">
        <w:rPr>
          <w:rFonts w:cstheme="minorHAnsi"/>
        </w:rPr>
        <w:t xml:space="preserve"> Since removal of these two vital molecules will damage the cell, overcoming the deactivation should be achieved by preventing interaction between the catalyst and GSH.</w:t>
      </w:r>
    </w:p>
    <w:p w14:paraId="649989D8" w14:textId="14093970" w:rsidR="00D866BC" w:rsidRPr="007E1A19" w:rsidRDefault="002F4DE8" w:rsidP="000A2B34">
      <w:pPr>
        <w:bidi w:val="0"/>
        <w:jc w:val="both"/>
        <w:rPr>
          <w:rFonts w:cstheme="minorHAnsi"/>
        </w:rPr>
      </w:pPr>
      <w:r w:rsidRPr="007E1A19">
        <w:rPr>
          <w:rFonts w:cstheme="minorHAnsi"/>
        </w:rP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sidRPr="007E1A19">
        <w:rPr>
          <w:rFonts w:cstheme="minorHAnsi"/>
          <w:vertAlign w:val="superscript"/>
        </w:rPr>
        <w:t>last paper in textbook</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 xml:space="preserve">Since ruthenium complexes are known to have toxic and mutagenic </w:t>
      </w:r>
      <w:commentRangeStart w:id="9"/>
      <w:r w:rsidR="00A91F21" w:rsidRPr="007E1A19">
        <w:rPr>
          <w:rFonts w:cstheme="minorHAnsi"/>
        </w:rPr>
        <w:t>effects</w:t>
      </w:r>
      <w:commentRangeEnd w:id="9"/>
      <w:r w:rsidR="00A91F21" w:rsidRPr="007E1A19">
        <w:rPr>
          <w:rStyle w:val="CommentReference"/>
          <w:rFonts w:cstheme="minorHAnsi"/>
        </w:rPr>
        <w:commentReference w:id="9"/>
      </w:r>
      <w:r w:rsidR="00A91F21" w:rsidRPr="007E1A19">
        <w:rPr>
          <w:rFonts w:cstheme="minorHAnsi"/>
        </w:rPr>
        <w:t>, special care should be taken to avoid its aggregation (?).</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2AFD582A" w:rsidR="00650015" w:rsidRPr="007E1A19" w:rsidRDefault="00650015" w:rsidP="00650015">
      <w:pPr>
        <w:bidi w:val="0"/>
        <w:jc w:val="both"/>
        <w:rPr>
          <w:rFonts w:cstheme="minorHAnsi"/>
        </w:rPr>
      </w:pPr>
      <w:r w:rsidRPr="007E1A19">
        <w:rPr>
          <w:rFonts w:cstheme="minorHAnsi"/>
        </w:rPr>
        <w:t xml:space="preserve">Most of the challenges and limitations presented above can be resolved or minimized by a careful design of reaction components (?) and settings. Since limited data on in-vivo </w:t>
      </w:r>
      <w:r w:rsidRPr="007E1A19">
        <w:rPr>
          <w:rFonts w:cstheme="minorHAnsi"/>
        </w:rPr>
        <w:lastRenderedPageBreak/>
        <w:t>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3984974B"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GHII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2DB34EEB"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CC0056" w:rsidRPr="007E1A19">
        <w:rPr>
          <w:rFonts w:cstheme="minorHAnsi"/>
          <w:vertAlign w:val="superscript"/>
        </w:rPr>
        <w:t>4</w:t>
      </w:r>
      <w:r w:rsidR="00872C65" w:rsidRPr="007E1A19">
        <w:rPr>
          <w:rFonts w:cstheme="minorHAnsi"/>
          <w:vertAlign w:val="superscript"/>
        </w:rPr>
        <w:t>??</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w:t>
      </w:r>
      <w:r w:rsidR="00B15FDB" w:rsidRPr="007E1A19">
        <w:rPr>
          <w:rFonts w:cstheme="minorHAnsi"/>
          <w:vertAlign w:val="superscript"/>
        </w:rPr>
        <w:t>?</w:t>
      </w:r>
      <w:r w:rsidR="00B15FDB" w:rsidRPr="007E1A19">
        <w:rPr>
          <w:rFonts w:cstheme="minorHAnsi"/>
        </w:rPr>
        <w:t xml:space="preserve"> Their early versions, with phosphine ligands, were very air sensitive and could catalyze a limited range of metathesis reactions,</w:t>
      </w:r>
      <w:r w:rsidR="003722D4" w:rsidRPr="007E1A19">
        <w:rPr>
          <w:rFonts w:cstheme="minorHAnsi"/>
          <w:vertAlign w:val="superscript"/>
        </w:rPr>
        <w:t>9?</w:t>
      </w:r>
      <w:r w:rsidR="00B15FDB" w:rsidRPr="007E1A19">
        <w:rPr>
          <w:rFonts w:cstheme="minorHAnsi"/>
        </w:rPr>
        <w:t xml:space="preserve"> even when equipped with cationic groups to increase solubility.</w:t>
      </w:r>
      <w:r w:rsidR="00B15FDB" w:rsidRPr="007E1A19">
        <w:rPr>
          <w:rFonts w:cstheme="minorHAnsi"/>
          <w:vertAlign w:val="superscript"/>
        </w:rPr>
        <w:t>4 quoted?</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Grubbs-Hoveyda second generation catalyst (GHII),</w:t>
      </w:r>
      <w:r w:rsidR="00801450" w:rsidRPr="007E1A19">
        <w:rPr>
          <w:rFonts w:cstheme="minorHAnsi"/>
        </w:rPr>
        <w:t xml:space="preserve"> blab la bla (figure Xa)</w:t>
      </w:r>
      <w:r w:rsidR="0069521A" w:rsidRPr="007E1A19">
        <w:rPr>
          <w:rFonts w:cstheme="minorHAnsi"/>
        </w:rPr>
        <w:t xml:space="preserve"> </w:t>
      </w:r>
    </w:p>
    <w:p w14:paraId="34ABBDA2" w14:textId="3B96B0AA" w:rsidR="00081AFE" w:rsidRPr="007E1A19" w:rsidRDefault="00FF10A2" w:rsidP="00081AFE">
      <w:pPr>
        <w:bidi w:val="0"/>
        <w:jc w:val="both"/>
        <w:rPr>
          <w:rFonts w:cstheme="minorHAnsi"/>
        </w:rPr>
      </w:pPr>
      <w:r w:rsidRPr="007E1A19">
        <w:rPr>
          <w:rFonts w:cstheme="minorHAnsi"/>
        </w:rPr>
        <w:t xml:space="preserve">Despite these advantages, GHII catalysts have glaring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2179CD" w:rsidRPr="007E1A19">
        <w:rPr>
          <w:rFonts w:cstheme="minorHAnsi"/>
        </w:rPr>
        <w:t xml:space="preserve"> The basic structure of the GHII should be optimized to fit the conditions inside cells.</w:t>
      </w:r>
    </w:p>
    <w:p w14:paraId="6F50B45B" w14:textId="77777777" w:rsidR="006E4485" w:rsidRPr="007E1A19" w:rsidRDefault="006E4485" w:rsidP="006E4485">
      <w:pPr>
        <w:pStyle w:val="ListParagraph"/>
        <w:numPr>
          <w:ilvl w:val="2"/>
          <w:numId w:val="1"/>
        </w:numPr>
        <w:bidi w:val="0"/>
        <w:jc w:val="both"/>
        <w:rPr>
          <w:rFonts w:cstheme="minorHAnsi"/>
          <w:highlight w:val="blue"/>
        </w:rPr>
      </w:pPr>
      <w:r w:rsidRPr="007E1A19">
        <w:rPr>
          <w:rFonts w:cstheme="minorHAnsi"/>
          <w:highlight w:val="blue"/>
        </w:rPr>
        <w:t>Charged catalysts</w:t>
      </w:r>
    </w:p>
    <w:p w14:paraId="02251518" w14:textId="77777777" w:rsidR="00EF7B5B" w:rsidRPr="007E1A19" w:rsidRDefault="00EF7B5B" w:rsidP="003E40DC">
      <w:pPr>
        <w:bidi w:val="0"/>
        <w:jc w:val="both"/>
        <w:rPr>
          <w:rFonts w:cstheme="minorHAnsi"/>
        </w:rPr>
      </w:pPr>
    </w:p>
    <w:p w14:paraId="12C18D0D" w14:textId="1BDBC735" w:rsidR="00EF7B5B" w:rsidRPr="007E1A19" w:rsidRDefault="00EF7B5B" w:rsidP="00EF7B5B">
      <w:pPr>
        <w:bidi w:val="0"/>
        <w:jc w:val="both"/>
        <w:rPr>
          <w:rFonts w:cstheme="minorHAnsi"/>
        </w:rPr>
      </w:pPr>
      <w:r w:rsidRPr="007E1A19">
        <w:rPr>
          <w:rFonts w:cstheme="minorHAnsi"/>
        </w:rPr>
        <w:t>Article 21</w:t>
      </w:r>
    </w:p>
    <w:p w14:paraId="3023ABE3" w14:textId="63A6D836" w:rsidR="00931D2C" w:rsidRPr="007E1A19" w:rsidRDefault="00931D2C" w:rsidP="00EF7B5B">
      <w:pPr>
        <w:bidi w:val="0"/>
        <w:jc w:val="both"/>
        <w:rPr>
          <w:rFonts w:cstheme="minorHAnsi"/>
        </w:rPr>
      </w:pPr>
      <w:r w:rsidRPr="007E1A19">
        <w:rPr>
          <w:rFonts w:cstheme="minorHAnsi"/>
        </w:rPr>
        <w:t>Cationic and anionic and what's good about them, should compare to previous point's catalyst</w:t>
      </w:r>
      <w:r w:rsidR="00E33E32" w:rsidRPr="007E1A19">
        <w:rPr>
          <w:rFonts w:cstheme="minorHAnsi"/>
        </w:rPr>
        <w:t>s</w:t>
      </w:r>
      <w:r w:rsidRPr="007E1A19">
        <w:rPr>
          <w:rFonts w:cstheme="minorHAnsi"/>
        </w:rPr>
        <w:t xml:space="preserve"> in same/similar table</w:t>
      </w:r>
    </w:p>
    <w:p w14:paraId="31521B51" w14:textId="7A160F8A" w:rsidR="00801450" w:rsidRPr="007E1A19" w:rsidRDefault="003E40DC" w:rsidP="00801450">
      <w:pPr>
        <w:bidi w:val="0"/>
        <w:jc w:val="both"/>
        <w:rPr>
          <w:rFonts w:cstheme="minorHAnsi"/>
        </w:rPr>
      </w:pPr>
      <w:commentRangeStart w:id="10"/>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 xml:space="preserve">AquaMet </w:t>
      </w:r>
      <w:commentRangeEnd w:id="10"/>
      <w:r w:rsidR="00710332" w:rsidRPr="007E1A19">
        <w:rPr>
          <w:rStyle w:val="CommentReference"/>
          <w:rFonts w:cstheme="minorHAnsi"/>
        </w:rPr>
        <w:commentReference w:id="10"/>
      </w:r>
      <w:r w:rsidR="00801450" w:rsidRPr="007E1A19">
        <w:rPr>
          <w:rFonts w:cstheme="minorHAnsi"/>
        </w:rPr>
        <w:t>is a GHII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31C08" w:rsidRPr="007E1A19">
        <w:rPr>
          <w:rFonts w:cstheme="minorHAnsi"/>
          <w:vertAlign w:val="superscript"/>
        </w:rPr>
        <w:t>11 quotes</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and not harming 1MEA cells even in greater concentrations</w:t>
      </w:r>
      <w:r w:rsidR="00201824" w:rsidRPr="007E1A19">
        <w:rPr>
          <w:rFonts w:cstheme="minorHAnsi"/>
        </w:rPr>
        <w:t>.</w:t>
      </w:r>
      <w:r w:rsidR="00201824" w:rsidRPr="007E1A19">
        <w:rPr>
          <w:rFonts w:cstheme="minorHAnsi"/>
          <w:vertAlign w:val="superscript"/>
        </w:rPr>
        <w:t>23</w:t>
      </w:r>
      <w:r w:rsidR="00201824" w:rsidRPr="007E1A19">
        <w:rPr>
          <w:rFonts w:cstheme="minorHAnsi"/>
        </w:rPr>
        <w:t xml:space="preserve"> </w:t>
      </w:r>
    </w:p>
    <w:p w14:paraId="15A3600B" w14:textId="104384A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 (12 quotes).</w:t>
      </w:r>
      <w:r w:rsidR="00E13B16" w:rsidRPr="007E1A19">
        <w:rPr>
          <w:rFonts w:cstheme="minorHAnsi"/>
        </w:rPr>
        <w:t xml:space="preserve"> </w:t>
      </w:r>
    </w:p>
    <w:p w14:paraId="4E77A8AF" w14:textId="710CB2A3" w:rsidR="00ED7A9E" w:rsidRPr="007E1A19" w:rsidRDefault="00ED7A9E" w:rsidP="00ED7A9E">
      <w:pPr>
        <w:bidi w:val="0"/>
        <w:jc w:val="both"/>
        <w:rPr>
          <w:rFonts w:cstheme="minorHAnsi"/>
        </w:rPr>
      </w:pPr>
      <w:r w:rsidRPr="007E1A19">
        <w:rPr>
          <w:rFonts w:cstheme="minorHAnsi"/>
        </w:rPr>
        <w:t>AqueMet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Pr="007E1A19">
        <w:rPr>
          <w:rFonts w:cstheme="minorHAnsi"/>
          <w:vertAlign w:val="superscript"/>
        </w:rPr>
        <w:t>7</w:t>
      </w:r>
      <w:r w:rsidRPr="007E1A19">
        <w:rPr>
          <w:rFonts w:cstheme="minorHAnsi"/>
        </w:rPr>
        <w:t xml:space="preserve"> </w:t>
      </w:r>
    </w:p>
    <w:p w14:paraId="1D32BB86" w14:textId="2397B926" w:rsidR="003E40DC" w:rsidRPr="007E1A19" w:rsidRDefault="00E13B16" w:rsidP="002C117A">
      <w:pPr>
        <w:bidi w:val="0"/>
        <w:jc w:val="both"/>
        <w:rPr>
          <w:rFonts w:cstheme="minorHAnsi"/>
        </w:rPr>
      </w:pPr>
      <w:r w:rsidRPr="007E1A19">
        <w:rPr>
          <w:rFonts w:cstheme="minorHAnsi"/>
        </w:rPr>
        <w:t xml:space="preserve">Anionic tags </w:t>
      </w:r>
      <w:r w:rsidR="00ED7A9E" w:rsidRPr="007E1A19">
        <w:rPr>
          <w:rFonts w:cstheme="minorHAnsi"/>
        </w:rPr>
        <w:t xml:space="preserve">are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 xml:space="preserve">the </w:t>
      </w:r>
      <w:r w:rsidR="00323D29" w:rsidRPr="007E1A19">
        <w:rPr>
          <w:rFonts w:cstheme="minorHAnsi"/>
        </w:rPr>
        <w:lastRenderedPageBreak/>
        <w:t>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11</w:t>
      </w:r>
      <w:r w:rsidR="00323D29" w:rsidRPr="007E1A19">
        <w:rPr>
          <w:rFonts w:cstheme="minorHAnsi"/>
        </w:rPr>
        <w:t xml:space="preserve"> They also managed to achieve </w:t>
      </w:r>
      <w:r w:rsidR="00ED7A9E" w:rsidRPr="007E1A19">
        <w:rPr>
          <w:rFonts w:cstheme="minorHAnsi"/>
        </w:rPr>
        <w:t>??</w:t>
      </w:r>
      <w:r w:rsidR="00323D29" w:rsidRPr="007E1A19">
        <w:rPr>
          <w:rFonts w:cstheme="minorHAnsi"/>
        </w:rPr>
        <w:t xml:space="preserve"> TONs (70-1520, depending on the reaction) for RCM and CM of various challenging substrates like the sugar galactopyranoside and uridine (a sentence about potential</w:t>
      </w:r>
      <w:r w:rsidR="008F4E3D" w:rsidRPr="007E1A19">
        <w:rPr>
          <w:rFonts w:cstheme="minorHAnsi"/>
        </w:rPr>
        <w:t xml:space="preserve"> applications</w:t>
      </w:r>
      <w:r w:rsidR="00323D29" w:rsidRPr="007E1A19">
        <w:rPr>
          <w:rFonts w:cstheme="minorHAnsi"/>
        </w:rPr>
        <w:t>)</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452222E9"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Metalloproteins</w:t>
      </w:r>
      <w:r w:rsidR="00BD2128" w:rsidRPr="007E1A19">
        <w:rPr>
          <w:rFonts w:cstheme="minorHAnsi"/>
          <w:highlight w:val="yellow"/>
        </w:rPr>
        <w:t>/metalloenzymes</w:t>
      </w:r>
      <w:r w:rsidRPr="007E1A19">
        <w:rPr>
          <w:rFonts w:cstheme="minorHAnsi"/>
          <w:highlight w:val="yellow"/>
        </w:rPr>
        <w:t xml:space="preserve"> – design, synthesis and usage</w:t>
      </w:r>
      <w:r w:rsidR="009208B3" w:rsidRPr="007E1A19">
        <w:rPr>
          <w:rFonts w:cstheme="minorHAnsi"/>
          <w:highlight w:val="yellow"/>
        </w:rPr>
        <w:t>+examples</w:t>
      </w:r>
    </w:p>
    <w:p w14:paraId="1EED4E6A" w14:textId="1609698C" w:rsidR="00EF7B5B" w:rsidRPr="007E1A19" w:rsidRDefault="00EF7B5B" w:rsidP="003E40DC">
      <w:pPr>
        <w:bidi w:val="0"/>
        <w:jc w:val="both"/>
        <w:rPr>
          <w:rFonts w:cstheme="minorHAnsi"/>
        </w:rPr>
      </w:pPr>
      <w:r w:rsidRPr="007E1A19">
        <w:rPr>
          <w:rFonts w:cstheme="minorHAnsi"/>
        </w:rPr>
        <w:t>Article 21</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903BBF5"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Pr="007E1A19">
        <w:rPr>
          <w:rFonts w:cstheme="minorHAnsi"/>
          <w:vertAlign w:val="superscript"/>
        </w:rPr>
        <w:t>8 and quotes?</w:t>
      </w:r>
    </w:p>
    <w:p w14:paraId="27E4925F" w14:textId="1299A045" w:rsidR="001315AC" w:rsidRPr="007E1A19" w:rsidRDefault="001315AC" w:rsidP="001315AC">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rsidRPr="007E1A19">
        <w:rPr>
          <w:rFonts w:cstheme="minorHAnsi"/>
        </w:rPr>
        <w:t>genetically engineering a protease cleavage site, denaturing and digesting the protein and renaturing it afterwards to achieve refolding to the original secondary structure.</w:t>
      </w:r>
      <w:r w:rsidR="00097573" w:rsidRPr="007E1A19">
        <w:rPr>
          <w:rFonts w:cstheme="minorHAnsi"/>
          <w:vertAlign w:val="superscript"/>
        </w:rPr>
        <w:t>28</w:t>
      </w:r>
    </w:p>
    <w:p w14:paraId="706263DE" w14:textId="0C067DE9"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p>
    <w:p w14:paraId="23724E69" w14:textId="2C00BC64"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073773" w:rsidRPr="007E1A19">
        <w:rPr>
          <w:rFonts w:cstheme="minorHAnsi"/>
          <w:vertAlign w:val="superscript"/>
        </w:rPr>
        <w:t>25</w:t>
      </w:r>
    </w:p>
    <w:p w14:paraId="6DF6A022" w14:textId="4DF42D95"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w:t>
      </w:r>
      <w:r w:rsidR="00724D37" w:rsidRPr="007E1A19">
        <w:rPr>
          <w:rFonts w:cstheme="minorHAnsi"/>
        </w:rPr>
        <w:lastRenderedPageBreak/>
        <w:t>hydrophilic amino acid residues on the anchoring protein that compete with the metathesis reaction.</w:t>
      </w:r>
      <w:r w:rsidR="00724D37" w:rsidRPr="007E1A19">
        <w:rPr>
          <w:rFonts w:cstheme="minorHAnsi"/>
          <w:vertAlign w:val="superscript"/>
        </w:rPr>
        <w:t>28</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B92B06" w:rsidRPr="007E1A19">
        <w:rPr>
          <w:rFonts w:cstheme="minorHAnsi"/>
          <w:vertAlign w:val="superscript"/>
        </w:rPr>
        <w:t>8</w:t>
      </w:r>
      <w:r w:rsidR="008160C6" w:rsidRPr="007E1A19">
        <w:rPr>
          <w:rFonts w:cstheme="minorHAnsi"/>
          <w:vertAlign w:val="superscript"/>
        </w:rPr>
        <w:t>+its quotes</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which depends on the protein</w:t>
      </w:r>
      <w:r w:rsidR="00061116" w:rsidRPr="007E1A19">
        <w:rPr>
          <w:rFonts w:cstheme="minorHAnsi"/>
        </w:rPr>
        <w:t>, the catalyst</w:t>
      </w:r>
      <w:r w:rsidR="00026CA2" w:rsidRPr="007E1A19">
        <w:rPr>
          <w:rFonts w:cstheme="minorHAnsi"/>
        </w:rPr>
        <w:t xml:space="preserve"> and the catalyzed reaction.</w:t>
      </w:r>
    </w:p>
    <w:p w14:paraId="19B0E0D7" w14:textId="593AB7BB" w:rsidR="008160C6" w:rsidRPr="007E1A19" w:rsidRDefault="008160C6" w:rsidP="008160C6">
      <w:pPr>
        <w:bidi w:val="0"/>
        <w:jc w:val="both"/>
        <w:rPr>
          <w:rFonts w:cstheme="minorHAnsi"/>
        </w:rPr>
      </w:pPr>
      <w:r w:rsidRPr="007E1A19">
        <w:rPr>
          <w:rFonts w:cstheme="minorHAnsi"/>
        </w:rPr>
        <w:t xml:space="preserve">The stability and reactivity of the metalloenzyme may be affected by the anionic ligand bound to the ruthenium. A study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 GHII 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sidRPr="007E1A19">
        <w:rPr>
          <w:rFonts w:cstheme="minorHAnsi"/>
          <w:vertAlign w:val="superscript"/>
        </w:rPr>
        <w:t>6</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7D4776" w:rsidRPr="007E1A19">
        <w:rPr>
          <w:rFonts w:cstheme="minorHAnsi"/>
          <w:vertAlign w:val="superscript"/>
        </w:rPr>
        <w:t>3</w:t>
      </w:r>
      <w:r w:rsidR="007D4776" w:rsidRPr="007E1A19">
        <w:rPr>
          <w:rFonts w:cstheme="minorHAnsi"/>
        </w:rPr>
        <w:t xml:space="preserve"> </w:t>
      </w:r>
      <w:r w:rsidR="00C63365" w:rsidRPr="007E1A19">
        <w:rPr>
          <w:rFonts w:cstheme="minorHAnsi"/>
        </w:rPr>
        <w:t xml:space="preserve"> </w:t>
      </w:r>
    </w:p>
    <w:p w14:paraId="7FCA3C20" w14:textId="14BEADB1"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GHII catalyst</w:t>
      </w:r>
      <w:r w:rsidR="00DB0E24" w:rsidRPr="007E1A19">
        <w:rPr>
          <w:rFonts w:cstheme="minorHAnsi"/>
        </w:rPr>
        <w:t>;</w:t>
      </w:r>
      <w:r w:rsidR="00DB0E24" w:rsidRPr="007E1A19">
        <w:rPr>
          <w:rFonts w:cstheme="minorHAnsi"/>
          <w:vertAlign w:val="superscript"/>
        </w:rPr>
        <w:t>28</w:t>
      </w:r>
      <w:r w:rsidR="00C06DE3" w:rsidRPr="007E1A19">
        <w:rPr>
          <w:rFonts w:cstheme="minorHAnsi"/>
        </w:rPr>
        <w:t xml:space="preserve"> </w:t>
      </w:r>
      <w:r w:rsidR="00DB0E24" w:rsidRPr="007E1A19">
        <w:rPr>
          <w:rFonts w:cstheme="minorHAnsi"/>
        </w:rPr>
        <w:t>experiments employing the smaller protein nitrobindin introduced mutations to construct a hydrophobic cavity for catalyst anchoring.</w:t>
      </w:r>
      <w:r w:rsidR="00DB0E24" w:rsidRPr="007E1A19">
        <w:rPr>
          <w:rFonts w:cstheme="minorHAnsi"/>
          <w:vertAlign w:val="superscript"/>
        </w:rPr>
        <w:t>8+quotes</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 (??? Check that I'm not lying)</w:t>
      </w:r>
      <w:r w:rsidR="00027D48" w:rsidRPr="007E1A19">
        <w:rPr>
          <w:rFonts w:cstheme="minorHAnsi"/>
        </w:rPr>
        <w:t xml:space="preserve">. 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r w:rsidR="00270130" w:rsidRPr="007E1A19">
        <w:rPr>
          <w:rFonts w:cstheme="minorHAnsi"/>
          <w:vertAlign w:val="superscript"/>
        </w:rPr>
        <w:t>2</w:t>
      </w:r>
    </w:p>
    <w:p w14:paraId="5EDEFB7F" w14:textId="5A5E9ABB"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GHII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5502F8" w:rsidRPr="007E1A19">
        <w:rPr>
          <w:rFonts w:cstheme="minorHAnsi"/>
          <w:vertAlign w:val="superscript"/>
        </w:rPr>
        <w:t>22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lastRenderedPageBreak/>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w:t>
      </w:r>
      <w:commentRangeStart w:id="11"/>
      <w:r w:rsidR="00902CAA" w:rsidRPr="007E1A19">
        <w:rPr>
          <w:rFonts w:cstheme="minorHAnsi"/>
        </w:rPr>
        <w:t>alcohol</w:t>
      </w:r>
      <w:commentRangeEnd w:id="11"/>
      <w:r w:rsidR="007B0199" w:rsidRPr="007E1A19">
        <w:rPr>
          <w:rStyle w:val="CommentReference"/>
          <w:rFonts w:cstheme="minorHAnsi"/>
        </w:rPr>
        <w:commentReference w:id="11"/>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r w:rsidR="002C117A" w:rsidRPr="007E1A19">
        <w:rPr>
          <w:rFonts w:cstheme="minorHAnsi"/>
        </w:rPr>
        <w:t>(</w:t>
      </w:r>
      <w:r w:rsidR="00203D63" w:rsidRPr="007E1A19">
        <w:rPr>
          <w:rFonts w:cstheme="minorHAnsi"/>
        </w:rPr>
        <w:t xml:space="preserve"> </w:t>
      </w:r>
      <w:r w:rsidR="007126CB" w:rsidRPr="007E1A19">
        <w:rPr>
          <w:rFonts w:cstheme="minorHAnsi"/>
        </w:rPr>
        <w:t>look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r w:rsidRPr="007E1A19">
        <w:rPr>
          <w:rFonts w:cstheme="minorHAnsi"/>
          <w:vertAlign w:val="superscript"/>
        </w:rPr>
        <w:t>?</w:t>
      </w:r>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12"/>
      <w:r w:rsidRPr="007E1A19">
        <w:rPr>
          <w:rFonts w:cstheme="minorHAnsi"/>
          <w:noProof/>
        </w:rPr>
        <w:lastRenderedPageBreak/>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6"/>
                    <a:stretch>
                      <a:fillRect/>
                    </a:stretch>
                  </pic:blipFill>
                  <pic:spPr>
                    <a:xfrm>
                      <a:off x="0" y="0"/>
                      <a:ext cx="3324689" cy="1943371"/>
                    </a:xfrm>
                    <a:prstGeom prst="rect">
                      <a:avLst/>
                    </a:prstGeom>
                  </pic:spPr>
                </pic:pic>
              </a:graphicData>
            </a:graphic>
          </wp:inline>
        </w:drawing>
      </w:r>
      <w:commentRangeEnd w:id="12"/>
      <w:r w:rsidRPr="007E1A19">
        <w:rPr>
          <w:rStyle w:val="CommentReference"/>
          <w:rFonts w:cstheme="minorHAnsi"/>
        </w:rPr>
        <w:commentReference w:id="12"/>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1209C7" w:rsidRPr="007E1A19">
        <w:rPr>
          <w:rFonts w:cstheme="minorHAnsi"/>
          <w:vertAlign w:val="superscript"/>
        </w:rPr>
        <w:t>also 17</w:t>
      </w:r>
      <w:commentRangeStart w:id="13"/>
      <w:r w:rsidR="006C6999" w:rsidRPr="007E1A19">
        <w:rPr>
          <w:rFonts w:cstheme="minorHAnsi"/>
        </w:rPr>
        <w:t>,</w:t>
      </w:r>
      <w:commentRangeEnd w:id="13"/>
      <w:r w:rsidR="006C6999" w:rsidRPr="007E1A19">
        <w:rPr>
          <w:rStyle w:val="CommentReference"/>
          <w:rFonts w:cstheme="minorHAnsi"/>
        </w:rPr>
        <w:commentReference w:id="13"/>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dichloro form </w:t>
      </w:r>
      <w:commentRangeStart w:id="14"/>
      <w:r w:rsidR="00875A54" w:rsidRPr="007E1A19">
        <w:rPr>
          <w:rFonts w:cstheme="minorHAnsi"/>
        </w:rPr>
        <w:t xml:space="preserve">of </w:t>
      </w:r>
      <w:commentRangeEnd w:id="14"/>
      <w:r w:rsidR="00A91298" w:rsidRPr="007E1A19">
        <w:rPr>
          <w:rStyle w:val="CommentReference"/>
          <w:rFonts w:cstheme="minorHAnsi"/>
        </w:rPr>
        <w:commentReference w:id="14"/>
      </w:r>
      <w:r w:rsidR="00875A54" w:rsidRPr="007E1A19">
        <w:rPr>
          <w:rFonts w:cstheme="minorHAnsi"/>
        </w:rPr>
        <w:t xml:space="preserve">the </w:t>
      </w:r>
      <w:commentRangeStart w:id="15"/>
      <w:r w:rsidR="00875A54" w:rsidRPr="007E1A19">
        <w:rPr>
          <w:rFonts w:cstheme="minorHAnsi"/>
        </w:rPr>
        <w:t>catalyst</w:t>
      </w:r>
      <w:commentRangeEnd w:id="15"/>
      <w:r w:rsidR="00986504" w:rsidRPr="007E1A19">
        <w:rPr>
          <w:rStyle w:val="CommentReference"/>
          <w:rFonts w:cstheme="minorHAnsi"/>
        </w:rPr>
        <w:commentReference w:id="15"/>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 xml:space="preserve">reports of metathesis in living systems demonstrate this. </w:t>
      </w:r>
      <w:r w:rsidR="00631023" w:rsidRPr="007E1A19">
        <w:rPr>
          <w:rFonts w:cstheme="minorHAnsi"/>
        </w:rPr>
        <w:lastRenderedPageBreak/>
        <w:t>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w:t>
      </w:r>
      <w:r w:rsidRPr="007E1A19">
        <w:rPr>
          <w:rFonts w:cstheme="minorHAnsi"/>
        </w:rPr>
        <w:lastRenderedPageBreak/>
        <w:t xml:space="preserve">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16"/>
      <w:r w:rsidRPr="007E1A19">
        <w:rPr>
          <w:rFonts w:cstheme="minorHAnsi"/>
          <w:vertAlign w:val="superscript"/>
        </w:rPr>
        <w:t>?</w:t>
      </w:r>
      <w:commentRangeEnd w:id="16"/>
      <w:r w:rsidRPr="007E1A19">
        <w:rPr>
          <w:rStyle w:val="CommentReference"/>
          <w:rFonts w:cstheme="minorHAnsi"/>
        </w:rPr>
        <w:commentReference w:id="16"/>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A8357B">
      <w:pPr>
        <w:pStyle w:val="ListParagraph"/>
        <w:numPr>
          <w:ilvl w:val="0"/>
          <w:numId w:val="8"/>
        </w:numPr>
        <w:bidi w:val="0"/>
      </w:pPr>
      <w:r w:rsidRPr="00A8357B">
        <w:t xml:space="preserve">Jean-Louis Hérisson, P.; Chauvin, Y. Die Makromolekulare Chemie 1971, 141 (1), 161–176. </w:t>
      </w:r>
      <w:r w:rsidR="00194A39" w:rsidRPr="00194A39">
        <w:t>https://doi.org/10.1002/macp.1971.021410112</w:t>
      </w:r>
      <w:r w:rsidRPr="00A8357B">
        <w:t>.</w:t>
      </w:r>
    </w:p>
    <w:p w14:paraId="3DE73D0C" w14:textId="28A74584" w:rsidR="00194A39" w:rsidRDefault="00194A39" w:rsidP="00194A39">
      <w:pPr>
        <w:pStyle w:val="ListParagraph"/>
        <w:numPr>
          <w:ilvl w:val="0"/>
          <w:numId w:val="8"/>
        </w:numPr>
        <w:bidi w:val="0"/>
      </w:pPr>
      <w:r>
        <w:t>Reany, O.; Gabriel Lemcoff, N. Light Guided Chemoselective Olefin Metathesis Reactions. Pure and Applied Chemistry 2017, 89 (6), 829–840. https://doi.org/10.1515/pac-2016-1221.</w:t>
      </w:r>
    </w:p>
    <w:p w14:paraId="3B2357BD" w14:textId="039A568E" w:rsidR="00F6220D" w:rsidRDefault="00194A39" w:rsidP="00F6220D">
      <w:pPr>
        <w:pStyle w:val="ListParagraph"/>
        <w:numPr>
          <w:ilvl w:val="0"/>
          <w:numId w:val="8"/>
        </w:numPr>
        <w:bidi w:val="0"/>
      </w:pPr>
      <w:r>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F6220D">
      <w:pPr>
        <w:pStyle w:val="ListParagraph"/>
        <w:numPr>
          <w:ilvl w:val="0"/>
          <w:numId w:val="8"/>
        </w:numPr>
        <w:bidi w:val="0"/>
      </w:pPr>
      <w:r>
        <w:t>‌</w:t>
      </w:r>
      <w:r w:rsidR="000C52EB">
        <w:t xml:space="preserve"> </w:t>
      </w:r>
      <w:r w:rsidR="000C52EB" w:rsidRPr="000C52EB">
        <w:t>Vougioukalakis, G. C.; Grubbs, R. H. Ruthenium-Based Heterocyclic Carbene-Coordinated Olefin Metathesis Catalysts†. Chemical Reviews 2010, 110 (3), 1746–1787. https://doi.org/10.1021/cr9002424.</w:t>
      </w:r>
    </w:p>
    <w:p w14:paraId="5C491740" w14:textId="77777777" w:rsidR="000C52EB" w:rsidRDefault="000C52EB" w:rsidP="000C52EB">
      <w:pPr>
        <w:pStyle w:val="ListParagraph"/>
        <w:numPr>
          <w:ilvl w:val="0"/>
          <w:numId w:val="8"/>
        </w:numPr>
        <w:bidi w:val="0"/>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1463">
      <w:pPr>
        <w:pStyle w:val="ListParagraph"/>
        <w:numPr>
          <w:ilvl w:val="0"/>
          <w:numId w:val="8"/>
        </w:numPr>
        <w:bidi w:val="0"/>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572109">
      <w:pPr>
        <w:pStyle w:val="ListParagraph"/>
        <w:numPr>
          <w:ilvl w:val="0"/>
          <w:numId w:val="8"/>
        </w:numPr>
        <w:bidi w:val="0"/>
      </w:pPr>
      <w:r>
        <w:lastRenderedPageBreak/>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E018BA">
      <w:pPr>
        <w:pStyle w:val="ListParagraph"/>
        <w:numPr>
          <w:ilvl w:val="0"/>
          <w:numId w:val="8"/>
        </w:numPr>
        <w:bidi w:val="0"/>
      </w:pPr>
      <w:r>
        <w:t>‌</w:t>
      </w:r>
      <w:r w:rsidR="00E018BA" w:rsidRPr="00E018BA">
        <w:t xml:space="preserve"> </w:t>
      </w:r>
      <w:r w:rsidR="00E018BA">
        <w:t>(1)Scinto, S. L.; Bilodeau, D. A.; Hincapie, R.; Lee, W.; Nguyen, S. S.; Xu, M.; am Ende, C. W.; Finn, M. G.; Lang, K.; Lin, Q.; Pezacki, J. P.; Prescher, J. A.; Robillard, M. S.; Fox, J. M. Bioorthogonal Chemistry. Nature Reviews Methods Primers 2021, 1 (1), 1–23. https://doi.org/10.1038/s43586-021-00028-z.</w:t>
      </w:r>
    </w:p>
    <w:p w14:paraId="038FB86D" w14:textId="72F1E3F3" w:rsidR="0074433D" w:rsidRDefault="00E018BA" w:rsidP="0074433D">
      <w:pPr>
        <w:pStyle w:val="ListParagraph"/>
        <w:numPr>
          <w:ilvl w:val="0"/>
          <w:numId w:val="8"/>
        </w:numPr>
        <w:bidi w:val="0"/>
      </w:pPr>
      <w:r>
        <w:t>‌</w:t>
      </w:r>
      <w:r w:rsidR="0074433D" w:rsidRPr="0074433D">
        <w:t xml:space="preserve"> </w:t>
      </w:r>
      <w:r w:rsidR="0074433D">
        <w:t>(1)Saxon, E. Cell Surface Engineering by a Modified Staudinger Reaction. Science 2000, 287 (5460), 2007–2010. https://doi.org/10.1126/science.287.5460.2007.</w:t>
      </w:r>
    </w:p>
    <w:p w14:paraId="217F26D8" w14:textId="345771CA" w:rsidR="00161981" w:rsidRDefault="0074433D" w:rsidP="00161981">
      <w:pPr>
        <w:pStyle w:val="ListParagraph"/>
        <w:numPr>
          <w:ilvl w:val="0"/>
          <w:numId w:val="8"/>
        </w:numPr>
        <w:bidi w:val="0"/>
      </w:pPr>
      <w:r>
        <w:t>‌</w:t>
      </w:r>
      <w:r w:rsidR="00161981" w:rsidRPr="00161981">
        <w:t xml:space="preserve"> </w:t>
      </w:r>
      <w:r w:rsidR="00161981">
        <w:t>(1)Bird, R. E.; Lemmel, S. A.; Yu, X.; Zhou, Q. A. Bioorthogonal Chemistry and Its Applications. Bioconjugate Chemistry 2021, 32 (12), 2457–2479. https://doi.org/10.1021/acs.bioconjchem.1c00461.</w:t>
      </w:r>
    </w:p>
    <w:p w14:paraId="6572E3AB" w14:textId="066262B8" w:rsidR="00AF6D36" w:rsidRDefault="00161981" w:rsidP="00AF6D36">
      <w:pPr>
        <w:pStyle w:val="ListParagraph"/>
        <w:numPr>
          <w:ilvl w:val="0"/>
          <w:numId w:val="8"/>
        </w:numPr>
        <w:bidi w:val="0"/>
      </w:pPr>
      <w:r>
        <w:t>‌</w:t>
      </w:r>
      <w:r w:rsidR="00AF6D36" w:rsidRPr="00AF6D36">
        <w:t xml:space="preserve"> </w:t>
      </w:r>
      <w:r w:rsidR="00AF6D36">
        <w:t>(1)Stymiest, J. L.; Mitchell, B. F.; Wong, S. J.; Vederas, J. C. Synthesis of Oxytocin Analogues with Replacement of Sulfur by Carbon Gives Potent Antagonists with Increased Stability. 2005, 70 (20), 7799–7809. https://doi.org/10.1021/jo050539l.</w:t>
      </w:r>
    </w:p>
    <w:p w14:paraId="09CEB2FC" w14:textId="13CF3FB8" w:rsidR="002A552B" w:rsidRDefault="00AF6D36" w:rsidP="002A552B">
      <w:pPr>
        <w:pStyle w:val="ListParagraph"/>
        <w:numPr>
          <w:ilvl w:val="0"/>
          <w:numId w:val="8"/>
        </w:numPr>
        <w:bidi w:val="0"/>
      </w:pPr>
      <w:r>
        <w:t>‌</w:t>
      </w:r>
      <w:r w:rsidR="002A552B" w:rsidRPr="002A552B">
        <w:t xml:space="preserve"> </w:t>
      </w:r>
      <w:r w:rsidR="002A552B">
        <w:t>(1)Shvedunova, M.; Akhtar, A. Modulation of Cellular Processes by Histone and Non-Histone Protein Acetylation. Nature Reviews Molecular Cell Biology 2022. https://doi.org/10.1038/s41580-021-00441-y.</w:t>
      </w:r>
    </w:p>
    <w:p w14:paraId="7BE51070" w14:textId="3500ED13" w:rsidR="008821A4" w:rsidRDefault="002A552B" w:rsidP="008821A4">
      <w:pPr>
        <w:pStyle w:val="ListParagraph"/>
        <w:numPr>
          <w:ilvl w:val="0"/>
          <w:numId w:val="8"/>
        </w:numPr>
        <w:bidi w:val="0"/>
      </w:pPr>
      <w:r>
        <w:t>‌</w:t>
      </w:r>
      <w:r w:rsidR="008821A4" w:rsidRPr="008821A4">
        <w:t xml:space="preserve"> </w:t>
      </w:r>
      <w:r w:rsidR="008821A4">
        <w:t>(1)Lin,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F80127">
      <w:pPr>
        <w:pStyle w:val="ListParagraph"/>
        <w:numPr>
          <w:ilvl w:val="0"/>
          <w:numId w:val="8"/>
        </w:numPr>
        <w:bidi w:val="0"/>
      </w:pPr>
      <w:r>
        <w:t>‌</w:t>
      </w:r>
      <w:r w:rsidR="00F80127" w:rsidRPr="00F80127">
        <w:t xml:space="preserve"> </w:t>
      </w:r>
      <w:r w:rsidR="00F80127">
        <w:t>(1)Lu,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AC7C56">
      <w:pPr>
        <w:pStyle w:val="ListParagraph"/>
        <w:numPr>
          <w:ilvl w:val="0"/>
          <w:numId w:val="8"/>
        </w:numPr>
        <w:bidi w:val="0"/>
      </w:pPr>
      <w:r>
        <w:t>‌</w:t>
      </w:r>
      <w:r w:rsidR="00AC7C56" w:rsidRPr="00AC7C56">
        <w:t xml:space="preserve"> </w:t>
      </w:r>
      <w:r w:rsidR="00AC7C56">
        <w:t>(1)Blanco,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AC7C56">
      <w:pPr>
        <w:pStyle w:val="ListParagraph"/>
        <w:numPr>
          <w:ilvl w:val="0"/>
          <w:numId w:val="8"/>
        </w:numPr>
        <w:bidi w:val="0"/>
      </w:pPr>
      <w:r>
        <w:t>‌</w:t>
      </w:r>
      <w:r w:rsidR="00374DA8" w:rsidRPr="00374DA8">
        <w:t xml:space="preserve"> </w:t>
      </w:r>
      <w:r w:rsidR="00374DA8" w:rsidRPr="00374DA8">
        <w:t xml:space="preserve">Steffansen, S. I.; Christensen, M. S.; Børsting, P.; Nielsen, P. Synthesis of Conformationally Restricted Nucleic Acid Fragments Using Ring-Closing Alkene and Enyne Metathesis Reactions. Nucleosides, nucleotides &amp; nucleic acids 2005, 24 (5-7), 1015–1018. </w:t>
      </w:r>
      <w:hyperlink r:id="rId17" w:history="1">
        <w:r w:rsidR="000A048D" w:rsidRPr="00F415F9">
          <w:rPr>
            <w:rStyle w:val="Hyperlink"/>
          </w:rPr>
          <w:t>https://doi.org/10.1081/ncn-200060347</w:t>
        </w:r>
      </w:hyperlink>
      <w:r w:rsidR="00374DA8" w:rsidRPr="00374DA8">
        <w:t>.</w:t>
      </w:r>
    </w:p>
    <w:p w14:paraId="08433276" w14:textId="77777777" w:rsidR="000A048D" w:rsidRDefault="000A048D" w:rsidP="000A048D">
      <w:pPr>
        <w:pStyle w:val="ListParagraph"/>
        <w:numPr>
          <w:ilvl w:val="0"/>
          <w:numId w:val="8"/>
        </w:numPr>
        <w:bidi w:val="0"/>
      </w:pPr>
      <w:r>
        <w:t>(1)Kelly, M. P.; Napolitano, T.; Anand, P.; Justin; Jabeen, S.; Kuppan, J.; Sujoy Manir; Holford, M. Induced Disassembly of a Virus-like Particle under Physiological Conditions for Venom Peptide Delivery. Bioconjugate Chemistry 2020, 32 (1), 111–120. https://doi.org/10.1021/acs.bioconjchem.0c00494.</w:t>
      </w:r>
    </w:p>
    <w:p w14:paraId="490266D1" w14:textId="39D0B0FF" w:rsidR="00843C65" w:rsidRDefault="000A048D" w:rsidP="00843C65">
      <w:pPr>
        <w:pStyle w:val="ListParagraph"/>
        <w:numPr>
          <w:ilvl w:val="0"/>
          <w:numId w:val="8"/>
        </w:numPr>
        <w:bidi w:val="0"/>
      </w:pPr>
      <w:r>
        <w:t>‌</w:t>
      </w:r>
      <w:r w:rsidR="00843C65" w:rsidRPr="00843C65">
        <w:t xml:space="preserve"> </w:t>
      </w:r>
      <w:r w:rsidR="00843C65">
        <w:rPr>
          <w:rFonts w:cs="Arial"/>
          <w:rtl/>
        </w:rPr>
        <w:t>(1)</w:t>
      </w:r>
      <w:r w:rsidR="00843C65">
        <w:t>Igor Nasibullin; Yoshioka, H.; Akari Mukaimine; Nakamura, A.; Kusakari, Y.; Chang, T.-C.; Tanaka, K. Catalytic Olefin Metathesis in Blood. Chemical science 2023, 14 (40), 11033–11039. https://doi.org/10.1039/d3sc03785a</w:t>
      </w:r>
      <w:r w:rsidR="00843C65">
        <w:rPr>
          <w:rFonts w:cs="Arial"/>
          <w:rtl/>
        </w:rPr>
        <w:t>.</w:t>
      </w:r>
    </w:p>
    <w:p w14:paraId="77D4A5B7" w14:textId="769F755C" w:rsidR="000A048D" w:rsidRDefault="00843C65" w:rsidP="00CA2F8F">
      <w:pPr>
        <w:pStyle w:val="ListParagraph"/>
        <w:numPr>
          <w:ilvl w:val="0"/>
          <w:numId w:val="8"/>
        </w:numPr>
        <w:bidi w:val="0"/>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18" w:history="1">
        <w:r w:rsidR="00CA2F8F" w:rsidRPr="007D7CDA">
          <w:rPr>
            <w:rStyle w:val="Hyperlink"/>
          </w:rPr>
          <w:t>https://doi.org/10.1038/s41565-020-0761-y</w:t>
        </w:r>
      </w:hyperlink>
      <w:r w:rsidR="00CA2F8F" w:rsidRPr="00CA2F8F">
        <w:t>.</w:t>
      </w:r>
    </w:p>
    <w:p w14:paraId="7DAFB982" w14:textId="77777777" w:rsidR="00CA2F8F" w:rsidRPr="00A8357B" w:rsidRDefault="00CA2F8F" w:rsidP="00CA2F8F">
      <w:pPr>
        <w:pStyle w:val="ListParagraph"/>
        <w:numPr>
          <w:ilvl w:val="0"/>
          <w:numId w:val="8"/>
        </w:numPr>
        <w:bidi w:val="0"/>
      </w:pPr>
    </w:p>
    <w:sectPr w:rsidR="00CA2F8F"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4"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5"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6"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7"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8"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9" w:author="Hadas Gayer" w:date="2024-12-09T21:26:00Z" w:initials="HG">
    <w:p w14:paraId="5AAA273C" w14:textId="77777777" w:rsidR="00A91F21" w:rsidRDefault="00A91F21" w:rsidP="00A91F21">
      <w:pPr>
        <w:pStyle w:val="CommentText"/>
        <w:bidi w:val="0"/>
      </w:pPr>
      <w:r>
        <w:rPr>
          <w:rStyle w:val="CommentReference"/>
        </w:rPr>
        <w:annotationRef/>
      </w:r>
      <w:hyperlink r:id="rId2" w:history="1">
        <w:r w:rsidRPr="00C77E40">
          <w:rPr>
            <w:rStyle w:val="Hyperlink"/>
          </w:rPr>
          <w:t>https://www.sciencedirect.com/science/article/abs/pii/000927978090023X</w:t>
        </w:r>
      </w:hyperlink>
    </w:p>
  </w:comment>
  <w:comment w:id="10"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11"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12"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13" w:author="Hadas Gayer" w:date="2024-12-13T19:14:00Z" w:initials="HG">
    <w:p w14:paraId="11DF9FC7" w14:textId="77777777" w:rsidR="006C6999" w:rsidRDefault="006C6999" w:rsidP="006C6999">
      <w:pPr>
        <w:pStyle w:val="CommentText"/>
        <w:bidi w:val="0"/>
      </w:pPr>
      <w:r>
        <w:rPr>
          <w:rStyle w:val="CommentReference"/>
        </w:rPr>
        <w:annotationRef/>
      </w:r>
      <w:hyperlink r:id="rId3" w:anchor="SD2" w:history="1">
        <w:r w:rsidRPr="00360B55">
          <w:rPr>
            <w:rStyle w:val="Hyperlink"/>
          </w:rPr>
          <w:t>https://pmc.ncbi.nlm.nih.gov/articles/PMC7610402/#SD2</w:t>
        </w:r>
      </w:hyperlink>
    </w:p>
  </w:comment>
  <w:comment w:id="14"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15" w:author="Hadas Gayer" w:date="2024-12-14T17:58:00Z" w:initials="HG">
    <w:p w14:paraId="2993ECEE" w14:textId="29451978" w:rsidR="00986504" w:rsidRDefault="00986504" w:rsidP="00986504">
      <w:pPr>
        <w:pStyle w:val="CommentText"/>
        <w:bidi w:val="0"/>
      </w:pPr>
      <w:r>
        <w:rPr>
          <w:rStyle w:val="CommentReference"/>
        </w:rPr>
        <w:annotationRef/>
      </w:r>
      <w:hyperlink r:id="rId4" w:history="1">
        <w:r w:rsidRPr="008E18FB">
          <w:rPr>
            <w:rStyle w:val="Hyperlink"/>
          </w:rPr>
          <w:t>https://pmc-ncbi-nlm-nih-gov.elib.openu.ac.il/articles/PMC8009303/</w:t>
        </w:r>
      </w:hyperlink>
    </w:p>
  </w:comment>
  <w:comment w:id="16" w:author="Hadas Gayer" w:date="2024-12-18T01:22:00Z" w:initials="HG">
    <w:p w14:paraId="2BB06A6D" w14:textId="77777777" w:rsidR="009B7A8D" w:rsidRDefault="00E804C3" w:rsidP="009B7A8D">
      <w:pPr>
        <w:pStyle w:val="CommentText"/>
        <w:bidi w:val="0"/>
      </w:pPr>
      <w:r>
        <w:rPr>
          <w:rStyle w:val="CommentReference"/>
        </w:rPr>
        <w:annotationRef/>
      </w:r>
      <w:hyperlink r:id="rId5"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4426F"/>
    <w:rsid w:val="00046EEB"/>
    <w:rsid w:val="000505A9"/>
    <w:rsid w:val="000517E3"/>
    <w:rsid w:val="00051E0D"/>
    <w:rsid w:val="00052B77"/>
    <w:rsid w:val="00054048"/>
    <w:rsid w:val="00057F75"/>
    <w:rsid w:val="00061116"/>
    <w:rsid w:val="000622DA"/>
    <w:rsid w:val="00073773"/>
    <w:rsid w:val="00081AFE"/>
    <w:rsid w:val="00082A19"/>
    <w:rsid w:val="00095F20"/>
    <w:rsid w:val="00096AEF"/>
    <w:rsid w:val="00097573"/>
    <w:rsid w:val="000A048D"/>
    <w:rsid w:val="000A1714"/>
    <w:rsid w:val="000A2B34"/>
    <w:rsid w:val="000A3821"/>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6D1E"/>
    <w:rsid w:val="00130AE9"/>
    <w:rsid w:val="001315AC"/>
    <w:rsid w:val="001344D2"/>
    <w:rsid w:val="00137679"/>
    <w:rsid w:val="0014293B"/>
    <w:rsid w:val="00150C69"/>
    <w:rsid w:val="00152B6A"/>
    <w:rsid w:val="00161981"/>
    <w:rsid w:val="00171480"/>
    <w:rsid w:val="00175CDD"/>
    <w:rsid w:val="001864F7"/>
    <w:rsid w:val="001930C3"/>
    <w:rsid w:val="00194A39"/>
    <w:rsid w:val="00194B10"/>
    <w:rsid w:val="00195425"/>
    <w:rsid w:val="001A3767"/>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227D"/>
    <w:rsid w:val="00254523"/>
    <w:rsid w:val="002572E6"/>
    <w:rsid w:val="00257FB8"/>
    <w:rsid w:val="0026074E"/>
    <w:rsid w:val="00261F6B"/>
    <w:rsid w:val="00264DCA"/>
    <w:rsid w:val="00270130"/>
    <w:rsid w:val="0027394C"/>
    <w:rsid w:val="00274C3E"/>
    <w:rsid w:val="002761A0"/>
    <w:rsid w:val="00281D0D"/>
    <w:rsid w:val="00283FC9"/>
    <w:rsid w:val="00284D89"/>
    <w:rsid w:val="002905C9"/>
    <w:rsid w:val="0029215B"/>
    <w:rsid w:val="00292D7B"/>
    <w:rsid w:val="0029574A"/>
    <w:rsid w:val="00297A08"/>
    <w:rsid w:val="002A00AD"/>
    <w:rsid w:val="002A4871"/>
    <w:rsid w:val="002A552B"/>
    <w:rsid w:val="002B1659"/>
    <w:rsid w:val="002B523A"/>
    <w:rsid w:val="002C0A66"/>
    <w:rsid w:val="002C117A"/>
    <w:rsid w:val="002C25F4"/>
    <w:rsid w:val="002C30FB"/>
    <w:rsid w:val="002D473D"/>
    <w:rsid w:val="002D6079"/>
    <w:rsid w:val="002E3400"/>
    <w:rsid w:val="002F05B3"/>
    <w:rsid w:val="002F4DE8"/>
    <w:rsid w:val="00306DA9"/>
    <w:rsid w:val="00317258"/>
    <w:rsid w:val="00320280"/>
    <w:rsid w:val="003221F6"/>
    <w:rsid w:val="00323D29"/>
    <w:rsid w:val="00327748"/>
    <w:rsid w:val="00330EEF"/>
    <w:rsid w:val="00335EA1"/>
    <w:rsid w:val="003419FB"/>
    <w:rsid w:val="003435CD"/>
    <w:rsid w:val="00344A43"/>
    <w:rsid w:val="00356372"/>
    <w:rsid w:val="003612E7"/>
    <w:rsid w:val="00361A5D"/>
    <w:rsid w:val="00361D54"/>
    <w:rsid w:val="003629B4"/>
    <w:rsid w:val="00363AA4"/>
    <w:rsid w:val="003722D4"/>
    <w:rsid w:val="00374DA8"/>
    <w:rsid w:val="00387390"/>
    <w:rsid w:val="00395EEA"/>
    <w:rsid w:val="00396893"/>
    <w:rsid w:val="003A3CE4"/>
    <w:rsid w:val="003A4CEA"/>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683B"/>
    <w:rsid w:val="00431C5C"/>
    <w:rsid w:val="00434584"/>
    <w:rsid w:val="00437388"/>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6F3D"/>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860BC"/>
    <w:rsid w:val="00591C6A"/>
    <w:rsid w:val="005965E5"/>
    <w:rsid w:val="00597538"/>
    <w:rsid w:val="005976B5"/>
    <w:rsid w:val="005B41F4"/>
    <w:rsid w:val="005B5DB3"/>
    <w:rsid w:val="005B6429"/>
    <w:rsid w:val="005C0228"/>
    <w:rsid w:val="005C241A"/>
    <w:rsid w:val="005C31E7"/>
    <w:rsid w:val="005C5295"/>
    <w:rsid w:val="005E406B"/>
    <w:rsid w:val="005E4B0B"/>
    <w:rsid w:val="00600556"/>
    <w:rsid w:val="006014AF"/>
    <w:rsid w:val="00602E0B"/>
    <w:rsid w:val="0060707D"/>
    <w:rsid w:val="00613CA9"/>
    <w:rsid w:val="006140C8"/>
    <w:rsid w:val="006154EE"/>
    <w:rsid w:val="00620EFC"/>
    <w:rsid w:val="00621937"/>
    <w:rsid w:val="00631023"/>
    <w:rsid w:val="00644455"/>
    <w:rsid w:val="00650015"/>
    <w:rsid w:val="00653A51"/>
    <w:rsid w:val="00655536"/>
    <w:rsid w:val="00660928"/>
    <w:rsid w:val="00660ED9"/>
    <w:rsid w:val="006664F7"/>
    <w:rsid w:val="00666537"/>
    <w:rsid w:val="0066773B"/>
    <w:rsid w:val="0067774E"/>
    <w:rsid w:val="00680522"/>
    <w:rsid w:val="00681901"/>
    <w:rsid w:val="00682910"/>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B0199"/>
    <w:rsid w:val="007B1FC5"/>
    <w:rsid w:val="007B50CE"/>
    <w:rsid w:val="007B5187"/>
    <w:rsid w:val="007B70CB"/>
    <w:rsid w:val="007B75D6"/>
    <w:rsid w:val="007C00A1"/>
    <w:rsid w:val="007D4776"/>
    <w:rsid w:val="007E00B7"/>
    <w:rsid w:val="007E1A19"/>
    <w:rsid w:val="007E4298"/>
    <w:rsid w:val="007E6755"/>
    <w:rsid w:val="007F1019"/>
    <w:rsid w:val="007F3936"/>
    <w:rsid w:val="00801450"/>
    <w:rsid w:val="00806E97"/>
    <w:rsid w:val="008070A3"/>
    <w:rsid w:val="00807BCA"/>
    <w:rsid w:val="008117FE"/>
    <w:rsid w:val="00812DAF"/>
    <w:rsid w:val="008160C6"/>
    <w:rsid w:val="0081712B"/>
    <w:rsid w:val="00834EF6"/>
    <w:rsid w:val="00843C65"/>
    <w:rsid w:val="00853C4F"/>
    <w:rsid w:val="00853F4B"/>
    <w:rsid w:val="00860E2D"/>
    <w:rsid w:val="0086415F"/>
    <w:rsid w:val="00864FF0"/>
    <w:rsid w:val="00866366"/>
    <w:rsid w:val="0086644A"/>
    <w:rsid w:val="00870DAB"/>
    <w:rsid w:val="00872C65"/>
    <w:rsid w:val="008738AD"/>
    <w:rsid w:val="008749B1"/>
    <w:rsid w:val="0087549B"/>
    <w:rsid w:val="00875A54"/>
    <w:rsid w:val="008821A4"/>
    <w:rsid w:val="0088543F"/>
    <w:rsid w:val="008929F0"/>
    <w:rsid w:val="0089488F"/>
    <w:rsid w:val="008A6C7E"/>
    <w:rsid w:val="008B2362"/>
    <w:rsid w:val="008C0481"/>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E4B2C"/>
    <w:rsid w:val="009F04A4"/>
    <w:rsid w:val="009F509C"/>
    <w:rsid w:val="00A05263"/>
    <w:rsid w:val="00A05467"/>
    <w:rsid w:val="00A17F3D"/>
    <w:rsid w:val="00A26DE5"/>
    <w:rsid w:val="00A34F49"/>
    <w:rsid w:val="00A37B2B"/>
    <w:rsid w:val="00A40AC7"/>
    <w:rsid w:val="00A50885"/>
    <w:rsid w:val="00A540A3"/>
    <w:rsid w:val="00A57619"/>
    <w:rsid w:val="00A60A80"/>
    <w:rsid w:val="00A73BFE"/>
    <w:rsid w:val="00A7669A"/>
    <w:rsid w:val="00A80DF9"/>
    <w:rsid w:val="00A81620"/>
    <w:rsid w:val="00A83454"/>
    <w:rsid w:val="00A8357B"/>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C7C56"/>
    <w:rsid w:val="00AD0888"/>
    <w:rsid w:val="00AD766F"/>
    <w:rsid w:val="00AE16F8"/>
    <w:rsid w:val="00AE3174"/>
    <w:rsid w:val="00AF3870"/>
    <w:rsid w:val="00AF6D36"/>
    <w:rsid w:val="00AF6F89"/>
    <w:rsid w:val="00B01463"/>
    <w:rsid w:val="00B07F4A"/>
    <w:rsid w:val="00B113D0"/>
    <w:rsid w:val="00B15FDB"/>
    <w:rsid w:val="00B24414"/>
    <w:rsid w:val="00B337F9"/>
    <w:rsid w:val="00B33E5A"/>
    <w:rsid w:val="00B4030A"/>
    <w:rsid w:val="00B4226C"/>
    <w:rsid w:val="00B44ADD"/>
    <w:rsid w:val="00B55C4B"/>
    <w:rsid w:val="00B56463"/>
    <w:rsid w:val="00B61681"/>
    <w:rsid w:val="00B64233"/>
    <w:rsid w:val="00B83205"/>
    <w:rsid w:val="00B84E6F"/>
    <w:rsid w:val="00B85A9E"/>
    <w:rsid w:val="00B908FC"/>
    <w:rsid w:val="00B91A12"/>
    <w:rsid w:val="00B92B06"/>
    <w:rsid w:val="00BB08A8"/>
    <w:rsid w:val="00BB10DC"/>
    <w:rsid w:val="00BB4A79"/>
    <w:rsid w:val="00BB77D2"/>
    <w:rsid w:val="00BC12AB"/>
    <w:rsid w:val="00BC137D"/>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51738"/>
    <w:rsid w:val="00C623EC"/>
    <w:rsid w:val="00C63365"/>
    <w:rsid w:val="00C7032E"/>
    <w:rsid w:val="00C823B3"/>
    <w:rsid w:val="00C82E69"/>
    <w:rsid w:val="00C852B1"/>
    <w:rsid w:val="00C871CA"/>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6558"/>
    <w:rsid w:val="00CF1EAD"/>
    <w:rsid w:val="00CF7ED4"/>
    <w:rsid w:val="00D05F85"/>
    <w:rsid w:val="00D07590"/>
    <w:rsid w:val="00D17317"/>
    <w:rsid w:val="00D1785C"/>
    <w:rsid w:val="00D2477B"/>
    <w:rsid w:val="00D2715C"/>
    <w:rsid w:val="00D46197"/>
    <w:rsid w:val="00D6107D"/>
    <w:rsid w:val="00D643A4"/>
    <w:rsid w:val="00D7089F"/>
    <w:rsid w:val="00D73AA5"/>
    <w:rsid w:val="00D73DF8"/>
    <w:rsid w:val="00D73F56"/>
    <w:rsid w:val="00D766BC"/>
    <w:rsid w:val="00D839F7"/>
    <w:rsid w:val="00D866BC"/>
    <w:rsid w:val="00D87840"/>
    <w:rsid w:val="00DA2403"/>
    <w:rsid w:val="00DA4AAE"/>
    <w:rsid w:val="00DB0E24"/>
    <w:rsid w:val="00DB3462"/>
    <w:rsid w:val="00DB3AF0"/>
    <w:rsid w:val="00DC0E25"/>
    <w:rsid w:val="00DC3008"/>
    <w:rsid w:val="00DD3FC5"/>
    <w:rsid w:val="00DD4482"/>
    <w:rsid w:val="00DE2EA5"/>
    <w:rsid w:val="00DE6080"/>
    <w:rsid w:val="00DF528D"/>
    <w:rsid w:val="00E018BA"/>
    <w:rsid w:val="00E0395B"/>
    <w:rsid w:val="00E1258E"/>
    <w:rsid w:val="00E13B16"/>
    <w:rsid w:val="00E174E1"/>
    <w:rsid w:val="00E23DB7"/>
    <w:rsid w:val="00E24A92"/>
    <w:rsid w:val="00E24FFE"/>
    <w:rsid w:val="00E26BC4"/>
    <w:rsid w:val="00E30202"/>
    <w:rsid w:val="00E33E32"/>
    <w:rsid w:val="00E35CEB"/>
    <w:rsid w:val="00E41765"/>
    <w:rsid w:val="00E44A9C"/>
    <w:rsid w:val="00E44B36"/>
    <w:rsid w:val="00E45E60"/>
    <w:rsid w:val="00E47B16"/>
    <w:rsid w:val="00E51E83"/>
    <w:rsid w:val="00E52820"/>
    <w:rsid w:val="00E54CD7"/>
    <w:rsid w:val="00E56818"/>
    <w:rsid w:val="00E60C05"/>
    <w:rsid w:val="00E714BE"/>
    <w:rsid w:val="00E804C3"/>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72E"/>
    <w:rsid w:val="00F4681B"/>
    <w:rsid w:val="00F54492"/>
    <w:rsid w:val="00F56F3F"/>
    <w:rsid w:val="00F6220D"/>
    <w:rsid w:val="00F625CB"/>
    <w:rsid w:val="00F658D0"/>
    <w:rsid w:val="00F722F8"/>
    <w:rsid w:val="00F80127"/>
    <w:rsid w:val="00F82BD5"/>
    <w:rsid w:val="00F976D9"/>
    <w:rsid w:val="00FA2182"/>
    <w:rsid w:val="00FA290C"/>
    <w:rsid w:val="00FA3790"/>
    <w:rsid w:val="00FA40F3"/>
    <w:rsid w:val="00FC6759"/>
    <w:rsid w:val="00FC749A"/>
    <w:rsid w:val="00FD40C2"/>
    <w:rsid w:val="00FE7D61"/>
    <w:rsid w:val="00FF10A2"/>
    <w:rsid w:val="00FF1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articles/PMC7610402/" TargetMode="External"/><Relationship Id="rId2" Type="http://schemas.openxmlformats.org/officeDocument/2006/relationships/hyperlink" Target="https://www.sciencedirect.com/science/article/abs/pii/000927978090023X" TargetMode="External"/><Relationship Id="rId1" Type="http://schemas.openxmlformats.org/officeDocument/2006/relationships/hyperlink" Target="https://pubs-acs-org.elib.openu.ac.il/doi/10.1021/cb4009292" TargetMode="External"/><Relationship Id="rId5" Type="http://schemas.openxmlformats.org/officeDocument/2006/relationships/hyperlink" Target="https://pmc.ncbi.nlm.nih.gov/articles/PMC9400736" TargetMode="External"/><Relationship Id="rId4" Type="http://schemas.openxmlformats.org/officeDocument/2006/relationships/hyperlink" Target="https://pmc-ncbi-nlm-nih-gov.elib.openu.ac.il/articles/PMC800930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i.org/10.1038/s41565-020-0761-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81/ncn-20006034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15</Pages>
  <Words>8058</Words>
  <Characters>40293</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61</cp:revision>
  <dcterms:created xsi:type="dcterms:W3CDTF">2024-12-18T21:42:00Z</dcterms:created>
  <dcterms:modified xsi:type="dcterms:W3CDTF">2024-12-19T18:20:00Z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