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5F935" w14:textId="0E5E86CA" w:rsidR="001D04D4" w:rsidRPr="00D902CF" w:rsidRDefault="003830D9" w:rsidP="00136D15">
      <w:pPr>
        <w:bidi w:val="0"/>
        <w:jc w:val="both"/>
        <w:rPr>
          <w:b/>
          <w:bCs/>
        </w:rPr>
      </w:pPr>
      <w:r w:rsidRPr="00D902CF">
        <w:rPr>
          <w:b/>
          <w:bCs/>
        </w:rPr>
        <w:t>Summaries</w:t>
      </w:r>
    </w:p>
    <w:p w14:paraId="1A7B7A0B" w14:textId="77777777" w:rsidR="003830D9" w:rsidRDefault="003830D9" w:rsidP="00136D15">
      <w:pPr>
        <w:jc w:val="both"/>
      </w:pPr>
    </w:p>
    <w:p w14:paraId="690951B3" w14:textId="4DA5CC06" w:rsidR="003830D9" w:rsidRDefault="003830D9" w:rsidP="00136D15">
      <w:pPr>
        <w:bidi w:val="0"/>
        <w:jc w:val="both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</w:t>
      </w:r>
      <w:proofErr w:type="spellStart"/>
      <w:r w:rsidR="00842D05">
        <w:t>benzilydene</w:t>
      </w:r>
      <w:proofErr w:type="spellEnd"/>
      <w:r w:rsidR="00842D05">
        <w:t>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 xml:space="preserve">Reduce bulk </w:t>
      </w:r>
      <w:proofErr w:type="gramStart"/>
      <w:r>
        <w:t>and so</w:t>
      </w:r>
      <w:proofErr w:type="gramEnd"/>
      <w:r>
        <w:t xml:space="preserve">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3 developed HAS (human serum </w:t>
      </w:r>
      <w:proofErr w:type="gramStart"/>
      <w:r>
        <w:t>albumin)</w:t>
      </w:r>
      <w:r w:rsidR="001B12A4">
        <w:t>+</w:t>
      </w:r>
      <w:proofErr w:type="spellStart"/>
      <w:proofErr w:type="gramEnd"/>
      <w:r w:rsidR="001B12A4">
        <w:t>Hoveyda</w:t>
      </w:r>
      <w:proofErr w:type="spellEnd"/>
      <w:r w:rsidR="001B12A4">
        <w:t>-Grubbs metalloenzyme</w:t>
      </w:r>
      <w:r w:rsidR="00933482">
        <w:t xml:space="preserve"> (Artificial Metalloenzyme – </w:t>
      </w:r>
      <w:proofErr w:type="spellStart"/>
      <w:r w:rsidR="00933482">
        <w:t>ArM</w:t>
      </w:r>
      <w:proofErr w:type="spellEnd"/>
      <w:r w:rsidR="00933482">
        <w:t>)</w:t>
      </w:r>
      <w:r w:rsidR="001B12A4">
        <w:t>, in which the negative charge of the protein prevents GSH (glutathione) interaction.</w:t>
      </w:r>
    </w:p>
    <w:p w14:paraId="61B811D2" w14:textId="744513C7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 xml:space="preserve">Next, they replaced the Cl on the Ru with </w:t>
      </w:r>
      <w:proofErr w:type="gramStart"/>
      <w:r>
        <w:t>I,</w:t>
      </w:r>
      <w:r w:rsidR="008B5EA1">
        <w:t xml:space="preserve"> and</w:t>
      </w:r>
      <w:proofErr w:type="gramEnd"/>
      <w:r w:rsidR="008B5EA1">
        <w:t xml:space="preserve"> achieved better reactivity and great tolerance to blood components.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proofErr w:type="spellStart"/>
      <w:r>
        <w:t>AquaMet</w:t>
      </w:r>
      <w:proofErr w:type="spellEnd"/>
      <w:r>
        <w:t xml:space="preserve">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44CA7E98" w:rsidR="006A020B" w:rsidRDefault="006A020B" w:rsidP="006A020B">
      <w:pPr>
        <w:pStyle w:val="ListParagraph"/>
        <w:numPr>
          <w:ilvl w:val="0"/>
          <w:numId w:val="3"/>
        </w:numPr>
        <w:bidi w:val="0"/>
        <w:jc w:val="both"/>
      </w:pPr>
      <w:r>
        <w:t>Phosphine ligands can catalyze in water but they kind of suck.</w:t>
      </w:r>
      <w:r>
        <w:rPr>
          <w:vertAlign w:val="superscript"/>
        </w:rPr>
        <w:t>4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7F68E473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 (what is it?)</w:t>
      </w:r>
      <w:r>
        <w:rPr>
          <w:vertAlign w:val="superscript"/>
        </w:rPr>
        <w:t>2</w:t>
      </w:r>
    </w:p>
    <w:p w14:paraId="3AA358AF" w14:textId="394A2167" w:rsidR="00141BDD" w:rsidRP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</w:t>
      </w:r>
      <w:r w:rsidR="00A97CCB">
        <w:lastRenderedPageBreak/>
        <w:t>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141BDD">
      <w:pPr>
        <w:bidi w:val="0"/>
        <w:jc w:val="both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 xml:space="preserve">The yield of most catalysts goes sharply down after incubation in blood because of deactivation (by GSH, for example); </w:t>
      </w:r>
      <w:proofErr w:type="spellStart"/>
      <w:r>
        <w:t>AlbRu</w:t>
      </w:r>
      <w:proofErr w:type="spellEnd"/>
      <w:r>
        <w:t>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can be used to synthesize carboxylic acids.</w:t>
      </w:r>
      <w:r>
        <w:rPr>
          <w:vertAlign w:val="superscript"/>
        </w:rPr>
        <w:t>3</w:t>
      </w:r>
    </w:p>
    <w:p w14:paraId="59A50EEF" w14:textId="4DC35A86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35319E">
        <w:t>four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516E4B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9B79710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</w:t>
      </w:r>
      <w:proofErr w:type="gramStart"/>
      <w:r>
        <w:t>assisted metathesis</w:t>
      </w:r>
      <w:proofErr w:type="gramEnd"/>
      <w:r>
        <w:t xml:space="preserve"> mechanism (</w:t>
      </w:r>
      <w:hyperlink r:id="rId10" w:history="1">
        <w:r w:rsidRPr="00F94E10">
          <w:rPr>
            <w:rStyle w:val="Hyperlink"/>
          </w:rPr>
          <w:t>??</w:t>
        </w:r>
      </w:hyperlink>
      <w:r>
        <w:t>).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470126C4" w14:textId="56918BEC" w:rsidR="00CB01C8" w:rsidRP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136D15">
      <w:pPr>
        <w:bidi w:val="0"/>
        <w:jc w:val="both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</w:t>
      </w:r>
      <w:proofErr w:type="spellStart"/>
      <w:r w:rsidR="00C349D3" w:rsidRPr="00C349D3">
        <w:rPr>
          <w:highlight w:val="green"/>
        </w:rPr>
        <w:t>selectivities</w:t>
      </w:r>
      <w:proofErr w:type="spellEnd"/>
      <w:r w:rsidR="00C349D3" w:rsidRPr="00C349D3">
        <w:rPr>
          <w:highlight w:val="green"/>
        </w:rPr>
        <w:t>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SAV</w:t>
      </w:r>
      <w:r>
        <w:rPr>
          <w:vertAlign w:val="superscript"/>
        </w:rPr>
        <w:t>mut</w:t>
      </w:r>
      <w:proofErr w:type="spellEnd"/>
      <w:r>
        <w:t xml:space="preserve"> outperform</w:t>
      </w:r>
      <w:r w:rsidR="004622FC">
        <w:t>s</w:t>
      </w:r>
      <w:r>
        <w:t xml:space="preserve"> both </w:t>
      </w:r>
      <w:proofErr w:type="spellStart"/>
      <w:r w:rsidRPr="007074DF">
        <w:t>Hoveyda</w:t>
      </w:r>
      <w:proofErr w:type="spellEnd"/>
      <w:r w:rsidRPr="007074DF">
        <w:t xml:space="preserve">–Grubbs (HGII) and </w:t>
      </w:r>
      <w:proofErr w:type="spellStart"/>
      <w:r w:rsidRPr="007074DF">
        <w:t>AquaMet</w:t>
      </w:r>
      <w:proofErr w:type="spellEnd"/>
      <w:r w:rsidRPr="007074DF">
        <w:t xml:space="preserve">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t>AlbRu</w:t>
      </w:r>
      <w:proofErr w:type="spellEnd"/>
      <w:r>
        <w:t>-I requires 1-5 mol% for efficient catalysis.</w:t>
      </w:r>
      <w:r>
        <w:rPr>
          <w:vertAlign w:val="superscript"/>
        </w:rPr>
        <w:t>3</w:t>
      </w:r>
    </w:p>
    <w:p w14:paraId="1A7FC34B" w14:textId="2C4E82BC" w:rsidR="003830D9" w:rsidRDefault="003830D9" w:rsidP="00136D15">
      <w:pPr>
        <w:bidi w:val="0"/>
        <w:jc w:val="both"/>
      </w:pPr>
      <w:r w:rsidRPr="00056B95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4890E0BE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</w:t>
      </w:r>
      <w:r w:rsidR="00501AC3">
        <w:t>1</w:t>
      </w:r>
      <w:r>
        <w:t>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proofErr w:type="spellStart"/>
      <w:r>
        <w:lastRenderedPageBreak/>
        <w:t>Non natural</w:t>
      </w:r>
      <w:proofErr w:type="spellEnd"/>
      <w:r>
        <w:t xml:space="preserve">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 xml:space="preserve">The </w:t>
      </w:r>
      <w:proofErr w:type="gramStart"/>
      <w:r>
        <w:t>antitumor-drug</w:t>
      </w:r>
      <w:proofErr w:type="gramEnd"/>
      <w:r>
        <w:t xml:space="preserve">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136D15">
      <w:pPr>
        <w:bidi w:val="0"/>
        <w:jc w:val="both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</w:t>
      </w:r>
      <w:proofErr w:type="spellStart"/>
      <w:r w:rsidR="00DB315F" w:rsidRPr="00D5481A">
        <w:t>markered</w:t>
      </w:r>
      <w:proofErr w:type="spellEnd"/>
      <w:r w:rsidR="00DB315F" w:rsidRPr="00D5481A">
        <w:t xml:space="preserve">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</w:t>
      </w:r>
      <w:proofErr w:type="spellStart"/>
      <w:r w:rsidR="00086296">
        <w:t>markered</w:t>
      </w:r>
      <w:proofErr w:type="spellEnd"/>
      <w:r w:rsidR="00086296">
        <w:t xml:space="preserve">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</w:t>
      </w:r>
      <w:r w:rsidR="00FA773B">
        <w:t xml:space="preserve">read, </w:t>
      </w:r>
      <w:proofErr w:type="spellStart"/>
      <w:r w:rsidR="00FA773B">
        <w:t>markered</w:t>
      </w:r>
      <w:proofErr w:type="spellEnd"/>
      <w:r w:rsidR="00FA773B">
        <w:t xml:space="preserve">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 xml:space="preserve">read and </w:t>
      </w:r>
      <w:proofErr w:type="spellStart"/>
      <w:r w:rsidR="00CB01C8" w:rsidRPr="00D5481A">
        <w:t>markered</w:t>
      </w:r>
      <w:proofErr w:type="spellEnd"/>
      <w:r w:rsidR="00CB01C8" w:rsidRPr="00D5481A">
        <w:t xml:space="preserve"> (not fully quoted)</w:t>
      </w:r>
    </w:p>
    <w:p w14:paraId="023C9EC3" w14:textId="77777777" w:rsidR="00CB01C8" w:rsidRDefault="00CB01C8" w:rsidP="00CB01C8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</w:t>
      </w:r>
      <w:proofErr w:type="gramStart"/>
      <w:r w:rsidRPr="00521CD3">
        <w:t>at</w:t>
      </w:r>
      <w:proofErr w:type="gramEnd"/>
      <w:r w:rsidRPr="00521CD3">
        <w:t xml:space="preserve"> Low Water Concentrations </w:t>
      </w:r>
    </w:p>
    <w:p w14:paraId="00DE4A7C" w14:textId="67D7711A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</w:t>
      </w:r>
      <w:proofErr w:type="spellStart"/>
      <w:r w:rsidRPr="003F48F7">
        <w:t>Hoveyda</w:t>
      </w:r>
      <w:proofErr w:type="spellEnd"/>
      <w:r w:rsidRPr="003F48F7">
        <w:t xml:space="preserve"> catalysts conjugated to a β-barrel protein: Effect of halide substitution on aqueous olefin metathesis activity</w:t>
      </w:r>
    </w:p>
    <w:p w14:paraId="698CF370" w14:textId="77777777" w:rsidR="00CB01C8" w:rsidRDefault="00CB01C8" w:rsidP="00CB01C8">
      <w:pPr>
        <w:bidi w:val="0"/>
        <w:ind w:left="360"/>
        <w:jc w:val="both"/>
      </w:pPr>
    </w:p>
    <w:p w14:paraId="11E41CEE" w14:textId="77777777" w:rsidR="009B6194" w:rsidRDefault="00521CD3" w:rsidP="00136D15">
      <w:pPr>
        <w:pStyle w:val="ListParagraph"/>
        <w:numPr>
          <w:ilvl w:val="0"/>
          <w:numId w:val="3"/>
        </w:numPr>
        <w:bidi w:val="0"/>
        <w:jc w:val="both"/>
      </w:pPr>
      <w:r w:rsidRPr="00521CD3">
        <w:t xml:space="preserve">Kinetic Protection of a Water‐Soluble Olefin Metathesis Catalyst for Potential Use under Biological Conditions. </w:t>
      </w:r>
    </w:p>
    <w:p w14:paraId="4A1E9E35" w14:textId="1271F96A" w:rsidR="009B6194" w:rsidRDefault="003859F0" w:rsidP="00136D15">
      <w:pPr>
        <w:pStyle w:val="ListParagraph"/>
        <w:numPr>
          <w:ilvl w:val="0"/>
          <w:numId w:val="3"/>
        </w:numPr>
        <w:bidi w:val="0"/>
        <w:jc w:val="both"/>
        <w:rPr>
          <w:rtl/>
        </w:rPr>
      </w:pPr>
      <w:r w:rsidRPr="003859F0">
        <w:t xml:space="preserve">"Close-to-Release": Spontaneous </w:t>
      </w:r>
      <w:proofErr w:type="spellStart"/>
      <w:r w:rsidRPr="003859F0">
        <w:t>Bioorthogonal</w:t>
      </w:r>
      <w:proofErr w:type="spellEnd"/>
      <w:r w:rsidRPr="003859F0">
        <w:t xml:space="preserve"> Uncaging Resulting from Ring-Closing Metathesis</w:t>
      </w:r>
    </w:p>
    <w:p w14:paraId="357371D5" w14:textId="77777777" w:rsidR="00646ED6" w:rsidRDefault="009B6194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</w:p>
    <w:p w14:paraId="12A7A8EC" w14:textId="77777777" w:rsidR="004C044D" w:rsidRDefault="00646ED6" w:rsidP="00136D15">
      <w:pPr>
        <w:pStyle w:val="ListParagraph"/>
        <w:numPr>
          <w:ilvl w:val="0"/>
          <w:numId w:val="3"/>
        </w:numPr>
        <w:bidi w:val="0"/>
        <w:jc w:val="both"/>
      </w:pPr>
      <w:r>
        <w:t>Progress towards</w:t>
      </w:r>
      <w:r w:rsidR="00131197">
        <w:t xml:space="preserve"> </w:t>
      </w:r>
      <w:proofErr w:type="spellStart"/>
      <w:r>
        <w:t>bioorthogonal</w:t>
      </w:r>
      <w:proofErr w:type="spellEnd"/>
      <w:r>
        <w:t xml:space="preserve"> catalysis with organometallic compounds</w:t>
      </w:r>
    </w:p>
    <w:p w14:paraId="2A568071" w14:textId="396BE4C6" w:rsidR="00D5481A" w:rsidRDefault="004C044D" w:rsidP="004C044D">
      <w:pPr>
        <w:pStyle w:val="ListParagraph"/>
        <w:numPr>
          <w:ilvl w:val="0"/>
          <w:numId w:val="3"/>
        </w:numPr>
        <w:bidi w:val="0"/>
        <w:jc w:val="both"/>
      </w:pPr>
      <w:r w:rsidRPr="004C044D">
        <w:t>Olefin cross-metathesis on proteins: investigation of allylic chalcogen effects and guiding principles in metathesis partner selection</w:t>
      </w:r>
      <w:r w:rsidRPr="004C044D">
        <w:t xml:space="preserve"> </w:t>
      </w:r>
      <w:r w:rsidR="00D5481A">
        <w:br w:type="page"/>
      </w:r>
    </w:p>
    <w:p w14:paraId="767AD9C7" w14:textId="6A0EF849" w:rsidR="00D5481A" w:rsidRPr="009B6194" w:rsidRDefault="00D5481A" w:rsidP="00136D15">
      <w:pPr>
        <w:bidi w:val="0"/>
        <w:jc w:val="both"/>
        <w:rPr>
          <w:b/>
          <w:bCs/>
        </w:rPr>
      </w:pPr>
      <w:r w:rsidRPr="009B6194">
        <w:rPr>
          <w:b/>
          <w:bCs/>
        </w:rPr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77777777" w:rsidR="00CB01C8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7534B6" w:rsidRPr="007534B6">
              <w:t>Olefin metathesis for chemical biology</w:t>
            </w:r>
          </w:p>
          <w:p w14:paraId="63646691" w14:textId="77777777" w:rsidR="00CB01C8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CB01C8" w:rsidRPr="00521CD3">
              <w:t xml:space="preserve">The Impact of Water on Ru-Catalyzed Olefin Metathesis: Potent Deactivating Effects Even </w:t>
            </w:r>
            <w:proofErr w:type="gramStart"/>
            <w:r w:rsidR="00CB01C8" w:rsidRPr="00521CD3">
              <w:t>at</w:t>
            </w:r>
            <w:proofErr w:type="gramEnd"/>
            <w:r w:rsidR="00CB01C8" w:rsidRPr="00521CD3">
              <w:t xml:space="preserve"> Low Water </w:t>
            </w:r>
            <w:proofErr w:type="spellStart"/>
            <w:r w:rsidR="00CB01C8" w:rsidRPr="00521CD3">
              <w:t>Concentrations</w:t>
            </w:r>
            <w:proofErr w:type="spellEnd"/>
          </w:p>
          <w:p w14:paraId="476EBF67" w14:textId="021D116D" w:rsidR="00D5481A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 w:rsidRPr="003F48F7">
              <w:t>Grubbs-</w:t>
            </w:r>
            <w:proofErr w:type="spellStart"/>
            <w:r w:rsidRPr="003F48F7">
              <w:t>Hoveyda</w:t>
            </w:r>
            <w:proofErr w:type="spellEnd"/>
            <w:r w:rsidRPr="003F48F7">
              <w:t xml:space="preserve"> catalysts conjugated to a β-barrel protein: Effect of halide substitution on aqueous olefin metathesis activity</w:t>
            </w:r>
            <w:r>
              <w:t xml:space="preserve"> </w:t>
            </w:r>
          </w:p>
          <w:p w14:paraId="3CB81626" w14:textId="5CDB33CE" w:rsidR="00CB01C8" w:rsidRDefault="00CB01C8" w:rsidP="00CB01C8">
            <w:pPr>
              <w:bidi w:val="0"/>
              <w:jc w:val="both"/>
            </w:pPr>
            <w: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proofErr w:type="gramStart"/>
            <w:r w:rsidR="004B7F39">
              <w:t>subject</w:t>
            </w:r>
            <w:proofErr w:type="gramEnd"/>
            <w:r w:rsidR="004B7F39">
              <w:t xml:space="preserve"> is accepted!</w:t>
            </w:r>
          </w:p>
          <w:p w14:paraId="2E62A69A" w14:textId="12F91BBD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DE7A324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664A437E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6218915A" w14:textId="43C15BBC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2E42CBA8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5AFA8E03" w14:textId="1D67D3FD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5926F3B6" w14:textId="565EE2FB" w:rsidR="00D5481A" w:rsidRDefault="00134B80" w:rsidP="00136D15">
            <w:pPr>
              <w:bidi w:val="0"/>
              <w:jc w:val="both"/>
            </w:pPr>
            <w:r>
              <w:t>31.10.24</w:t>
            </w:r>
          </w:p>
        </w:tc>
        <w:tc>
          <w:tcPr>
            <w:tcW w:w="2766" w:type="dxa"/>
          </w:tcPr>
          <w:p w14:paraId="4660792A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38CEB43D" w14:textId="77777777" w:rsidTr="00D5481A">
        <w:tc>
          <w:tcPr>
            <w:tcW w:w="2765" w:type="dxa"/>
          </w:tcPr>
          <w:p w14:paraId="1471D0D8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3E88536C" w14:textId="77777777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</w:p>
          <w:p w14:paraId="0A29C7AC" w14:textId="6D65B580" w:rsid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13CFE884" w14:textId="77777777" w:rsidTr="00D5481A">
        <w:tc>
          <w:tcPr>
            <w:tcW w:w="2765" w:type="dxa"/>
          </w:tcPr>
          <w:p w14:paraId="6CE54B85" w14:textId="29B8CDE2" w:rsidR="00D5481A" w:rsidRDefault="003B417F" w:rsidP="00136D15">
            <w:pPr>
              <w:bidi w:val="0"/>
              <w:jc w:val="both"/>
            </w:pPr>
            <w:r>
              <w:t>Start consolidating summaries and plan further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77777777" w:rsidR="00D5481A" w:rsidRDefault="00D5481A" w:rsidP="00136D15">
            <w:pPr>
              <w:bidi w:val="0"/>
              <w:jc w:val="both"/>
            </w:pPr>
          </w:p>
        </w:tc>
      </w:tr>
      <w:tr w:rsidR="00D5481A" w14:paraId="2C6D185D" w14:textId="77777777" w:rsidTr="00D5481A">
        <w:tc>
          <w:tcPr>
            <w:tcW w:w="2765" w:type="dxa"/>
          </w:tcPr>
          <w:p w14:paraId="2A17C1C8" w14:textId="77777777" w:rsidR="00D5481A" w:rsidRDefault="00D5481A" w:rsidP="00136D15">
            <w:pPr>
              <w:bidi w:val="0"/>
              <w:jc w:val="both"/>
            </w:pPr>
          </w:p>
        </w:tc>
        <w:tc>
          <w:tcPr>
            <w:tcW w:w="2765" w:type="dxa"/>
          </w:tcPr>
          <w:p w14:paraId="6C71E77A" w14:textId="163C944A" w:rsidR="00D5481A" w:rsidRDefault="004D29A6" w:rsidP="00136D15">
            <w:pPr>
              <w:bidi w:val="0"/>
              <w:jc w:val="both"/>
            </w:pPr>
            <w:r>
              <w:t>16.11.24</w:t>
            </w:r>
          </w:p>
        </w:tc>
        <w:tc>
          <w:tcPr>
            <w:tcW w:w="2766" w:type="dxa"/>
          </w:tcPr>
          <w:p w14:paraId="68CA1AA5" w14:textId="77777777" w:rsidR="00D5481A" w:rsidRDefault="00D5481A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sectPr w:rsidR="00D5481A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03024"/>
    <w:multiLevelType w:val="hybridMultilevel"/>
    <w:tmpl w:val="EC180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B62C5"/>
    <w:multiLevelType w:val="hybridMultilevel"/>
    <w:tmpl w:val="11A66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4"/>
  </w:num>
  <w:num w:numId="2" w16cid:durableId="413668136">
    <w:abstractNumId w:val="2"/>
  </w:num>
  <w:num w:numId="3" w16cid:durableId="716127929">
    <w:abstractNumId w:val="0"/>
  </w:num>
  <w:num w:numId="4" w16cid:durableId="1942491221">
    <w:abstractNumId w:val="3"/>
  </w:num>
  <w:num w:numId="5" w16cid:durableId="198902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55578"/>
    <w:rsid w:val="00055F94"/>
    <w:rsid w:val="00056B95"/>
    <w:rsid w:val="00071272"/>
    <w:rsid w:val="00077DD5"/>
    <w:rsid w:val="00086296"/>
    <w:rsid w:val="000A5523"/>
    <w:rsid w:val="000A5954"/>
    <w:rsid w:val="000D6D0F"/>
    <w:rsid w:val="000E71DD"/>
    <w:rsid w:val="00113BB0"/>
    <w:rsid w:val="00117C79"/>
    <w:rsid w:val="00126740"/>
    <w:rsid w:val="00131197"/>
    <w:rsid w:val="00134B80"/>
    <w:rsid w:val="00136D15"/>
    <w:rsid w:val="00141BDD"/>
    <w:rsid w:val="0019219A"/>
    <w:rsid w:val="0019305B"/>
    <w:rsid w:val="001B09E3"/>
    <w:rsid w:val="001B12A4"/>
    <w:rsid w:val="001D04D4"/>
    <w:rsid w:val="002774B9"/>
    <w:rsid w:val="00304861"/>
    <w:rsid w:val="003077CD"/>
    <w:rsid w:val="0031349B"/>
    <w:rsid w:val="00332F91"/>
    <w:rsid w:val="0035319E"/>
    <w:rsid w:val="003830D9"/>
    <w:rsid w:val="003859F0"/>
    <w:rsid w:val="003B417F"/>
    <w:rsid w:val="003F48F7"/>
    <w:rsid w:val="0042474E"/>
    <w:rsid w:val="004622FC"/>
    <w:rsid w:val="00480F02"/>
    <w:rsid w:val="004B4B9F"/>
    <w:rsid w:val="004B7F39"/>
    <w:rsid w:val="004C044D"/>
    <w:rsid w:val="004D29A6"/>
    <w:rsid w:val="00501AC3"/>
    <w:rsid w:val="00503504"/>
    <w:rsid w:val="00521CD3"/>
    <w:rsid w:val="00532F13"/>
    <w:rsid w:val="0054169E"/>
    <w:rsid w:val="00551260"/>
    <w:rsid w:val="00595DAB"/>
    <w:rsid w:val="005A1BAE"/>
    <w:rsid w:val="005F7FDF"/>
    <w:rsid w:val="00604C36"/>
    <w:rsid w:val="0064264B"/>
    <w:rsid w:val="00646ED6"/>
    <w:rsid w:val="00647CA3"/>
    <w:rsid w:val="006A020B"/>
    <w:rsid w:val="006E3E9A"/>
    <w:rsid w:val="007071A9"/>
    <w:rsid w:val="007074DF"/>
    <w:rsid w:val="0074394D"/>
    <w:rsid w:val="007534B6"/>
    <w:rsid w:val="007676B1"/>
    <w:rsid w:val="007714C3"/>
    <w:rsid w:val="00774B56"/>
    <w:rsid w:val="00776B55"/>
    <w:rsid w:val="00783F61"/>
    <w:rsid w:val="00842D05"/>
    <w:rsid w:val="0087611D"/>
    <w:rsid w:val="008B1D95"/>
    <w:rsid w:val="008B5EA1"/>
    <w:rsid w:val="008D6847"/>
    <w:rsid w:val="00913578"/>
    <w:rsid w:val="009233DF"/>
    <w:rsid w:val="00933482"/>
    <w:rsid w:val="0097412C"/>
    <w:rsid w:val="00982C74"/>
    <w:rsid w:val="00984BE7"/>
    <w:rsid w:val="00997771"/>
    <w:rsid w:val="009B6194"/>
    <w:rsid w:val="009E24AB"/>
    <w:rsid w:val="00A15E93"/>
    <w:rsid w:val="00A33CCF"/>
    <w:rsid w:val="00A4136F"/>
    <w:rsid w:val="00A97CCB"/>
    <w:rsid w:val="00BB4282"/>
    <w:rsid w:val="00C012F7"/>
    <w:rsid w:val="00C25E74"/>
    <w:rsid w:val="00C349D3"/>
    <w:rsid w:val="00C543D3"/>
    <w:rsid w:val="00CB01C8"/>
    <w:rsid w:val="00CD4E85"/>
    <w:rsid w:val="00CE7D4A"/>
    <w:rsid w:val="00CF52AA"/>
    <w:rsid w:val="00D5481A"/>
    <w:rsid w:val="00D67EC0"/>
    <w:rsid w:val="00D758B2"/>
    <w:rsid w:val="00D902CF"/>
    <w:rsid w:val="00D9714D"/>
    <w:rsid w:val="00DB315F"/>
    <w:rsid w:val="00E01F3C"/>
    <w:rsid w:val="00E40D6E"/>
    <w:rsid w:val="00EC4EFA"/>
    <w:rsid w:val="00EE391A"/>
    <w:rsid w:val="00F10601"/>
    <w:rsid w:val="00F94E10"/>
    <w:rsid w:val="00FA773B"/>
    <w:rsid w:val="00FB4861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hyperlink" Target="https://pubmed.ncbi.nlm.nih.gov/21050005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4727</TotalTime>
  <Pages>4</Pages>
  <Words>1035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15</cp:revision>
  <dcterms:created xsi:type="dcterms:W3CDTF">2024-10-18T13:51:00Z</dcterms:created>
  <dcterms:modified xsi:type="dcterms:W3CDTF">2024-10-19T12:45:00Z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