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77777777" w:rsidR="008A1EE3" w:rsidRPr="008A1EE3" w:rsidRDefault="008A1EE3" w:rsidP="008A1EE3">
      <w:pPr>
        <w:bidi w:val="0"/>
        <w:jc w:val="both"/>
        <w:rPr>
          <w:b/>
          <w:bCs/>
        </w:rPr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Default="009D1FDD" w:rsidP="009D1FDD">
      <w:pPr>
        <w:pStyle w:val="ListParagraph"/>
        <w:numPr>
          <w:ilvl w:val="0"/>
          <w:numId w:val="6"/>
        </w:numPr>
        <w:bidi w:val="0"/>
        <w:jc w:val="both"/>
      </w:pPr>
      <w:r>
        <w:t>Key characteristics of bioorthogonal reactions:</w:t>
      </w:r>
      <w:r w:rsidR="00DD1154">
        <w:rPr>
          <w:vertAlign w:val="superscript"/>
        </w:rPr>
        <w:t>14</w:t>
      </w:r>
    </w:p>
    <w:p w14:paraId="46D020B9" w14:textId="668444B2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Tolerance to water</w:t>
      </w:r>
    </w:p>
    <w:p w14:paraId="36DD537E" w14:textId="5FEDFD06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High reaction rate</w:t>
      </w:r>
    </w:p>
    <w:p w14:paraId="41BDFBA9" w14:textId="65337316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Reactions partners not commonly found in nature</w:t>
      </w:r>
    </w:p>
    <w:p w14:paraId="16723AEC" w14:textId="7BF42B43" w:rsidR="009D1FDD" w:rsidRDefault="00DD1154" w:rsidP="009D1FDD">
      <w:pPr>
        <w:pStyle w:val="ListParagraph"/>
        <w:numPr>
          <w:ilvl w:val="1"/>
          <w:numId w:val="6"/>
        </w:numPr>
        <w:bidi w:val="0"/>
        <w:jc w:val="both"/>
      </w:pPr>
      <w:r>
        <w:t>Small reactants</w:t>
      </w:r>
      <w:r w:rsidR="000E7438">
        <w:t>,</w:t>
      </w:r>
      <w:r>
        <w:t xml:space="preserve"> in order to minimize perturbance to the biological system</w:t>
      </w:r>
    </w:p>
    <w:p w14:paraId="049C29D2" w14:textId="54E1F05E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</w:p>
    <w:p w14:paraId="50A79A03" w14:textId="10DF1A1F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 xml:space="preserve">native chemical ligation </w:t>
      </w:r>
      <w:r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>Staudinger ligation</w:t>
      </w:r>
      <w:r w:rsidR="00A92672">
        <w:t xml:space="preserve"> – based on the Staudinger reaction that was discovered in 1919, an optimization based on a methyl ester enables efficient ligation </w:t>
      </w:r>
      <w:r w:rsidR="00A92672">
        <w:lastRenderedPageBreak/>
        <w:t>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4FEEA0AB" w14:textId="77777777" w:rsidR="0046003C" w:rsidRDefault="0046003C" w:rsidP="0046003C">
      <w:pPr>
        <w:pStyle w:val="ListParagraph"/>
        <w:numPr>
          <w:ilvl w:val="1"/>
          <w:numId w:val="6"/>
        </w:numPr>
        <w:bidi w:val="0"/>
        <w:jc w:val="both"/>
      </w:pPr>
    </w:p>
    <w:p w14:paraId="169CF75C" w14:textId="77777777" w:rsidR="000E7438" w:rsidRDefault="000E7438" w:rsidP="0046003C">
      <w:pPr>
        <w:pStyle w:val="ListParagraph"/>
        <w:numPr>
          <w:ilvl w:val="1"/>
          <w:numId w:val="6"/>
        </w:numPr>
        <w:bidi w:val="0"/>
        <w:jc w:val="both"/>
      </w:pPr>
      <w:r w:rsidRPr="00807BCA">
        <w:t>metal-cataly</w:t>
      </w:r>
      <w:r>
        <w:t>z</w:t>
      </w:r>
      <w:r w:rsidRPr="00807BCA">
        <w:t>ed coupling reactions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 xml:space="preserve">The ammonium also </w:t>
      </w:r>
      <w:r>
        <w:t>weakens the O–Ru coordination, resulting</w:t>
      </w:r>
      <w:r>
        <w:t xml:space="preserve"> </w:t>
      </w:r>
      <w:r>
        <w:t>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</w:t>
      </w:r>
      <w:r>
        <w:t>he</w:t>
      </w:r>
      <w:r>
        <w:t xml:space="preserve"> </w:t>
      </w:r>
      <w:r>
        <w:t>metathesis partner needs to be slightly less reactive than the</w:t>
      </w:r>
      <w:r>
        <w:t xml:space="preserve"> </w:t>
      </w:r>
      <w:r>
        <w:t>allyl sulfide</w:t>
      </w:r>
      <w:r>
        <w:t>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7777777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560CAA7A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</w:p>
    <w:p w14:paraId="57F25BC0" w14:textId="57FA81C0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lastRenderedPageBreak/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77777777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Water.</w:t>
      </w:r>
    </w:p>
    <w:p w14:paraId="66287C99" w14:textId="2D2311C6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</w:p>
    <w:p w14:paraId="599BA6E0" w14:textId="79D31E90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</w:p>
    <w:p w14:paraId="3B02AADB" w14:textId="77777777" w:rsidR="006638CF" w:rsidRDefault="006638CF" w:rsidP="006638CF">
      <w:pPr>
        <w:bidi w:val="0"/>
        <w:jc w:val="both"/>
      </w:pPr>
    </w:p>
    <w:p w14:paraId="46CFD455" w14:textId="77777777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 xml:space="preserve">Broceta, Nat. </w:t>
      </w:r>
      <w:r w:rsidRPr="00951C8E">
        <w:lastRenderedPageBreak/>
        <w:t>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</w:t>
            </w:r>
            <w:r w:rsidRPr="00A94B4E">
              <w:rPr>
                <w:strike/>
              </w:rPr>
              <w:t>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797D60A7" w:rsidR="00D5481A" w:rsidRDefault="00A94B4E" w:rsidP="00A94B4E">
            <w:pPr>
              <w:bidi w:val="0"/>
              <w:jc w:val="both"/>
            </w:pPr>
            <w:r w:rsidRPr="00A94B4E">
              <w:t>plan further</w:t>
            </w: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D43F749" w:rsidR="00D5481A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DD2A6B">
              <w:t>Bioorthogonal chemistry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03024"/>
    <w:multiLevelType w:val="hybridMultilevel"/>
    <w:tmpl w:val="66AC5E2C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2"/>
  </w:num>
  <w:num w:numId="2" w16cid:durableId="413668136">
    <w:abstractNumId w:val="5"/>
  </w:num>
  <w:num w:numId="3" w16cid:durableId="716127929">
    <w:abstractNumId w:val="0"/>
  </w:num>
  <w:num w:numId="4" w16cid:durableId="1942491221">
    <w:abstractNumId w:val="10"/>
  </w:num>
  <w:num w:numId="5" w16cid:durableId="198902726">
    <w:abstractNumId w:val="4"/>
  </w:num>
  <w:num w:numId="6" w16cid:durableId="1567296005">
    <w:abstractNumId w:val="7"/>
  </w:num>
  <w:num w:numId="7" w16cid:durableId="1671909047">
    <w:abstractNumId w:val="2"/>
  </w:num>
  <w:num w:numId="8" w16cid:durableId="1286429997">
    <w:abstractNumId w:val="11"/>
  </w:num>
  <w:num w:numId="9" w16cid:durableId="596400272">
    <w:abstractNumId w:val="8"/>
  </w:num>
  <w:num w:numId="10" w16cid:durableId="544604840">
    <w:abstractNumId w:val="1"/>
  </w:num>
  <w:num w:numId="11" w16cid:durableId="501357413">
    <w:abstractNumId w:val="9"/>
  </w:num>
  <w:num w:numId="12" w16cid:durableId="1870339883">
    <w:abstractNumId w:val="6"/>
  </w:num>
  <w:num w:numId="13" w16cid:durableId="96882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BAC"/>
    <w:rsid w:val="00037AF3"/>
    <w:rsid w:val="00046819"/>
    <w:rsid w:val="00055578"/>
    <w:rsid w:val="00055F94"/>
    <w:rsid w:val="00056B95"/>
    <w:rsid w:val="0006026D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3BB0"/>
    <w:rsid w:val="00117C79"/>
    <w:rsid w:val="00126113"/>
    <w:rsid w:val="00126740"/>
    <w:rsid w:val="00131197"/>
    <w:rsid w:val="00133D26"/>
    <w:rsid w:val="00134116"/>
    <w:rsid w:val="00134B80"/>
    <w:rsid w:val="00136D15"/>
    <w:rsid w:val="00141BDD"/>
    <w:rsid w:val="001556F5"/>
    <w:rsid w:val="00156381"/>
    <w:rsid w:val="00165A70"/>
    <w:rsid w:val="00167BED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E37AB"/>
    <w:rsid w:val="001E525F"/>
    <w:rsid w:val="001F6830"/>
    <w:rsid w:val="002051F6"/>
    <w:rsid w:val="00205C8E"/>
    <w:rsid w:val="00227094"/>
    <w:rsid w:val="00234B90"/>
    <w:rsid w:val="002402DD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748B"/>
    <w:rsid w:val="003B417F"/>
    <w:rsid w:val="003B79EF"/>
    <w:rsid w:val="003D2472"/>
    <w:rsid w:val="003E3D8F"/>
    <w:rsid w:val="003F1C29"/>
    <w:rsid w:val="003F48F7"/>
    <w:rsid w:val="003F7D1A"/>
    <w:rsid w:val="004058BC"/>
    <w:rsid w:val="004131E2"/>
    <w:rsid w:val="0042258E"/>
    <w:rsid w:val="0042474E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4264B"/>
    <w:rsid w:val="00646ED6"/>
    <w:rsid w:val="00647CA3"/>
    <w:rsid w:val="0065464F"/>
    <w:rsid w:val="006638CF"/>
    <w:rsid w:val="0067430A"/>
    <w:rsid w:val="00676738"/>
    <w:rsid w:val="006848AC"/>
    <w:rsid w:val="006857D8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4BDA"/>
    <w:rsid w:val="0074394D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16D66"/>
    <w:rsid w:val="00842D05"/>
    <w:rsid w:val="008464E0"/>
    <w:rsid w:val="00850D52"/>
    <w:rsid w:val="00855B57"/>
    <w:rsid w:val="0085725A"/>
    <w:rsid w:val="00857765"/>
    <w:rsid w:val="00865E34"/>
    <w:rsid w:val="008676A4"/>
    <w:rsid w:val="00870797"/>
    <w:rsid w:val="00873864"/>
    <w:rsid w:val="0087611D"/>
    <w:rsid w:val="00887ADA"/>
    <w:rsid w:val="008A1EE3"/>
    <w:rsid w:val="008A3C53"/>
    <w:rsid w:val="008B1D95"/>
    <w:rsid w:val="008B5EA1"/>
    <w:rsid w:val="008D09FD"/>
    <w:rsid w:val="008D6847"/>
    <w:rsid w:val="008E37F2"/>
    <w:rsid w:val="008F0A34"/>
    <w:rsid w:val="009012AD"/>
    <w:rsid w:val="009015C6"/>
    <w:rsid w:val="00903957"/>
    <w:rsid w:val="00913578"/>
    <w:rsid w:val="00914CAB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A3CC4"/>
    <w:rsid w:val="009B4732"/>
    <w:rsid w:val="009B6194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560F8"/>
    <w:rsid w:val="00A64993"/>
    <w:rsid w:val="00A8102D"/>
    <w:rsid w:val="00A92672"/>
    <w:rsid w:val="00A94B4E"/>
    <w:rsid w:val="00A97CCB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14CA"/>
    <w:rsid w:val="00BE5622"/>
    <w:rsid w:val="00BE71D5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42210"/>
    <w:rsid w:val="00C543D3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C1E5F"/>
    <w:rsid w:val="00DD1154"/>
    <w:rsid w:val="00DD2A6B"/>
    <w:rsid w:val="00DD5FA8"/>
    <w:rsid w:val="00DE0DED"/>
    <w:rsid w:val="00DE2859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46DFF"/>
    <w:rsid w:val="00E548F2"/>
    <w:rsid w:val="00E65425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2329"/>
    <w:rsid w:val="00EE391A"/>
    <w:rsid w:val="00EF6BF7"/>
    <w:rsid w:val="00F06C0B"/>
    <w:rsid w:val="00F10601"/>
    <w:rsid w:val="00F175BD"/>
    <w:rsid w:val="00F3477F"/>
    <w:rsid w:val="00F62D68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17954</TotalTime>
  <Pages>12</Pages>
  <Words>3806</Words>
  <Characters>19033</Characters>
  <Application>Microsoft Office Word</Application>
  <DocSecurity>0</DocSecurity>
  <Lines>158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214</cp:revision>
  <dcterms:created xsi:type="dcterms:W3CDTF">2024-10-18T13:51:00Z</dcterms:created>
  <dcterms:modified xsi:type="dcterms:W3CDTF">2024-11-08T15:39:00Z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