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3975DEF" w:rsidR="001D04D4" w:rsidRPr="00D902CF" w:rsidRDefault="008A3C53" w:rsidP="00136D15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A7B7A0B" w14:textId="77777777" w:rsidR="003830D9" w:rsidRDefault="003830D9" w:rsidP="00B2659C">
      <w:pPr>
        <w:bidi w:val="0"/>
        <w:jc w:val="both"/>
      </w:pPr>
    </w:p>
    <w:p w14:paraId="60274AF2" w14:textId="549374A5" w:rsidR="00A30FDF" w:rsidRDefault="00A30FDF" w:rsidP="00A30FDF">
      <w:pPr>
        <w:bidi w:val="0"/>
        <w:jc w:val="both"/>
      </w:pPr>
      <w:r>
        <w:t>Work structure</w:t>
      </w:r>
    </w:p>
    <w:p w14:paraId="41F3F39C" w14:textId="0C67C35B" w:rsidR="00D52F21" w:rsidRDefault="004A35F3" w:rsidP="00DF1526">
      <w:pPr>
        <w:pStyle w:val="ListParagraph"/>
        <w:numPr>
          <w:ilvl w:val="0"/>
          <w:numId w:val="9"/>
        </w:numPr>
        <w:bidi w:val="0"/>
        <w:jc w:val="both"/>
      </w:pPr>
      <w:r>
        <w:t>Introduction</w:t>
      </w:r>
    </w:p>
    <w:p w14:paraId="5F5D3F2D" w14:textId="126957F4" w:rsidR="00A30FDF" w:rsidRDefault="00A30FDF" w:rsidP="00D52F21">
      <w:pPr>
        <w:pStyle w:val="ListParagraph"/>
        <w:numPr>
          <w:ilvl w:val="0"/>
          <w:numId w:val="11"/>
        </w:numPr>
        <w:bidi w:val="0"/>
        <w:jc w:val="both"/>
      </w:pPr>
      <w:r>
        <w:t>Olefin</w:t>
      </w:r>
      <w:r w:rsidR="00DF1526">
        <w:t xml:space="preserve"> </w:t>
      </w:r>
      <w:r>
        <w:t>metathesis overview</w:t>
      </w:r>
    </w:p>
    <w:p w14:paraId="2144A050" w14:textId="28C77FBD" w:rsidR="00D52F21" w:rsidRDefault="00D52F21" w:rsidP="00D52F21">
      <w:pPr>
        <w:pStyle w:val="ListParagraph"/>
        <w:numPr>
          <w:ilvl w:val="0"/>
          <w:numId w:val="11"/>
        </w:numPr>
        <w:bidi w:val="0"/>
        <w:jc w:val="both"/>
      </w:pPr>
      <w:r>
        <w:t>Principles of bioorthogonal chemistry</w:t>
      </w:r>
    </w:p>
    <w:p w14:paraId="77AF7164" w14:textId="4DA480A5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Body:</w:t>
      </w:r>
    </w:p>
    <w:p w14:paraId="32B428AE" w14:textId="684510BE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Reasons to attempt in-vivo metathesis and examples of specific reactions</w:t>
      </w:r>
    </w:p>
    <w:p w14:paraId="0A73EB1E" w14:textId="043F2469" w:rsidR="00DF1526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Challenges</w:t>
      </w:r>
      <w:r w:rsidR="00EB5C1A">
        <w:t>/requirements</w:t>
      </w:r>
    </w:p>
    <w:p w14:paraId="463680AE" w14:textId="32198891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G</w:t>
      </w:r>
      <w:r w:rsidR="00A30FDF">
        <w:t>eneral</w:t>
      </w:r>
      <w:r>
        <w:t xml:space="preserve"> (limitations of every OM)</w:t>
      </w:r>
    </w:p>
    <w:p w14:paraId="3CDD6B00" w14:textId="61AFD1B0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Reaction-specific</w:t>
      </w:r>
    </w:p>
    <w:p w14:paraId="13A6ED62" w14:textId="7D602872" w:rsidR="00DF1526" w:rsidRDefault="008059B8" w:rsidP="00DF1526">
      <w:pPr>
        <w:pStyle w:val="ListParagraph"/>
        <w:numPr>
          <w:ilvl w:val="1"/>
          <w:numId w:val="8"/>
        </w:numPr>
        <w:bidi w:val="0"/>
        <w:jc w:val="both"/>
      </w:pPr>
      <w:r>
        <w:t>W</w:t>
      </w:r>
      <w:r w:rsidR="00EF6BF7">
        <w:t>ater</w:t>
      </w:r>
      <w:r w:rsidR="00995A2F">
        <w:t>-related</w:t>
      </w:r>
    </w:p>
    <w:p w14:paraId="72925423" w14:textId="77777777" w:rsidR="00DF1526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>biology-related</w:t>
      </w:r>
    </w:p>
    <w:p w14:paraId="1874C2D2" w14:textId="1166364F" w:rsidR="00A30FDF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 xml:space="preserve">use-case-specific (e.g. </w:t>
      </w:r>
      <w:r w:rsidR="00DF1526">
        <w:t>blood/</w:t>
      </w:r>
      <w:r>
        <w:t>cance</w:t>
      </w:r>
      <w:r w:rsidR="00DF1526">
        <w:t>r environment</w:t>
      </w:r>
      <w:r>
        <w:t>)</w:t>
      </w:r>
      <w:r w:rsidR="00A07C35">
        <w:t xml:space="preserve">  </w:t>
      </w:r>
    </w:p>
    <w:p w14:paraId="00F89674" w14:textId="3054529E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Solutions</w:t>
      </w:r>
      <w:r w:rsidR="004A5E21">
        <w:t xml:space="preserve"> (can include lessons from other biorthogonal reactions)</w:t>
      </w:r>
    </w:p>
    <w:p w14:paraId="27CA804E" w14:textId="34599792" w:rsidR="00957948" w:rsidRDefault="00957948" w:rsidP="00064821">
      <w:pPr>
        <w:pStyle w:val="ListParagraph"/>
        <w:numPr>
          <w:ilvl w:val="1"/>
          <w:numId w:val="8"/>
        </w:numPr>
        <w:bidi w:val="0"/>
        <w:jc w:val="both"/>
      </w:pPr>
      <w:r>
        <w:t>Biologically</w:t>
      </w:r>
      <w:r w:rsidR="00DE7997">
        <w:t xml:space="preserve"> </w:t>
      </w:r>
      <w:r>
        <w:t>relevant conditions and model reactions</w:t>
      </w:r>
    </w:p>
    <w:p w14:paraId="48374CC4" w14:textId="77777777" w:rsidR="00A64993" w:rsidRDefault="00A64993" w:rsidP="00957948">
      <w:pPr>
        <w:pStyle w:val="ListParagraph"/>
        <w:numPr>
          <w:ilvl w:val="1"/>
          <w:numId w:val="8"/>
        </w:numPr>
        <w:bidi w:val="0"/>
        <w:jc w:val="both"/>
      </w:pPr>
      <w:r>
        <w:t>Catalysts</w:t>
      </w:r>
    </w:p>
    <w:p w14:paraId="1ED726AD" w14:textId="6484A1B3" w:rsidR="00A64993" w:rsidRDefault="00A64993" w:rsidP="00A64993">
      <w:pPr>
        <w:pStyle w:val="ListParagraph"/>
        <w:numPr>
          <w:ilvl w:val="2"/>
          <w:numId w:val="8"/>
        </w:numPr>
        <w:bidi w:val="0"/>
        <w:jc w:val="both"/>
      </w:pPr>
      <w:r>
        <w:t>GHII (and III?) catalysts</w:t>
      </w:r>
    </w:p>
    <w:p w14:paraId="31EE32A4" w14:textId="7C6737DD" w:rsidR="00064821" w:rsidRDefault="00064821" w:rsidP="00A64993">
      <w:pPr>
        <w:pStyle w:val="ListParagraph"/>
        <w:numPr>
          <w:ilvl w:val="2"/>
          <w:numId w:val="8"/>
        </w:numPr>
        <w:bidi w:val="0"/>
        <w:jc w:val="both"/>
      </w:pPr>
      <w:r>
        <w:t>Metalloproteins – design, synthesis and usage</w:t>
      </w:r>
    </w:p>
    <w:p w14:paraId="650C724D" w14:textId="2502B60A" w:rsidR="00064821" w:rsidRDefault="00064821" w:rsidP="00064821">
      <w:pPr>
        <w:pStyle w:val="ListParagraph"/>
        <w:numPr>
          <w:ilvl w:val="1"/>
          <w:numId w:val="8"/>
        </w:numPr>
        <w:bidi w:val="0"/>
        <w:jc w:val="both"/>
      </w:pPr>
      <w:r>
        <w:t>Modification of the environment</w:t>
      </w:r>
      <w:r w:rsidR="00037AF3">
        <w:t>/additional reagents</w:t>
      </w:r>
    </w:p>
    <w:p w14:paraId="3283A0DD" w14:textId="707F479A" w:rsidR="005731B4" w:rsidRDefault="005731B4" w:rsidP="005731B4">
      <w:pPr>
        <w:pStyle w:val="ListParagraph"/>
        <w:numPr>
          <w:ilvl w:val="1"/>
          <w:numId w:val="8"/>
        </w:numPr>
        <w:bidi w:val="0"/>
        <w:jc w:val="both"/>
      </w:pPr>
      <w:r>
        <w:t>Choice</w:t>
      </w:r>
      <w:r w:rsidR="00887ADA">
        <w:t xml:space="preserve"> of</w:t>
      </w:r>
      <w:r w:rsidR="00037AF3">
        <w:t xml:space="preserve"> the</w:t>
      </w:r>
      <w:r w:rsidR="00887ADA">
        <w:t xml:space="preserve"> organism</w:t>
      </w:r>
    </w:p>
    <w:p w14:paraId="6177FF57" w14:textId="77777777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Discussion</w:t>
      </w:r>
    </w:p>
    <w:p w14:paraId="61921A5B" w14:textId="41CD428A" w:rsidR="00DF1526" w:rsidRDefault="00DF1526" w:rsidP="00DF1526">
      <w:pPr>
        <w:pStyle w:val="ListParagraph"/>
        <w:numPr>
          <w:ilvl w:val="0"/>
          <w:numId w:val="10"/>
        </w:numPr>
        <w:bidi w:val="0"/>
        <w:jc w:val="both"/>
      </w:pPr>
      <w:r>
        <w:t>Recommended catalyst for each use-case</w:t>
      </w:r>
    </w:p>
    <w:p w14:paraId="615B89FE" w14:textId="11ACA720" w:rsidR="00DF1526" w:rsidRDefault="006857D8" w:rsidP="00DF1526">
      <w:pPr>
        <w:pStyle w:val="ListParagraph"/>
        <w:numPr>
          <w:ilvl w:val="0"/>
          <w:numId w:val="10"/>
        </w:numPr>
        <w:bidi w:val="0"/>
        <w:jc w:val="both"/>
      </w:pPr>
      <w:r>
        <w:t>Most- and least-fitting OM reactions</w:t>
      </w:r>
    </w:p>
    <w:p w14:paraId="5FA28C55" w14:textId="0B7D784C" w:rsidR="00DF1526" w:rsidRDefault="005731B4" w:rsidP="00DF1526">
      <w:pPr>
        <w:pStyle w:val="ListParagraph"/>
        <w:numPr>
          <w:ilvl w:val="0"/>
          <w:numId w:val="10"/>
        </w:numPr>
        <w:bidi w:val="0"/>
        <w:jc w:val="both"/>
      </w:pPr>
      <w:r>
        <w:t>More ideas for applications</w:t>
      </w:r>
    </w:p>
    <w:p w14:paraId="22FE6C47" w14:textId="79EE84B3" w:rsidR="00156381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C</w:t>
      </w:r>
      <w:r w:rsidR="00E8662E">
        <w:t>onclusion</w:t>
      </w:r>
    </w:p>
    <w:p w14:paraId="7FC6FE62" w14:textId="77777777" w:rsidR="00A30FDF" w:rsidRDefault="00A30FDF" w:rsidP="00A30FDF">
      <w:pPr>
        <w:bidi w:val="0"/>
        <w:jc w:val="both"/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lastRenderedPageBreak/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 xml:space="preserve">The ammonium also </w:t>
      </w:r>
      <w:r>
        <w:t>weakens the O–Ru coordination, resulting</w:t>
      </w:r>
      <w:r>
        <w:t xml:space="preserve"> </w:t>
      </w:r>
      <w:r>
        <w:t>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1015113F" w14:textId="77777777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Pr="00CB6247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76C981EB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4833B5C4" w14:textId="77777777" w:rsidR="001E525F" w:rsidRDefault="001E525F" w:rsidP="001E525F">
      <w:p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6358C2F7" w14:textId="77777777" w:rsidR="00807916" w:rsidRDefault="00CE1EA6" w:rsidP="00E92282">
      <w:pPr>
        <w:pStyle w:val="ListParagraph"/>
        <w:numPr>
          <w:ilvl w:val="0"/>
          <w:numId w:val="12"/>
        </w:numPr>
        <w:bidi w:val="0"/>
        <w:jc w:val="both"/>
      </w:pPr>
      <w:r w:rsidRPr="00CE1EA6">
        <w:t>On the Mechanism of the Initiation Reaction in Grubbs–Hoveyda Complexes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55C2512C" w14:textId="3949A2C3" w:rsidR="00B13571" w:rsidRDefault="00B13571" w:rsidP="00E92282">
      <w:pPr>
        <w:pStyle w:val="ListParagraph"/>
        <w:numPr>
          <w:ilvl w:val="0"/>
          <w:numId w:val="12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BF0A23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00B2098A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24"/>
    <w:multiLevelType w:val="hybridMultilevel"/>
    <w:tmpl w:val="1D92DC3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1"/>
  </w:num>
  <w:num w:numId="2" w16cid:durableId="413668136">
    <w:abstractNumId w:val="4"/>
  </w:num>
  <w:num w:numId="3" w16cid:durableId="716127929">
    <w:abstractNumId w:val="0"/>
  </w:num>
  <w:num w:numId="4" w16cid:durableId="1942491221">
    <w:abstractNumId w:val="9"/>
  </w:num>
  <w:num w:numId="5" w16cid:durableId="198902726">
    <w:abstractNumId w:val="3"/>
  </w:num>
  <w:num w:numId="6" w16cid:durableId="1567296005">
    <w:abstractNumId w:val="6"/>
  </w:num>
  <w:num w:numId="7" w16cid:durableId="1671909047">
    <w:abstractNumId w:val="2"/>
  </w:num>
  <w:num w:numId="8" w16cid:durableId="1286429997">
    <w:abstractNumId w:val="10"/>
  </w:num>
  <w:num w:numId="9" w16cid:durableId="596400272">
    <w:abstractNumId w:val="7"/>
  </w:num>
  <w:num w:numId="10" w16cid:durableId="544604840">
    <w:abstractNumId w:val="1"/>
  </w:num>
  <w:num w:numId="11" w16cid:durableId="501357413">
    <w:abstractNumId w:val="8"/>
  </w:num>
  <w:num w:numId="12" w16cid:durableId="1870339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0CB"/>
    <w:rsid w:val="0002480A"/>
    <w:rsid w:val="00033BAC"/>
    <w:rsid w:val="00037AF3"/>
    <w:rsid w:val="00046819"/>
    <w:rsid w:val="00055578"/>
    <w:rsid w:val="00055F94"/>
    <w:rsid w:val="00056B95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71DD"/>
    <w:rsid w:val="000F33EF"/>
    <w:rsid w:val="00104ADC"/>
    <w:rsid w:val="00113BB0"/>
    <w:rsid w:val="00117C79"/>
    <w:rsid w:val="00126113"/>
    <w:rsid w:val="00126740"/>
    <w:rsid w:val="00131197"/>
    <w:rsid w:val="00133D26"/>
    <w:rsid w:val="00134B80"/>
    <w:rsid w:val="00136D15"/>
    <w:rsid w:val="00141BDD"/>
    <w:rsid w:val="001556F5"/>
    <w:rsid w:val="00156381"/>
    <w:rsid w:val="00165A70"/>
    <w:rsid w:val="0018624A"/>
    <w:rsid w:val="00190EE8"/>
    <w:rsid w:val="0019219A"/>
    <w:rsid w:val="0019305B"/>
    <w:rsid w:val="001B09E3"/>
    <w:rsid w:val="001B12A4"/>
    <w:rsid w:val="001D04D4"/>
    <w:rsid w:val="001E37AB"/>
    <w:rsid w:val="001E525F"/>
    <w:rsid w:val="001F6830"/>
    <w:rsid w:val="002051F6"/>
    <w:rsid w:val="00227094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A748B"/>
    <w:rsid w:val="003B417F"/>
    <w:rsid w:val="003B79EF"/>
    <w:rsid w:val="003D2472"/>
    <w:rsid w:val="003F1C29"/>
    <w:rsid w:val="003F48F7"/>
    <w:rsid w:val="003F7D1A"/>
    <w:rsid w:val="004058BC"/>
    <w:rsid w:val="0042474E"/>
    <w:rsid w:val="004622FC"/>
    <w:rsid w:val="0046358A"/>
    <w:rsid w:val="00480F02"/>
    <w:rsid w:val="004931AB"/>
    <w:rsid w:val="004A35F3"/>
    <w:rsid w:val="004A5E21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4D50"/>
    <w:rsid w:val="005F625C"/>
    <w:rsid w:val="005F7FDF"/>
    <w:rsid w:val="00604C36"/>
    <w:rsid w:val="0064264B"/>
    <w:rsid w:val="00646ED6"/>
    <w:rsid w:val="00647CA3"/>
    <w:rsid w:val="0065464F"/>
    <w:rsid w:val="0067430A"/>
    <w:rsid w:val="00676738"/>
    <w:rsid w:val="006857D8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42D05"/>
    <w:rsid w:val="008464E0"/>
    <w:rsid w:val="00855B57"/>
    <w:rsid w:val="00857765"/>
    <w:rsid w:val="00865E34"/>
    <w:rsid w:val="008676A4"/>
    <w:rsid w:val="00870797"/>
    <w:rsid w:val="00873864"/>
    <w:rsid w:val="0087611D"/>
    <w:rsid w:val="00887ADA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7CCB"/>
    <w:rsid w:val="00AA1EDC"/>
    <w:rsid w:val="00AD0EA1"/>
    <w:rsid w:val="00AE2273"/>
    <w:rsid w:val="00B03E13"/>
    <w:rsid w:val="00B07E9F"/>
    <w:rsid w:val="00B1031D"/>
    <w:rsid w:val="00B1314A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14CA"/>
    <w:rsid w:val="00BE5622"/>
    <w:rsid w:val="00BE71D5"/>
    <w:rsid w:val="00BF0A23"/>
    <w:rsid w:val="00C012F7"/>
    <w:rsid w:val="00C12D5D"/>
    <w:rsid w:val="00C12EDB"/>
    <w:rsid w:val="00C1475B"/>
    <w:rsid w:val="00C1494F"/>
    <w:rsid w:val="00C240DB"/>
    <w:rsid w:val="00C25E74"/>
    <w:rsid w:val="00C349D3"/>
    <w:rsid w:val="00C42210"/>
    <w:rsid w:val="00C543D3"/>
    <w:rsid w:val="00C91AA5"/>
    <w:rsid w:val="00C97980"/>
    <w:rsid w:val="00CA49F2"/>
    <w:rsid w:val="00CB01C8"/>
    <w:rsid w:val="00CB6247"/>
    <w:rsid w:val="00CC38BF"/>
    <w:rsid w:val="00CD4E85"/>
    <w:rsid w:val="00CE1EA6"/>
    <w:rsid w:val="00CE7D4A"/>
    <w:rsid w:val="00CF04DE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D5FA8"/>
    <w:rsid w:val="00DE0DED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548F2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BFA"/>
    <w:rsid w:val="00F94E10"/>
    <w:rsid w:val="00FA64F2"/>
    <w:rsid w:val="00FA773B"/>
    <w:rsid w:val="00FB4861"/>
    <w:rsid w:val="00FB5BAF"/>
    <w:rsid w:val="00FC4C11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14435</TotalTime>
  <Pages>11</Pages>
  <Words>3300</Words>
  <Characters>16503</Characters>
  <Application>Microsoft Office Word</Application>
  <DocSecurity>0</DocSecurity>
  <Lines>137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174</cp:revision>
  <dcterms:created xsi:type="dcterms:W3CDTF">2024-10-18T13:51:00Z</dcterms:created>
  <dcterms:modified xsi:type="dcterms:W3CDTF">2024-10-29T11:54:00Z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