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Pr="000635A4" w:rsidRDefault="00EE391A" w:rsidP="00EE391A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Next, they replaced the Cl on the Ru with I,</w:t>
      </w:r>
      <w:r w:rsidR="008B5EA1" w:rsidRPr="000635A4">
        <w:rPr>
          <w:color w:val="767171" w:themeColor="background2" w:themeShade="80"/>
        </w:rPr>
        <w:t xml:space="preserve"> and achieved better reactivity and great tolerance to blood components</w:t>
      </w:r>
      <w:r w:rsidR="00FF676A" w:rsidRPr="000635A4">
        <w:rPr>
          <w:color w:val="767171" w:themeColor="background2" w:themeShade="80"/>
        </w:rPr>
        <w:t>, probably because of the weaker hydrogen bonding (6)</w:t>
      </w:r>
      <w:r w:rsidR="008B5EA1" w:rsidRPr="000635A4">
        <w:rPr>
          <w:color w:val="767171" w:themeColor="background2" w:themeShade="80"/>
        </w:rPr>
        <w:t>.</w:t>
      </w:r>
      <w:r w:rsidR="00F62D68" w:rsidRPr="000635A4">
        <w:rPr>
          <w:color w:val="767171" w:themeColor="background2" w:themeShade="80"/>
        </w:rPr>
        <w:t xml:space="preserve"> Similar results regarding iodide were reported in 6.</w:t>
      </w:r>
    </w:p>
    <w:p w14:paraId="5A737BDA" w14:textId="0A9CCE2D" w:rsidR="006C26C1" w:rsidRPr="000635A4" w:rsidRDefault="006C26C1" w:rsidP="006C26C1">
      <w:pPr>
        <w:pStyle w:val="ListParagraph"/>
        <w:numPr>
          <w:ilvl w:val="2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Bromide kind of sucks.6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Pr="000635A4" w:rsidRDefault="000D6D0F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Ruthenium is the most stable metal for OM in air and water (requires more sources).</w:t>
      </w:r>
      <w:r w:rsidRPr="000635A4">
        <w:rPr>
          <w:color w:val="767171" w:themeColor="background2" w:themeShade="80"/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and also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Pr="0001327A" w:rsidRDefault="00FF676A" w:rsidP="00FF676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1327A">
        <w:rPr>
          <w:color w:val="767171" w:themeColor="background2" w:themeShade="80"/>
        </w:rPr>
        <w:t>In GH (Grubbs-Hoveyda) protein-conjugated catalysts, one of the halide ligands is directed toward the protein and the other toward the surface</w:t>
      </w:r>
      <w:r w:rsidR="00AD0EA1" w:rsidRPr="0001327A">
        <w:rPr>
          <w:color w:val="767171" w:themeColor="background2" w:themeShade="80"/>
        </w:rPr>
        <w:t>. That's why ligand (e.g. halide with hydrox</w:t>
      </w:r>
      <w:r w:rsidR="00B45558" w:rsidRPr="0001327A">
        <w:rPr>
          <w:color w:val="767171" w:themeColor="background2" w:themeShade="80"/>
        </w:rPr>
        <w:t>ide</w:t>
      </w:r>
      <w:r w:rsidR="00AD0EA1" w:rsidRPr="0001327A">
        <w:rPr>
          <w:color w:val="767171" w:themeColor="background2" w:themeShade="80"/>
        </w:rPr>
        <w:t>) exchange is possible and can lead to catalyst degradation</w:t>
      </w:r>
      <w:r w:rsidRPr="0001327A">
        <w:rPr>
          <w:color w:val="767171" w:themeColor="background2" w:themeShade="80"/>
        </w:rPr>
        <w:t>.</w:t>
      </w:r>
      <w:r w:rsidRPr="0001327A">
        <w:rPr>
          <w:color w:val="767171" w:themeColor="background2" w:themeShade="80"/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>gives a greater yield than AquaMet for RCM of N,N-diallyltosyl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moisture.</w:t>
      </w:r>
      <w:r w:rsidRPr="00FF2204">
        <w:rPr>
          <w:color w:val="767171" w:themeColor="background2" w:themeShade="80"/>
          <w:vertAlign w:val="superscript"/>
        </w:rPr>
        <w:t>8</w:t>
      </w:r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r>
        <w:t>Isopropoxybenzylidene-based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>Alkylidenes are better than Hoveyda's isopropoxy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>Phosphine catalysts are initiated by the dissociation of the phosphine group but in tethered catalysts like Hoveyda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isopropoxy O or on a phosphine. They improve the solubility  </w:t>
      </w:r>
      <w:r w:rsidR="00E727EC">
        <w:t>and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>In metalloenzymes, the length of the chain connecting the ruthenium complex to the enzyme is important – a longer chains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>Internalization of an externally-applied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>The affinity between biotin and streptavidin is very high by nature, so when the metal catalyst is bonded to biotin it can be integrated to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Pr="00ED7078" w:rsidRDefault="00D9714D" w:rsidP="00CE7D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 xml:space="preserve">Directed evolution through saturation mutagenesis </w:t>
      </w:r>
      <w:r w:rsidR="00C25E74" w:rsidRPr="00ED7078">
        <w:rPr>
          <w:color w:val="767171" w:themeColor="background2" w:themeShade="80"/>
        </w:rPr>
        <w:t xml:space="preserve">on the amino acids close to the Ru </w:t>
      </w:r>
      <w:r w:rsidR="00332F91" w:rsidRPr="00ED7078">
        <w:rPr>
          <w:color w:val="767171" w:themeColor="background2" w:themeShade="80"/>
        </w:rPr>
        <w:t xml:space="preserve">can increase </w:t>
      </w:r>
      <w:r w:rsidR="007676B1" w:rsidRPr="00ED7078">
        <w:rPr>
          <w:color w:val="767171" w:themeColor="background2" w:themeShade="80"/>
        </w:rPr>
        <w:t>five-fold the cell-specific activity of the catalyst.</w:t>
      </w:r>
      <w:r w:rsidR="007676B1" w:rsidRPr="00ED7078">
        <w:rPr>
          <w:color w:val="767171" w:themeColor="background2" w:themeShade="80"/>
          <w:vertAlign w:val="superscript"/>
        </w:rPr>
        <w:t>2</w:t>
      </w:r>
      <w:r w:rsidR="00A97CCB" w:rsidRPr="00ED7078">
        <w:rPr>
          <w:color w:val="767171" w:themeColor="background2" w:themeShade="80"/>
        </w:rPr>
        <w:t xml:space="preserve"> This type of evolution can be perform substrate-specifically and thus we can develop the "ideal" enzyme for any type of reaction</w:t>
      </w:r>
      <w:r w:rsidR="00A15E93" w:rsidRPr="00ED7078">
        <w:rPr>
          <w:color w:val="767171" w:themeColor="background2" w:themeShade="80"/>
        </w:rPr>
        <w:t xml:space="preserve"> (personal observation</w:t>
      </w:r>
      <w:r w:rsidR="00113BB0" w:rsidRPr="00ED7078">
        <w:rPr>
          <w:color w:val="767171" w:themeColor="background2" w:themeShade="80"/>
        </w:rPr>
        <w:t>, based on 2</w:t>
      </w:r>
      <w:r w:rsidR="00A15E93" w:rsidRPr="00ED7078">
        <w:rPr>
          <w:color w:val="767171" w:themeColor="background2" w:themeShade="80"/>
        </w:rPr>
        <w:t>)</w:t>
      </w:r>
      <w:r w:rsidR="00A97CCB" w:rsidRPr="00ED7078">
        <w:rPr>
          <w:color w:val="767171" w:themeColor="background2" w:themeShade="80"/>
        </w:rPr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Pr="00ED7078" w:rsidRDefault="002943EB" w:rsidP="002943E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>A relatively long spacer between the protein and the catalyst may be needed to accommodate the bulky carbene groups.</w:t>
      </w:r>
      <w:r w:rsidR="00B173EF" w:rsidRPr="00ED7078">
        <w:rPr>
          <w:color w:val="767171" w:themeColor="background2" w:themeShade="80"/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 xml:space="preserve">Dative anchoring of biotinylated HG-catalyst to human carbonic anhydrase II (hCAII)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archean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Pr="00234155" w:rsidRDefault="00077DD5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34155">
        <w:rPr>
          <w:color w:val="767171" w:themeColor="background2" w:themeShade="80"/>
        </w:rPr>
        <w:t>"</w:t>
      </w:r>
      <w:r w:rsidR="004B4B9F" w:rsidRPr="00234155">
        <w:rPr>
          <w:color w:val="767171" w:themeColor="background2" w:themeShade="80"/>
        </w:rPr>
        <w:t>N</w:t>
      </w:r>
      <w:r w:rsidRPr="00234155">
        <w:rPr>
          <w:color w:val="767171" w:themeColor="background2" w:themeShade="80"/>
        </w:rP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Pr="00FB5B97" w:rsidRDefault="00F94E10" w:rsidP="00F94E1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>Sulfur-assisted metathesis mechanism (</w:t>
      </w:r>
      <w:hyperlink r:id="rId14" w:history="1">
        <w:r w:rsidRPr="00FB5B97">
          <w:rPr>
            <w:rStyle w:val="Hyperlink"/>
            <w:color w:val="767171" w:themeColor="background2" w:themeShade="80"/>
          </w:rPr>
          <w:t>??</w:t>
        </w:r>
      </w:hyperlink>
      <w:r w:rsidRPr="00FB5B97">
        <w:rPr>
          <w:color w:val="767171" w:themeColor="background2" w:themeShade="80"/>
        </w:rPr>
        <w:t>)</w:t>
      </w:r>
      <w:r w:rsidR="00190EE8" w:rsidRPr="00FB5B97">
        <w:rPr>
          <w:color w:val="767171" w:themeColor="background2" w:themeShade="80"/>
        </w:rPr>
        <w:t xml:space="preserve"> – the helpful chalcogen group can also be installed to on protein "artificially".</w:t>
      </w:r>
      <w:r w:rsidR="00190EE8" w:rsidRPr="00FB5B97">
        <w:rPr>
          <w:color w:val="767171" w:themeColor="background2" w:themeShade="80"/>
          <w:vertAlign w:val="superscript"/>
        </w:rPr>
        <w:t>9</w:t>
      </w:r>
    </w:p>
    <w:p w14:paraId="24CE2F88" w14:textId="0AF09D03" w:rsidR="00592555" w:rsidRPr="00FB5B97" w:rsidRDefault="00592555" w:rsidP="00592555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 xml:space="preserve">Lower </w:t>
      </w:r>
      <w:r w:rsidR="00724BDA" w:rsidRPr="00FB5B97">
        <w:rPr>
          <w:color w:val="767171" w:themeColor="background2" w:themeShade="80"/>
        </w:rPr>
        <w:t>p</w:t>
      </w:r>
      <w:r w:rsidRPr="00FB5B97">
        <w:rPr>
          <w:color w:val="767171" w:themeColor="background2" w:themeShade="80"/>
        </w:rPr>
        <w:t>H – increases TON.</w:t>
      </w:r>
      <w:r w:rsidRPr="00FB5B97">
        <w:rPr>
          <w:color w:val="767171" w:themeColor="background2" w:themeShade="80"/>
          <w:vertAlign w:val="superscript"/>
        </w:rPr>
        <w:t>6</w:t>
      </w:r>
      <w:r w:rsidR="00750627" w:rsidRPr="00FB5B97">
        <w:rPr>
          <w:color w:val="767171" w:themeColor="background2" w:themeShade="80"/>
          <w:vertAlign w:val="superscript"/>
        </w:rPr>
        <w:t>,21</w:t>
      </w:r>
    </w:p>
    <w:p w14:paraId="70D1E90F" w14:textId="7321437B" w:rsidR="00676738" w:rsidRDefault="00676738" w:rsidP="008D270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  <w:r w:rsidR="008D2708">
        <w:t xml:space="preserve">; also </w:t>
      </w:r>
      <w:commentRangeStart w:id="0"/>
      <w:r w:rsidR="008D2708">
        <w:t xml:space="preserve">here </w:t>
      </w:r>
      <w:commentRangeEnd w:id="0"/>
      <w:r w:rsidR="00670B80">
        <w:rPr>
          <w:rStyle w:val="CommentReference"/>
        </w:rPr>
        <w:commentReference w:id="0"/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Pr="00FB5B97" w:rsidRDefault="002155D4" w:rsidP="002155D4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>Raising the temperature.</w:t>
      </w:r>
      <w:r w:rsidRPr="00FB5B97">
        <w:rPr>
          <w:color w:val="767171" w:themeColor="background2" w:themeShade="80"/>
          <w:vertAlign w:val="superscript"/>
        </w:rPr>
        <w:t>16</w:t>
      </w:r>
    </w:p>
    <w:p w14:paraId="34BA6796" w14:textId="3A821880" w:rsidR="008425A0" w:rsidRPr="00FB5B97" w:rsidRDefault="008425A0" w:rsidP="008425A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 xml:space="preserve">tBuOH or DMSO as </w:t>
      </w:r>
      <w:r w:rsidR="00D96DB1" w:rsidRPr="00FB5B97">
        <w:rPr>
          <w:color w:val="767171" w:themeColor="background2" w:themeShade="80"/>
        </w:rPr>
        <w:t>co</w:t>
      </w:r>
      <w:r w:rsidRPr="00FB5B97">
        <w:rPr>
          <w:color w:val="767171" w:themeColor="background2" w:themeShade="80"/>
        </w:rPr>
        <w:t>solvents (shame for in vivo</w:t>
      </w:r>
      <w:r w:rsidR="00D963F8" w:rsidRPr="00FB5B97">
        <w:rPr>
          <w:color w:val="767171" w:themeColor="background2" w:themeShade="80"/>
        </w:rPr>
        <w:t>, and be careful not to denature the protein</w:t>
      </w:r>
      <w:r w:rsidRPr="00FB5B97">
        <w:rPr>
          <w:color w:val="767171" w:themeColor="background2" w:themeShade="80"/>
        </w:rPr>
        <w:t>).</w:t>
      </w:r>
      <w:r w:rsidRPr="00FB5B97">
        <w:rPr>
          <w:color w:val="767171" w:themeColor="background2" w:themeShade="80"/>
          <w:vertAlign w:val="superscript"/>
        </w:rPr>
        <w:t>17</w:t>
      </w:r>
    </w:p>
    <w:p w14:paraId="7A1F6904" w14:textId="1A6B1639" w:rsidR="008425A0" w:rsidRPr="006A7A14" w:rsidRDefault="008425A0" w:rsidP="008425A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6A7A14">
        <w:rPr>
          <w:color w:val="767171" w:themeColor="background2" w:themeShade="80"/>
        </w:rPr>
        <w:t>PEG-500 as a cosolvent.</w:t>
      </w:r>
      <w:r w:rsidRPr="006A7A14">
        <w:rPr>
          <w:color w:val="767171" w:themeColor="background2" w:themeShade="80"/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Pr="00A11EA0" w:rsidRDefault="00DB1147" w:rsidP="00DB1147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A11EA0">
        <w:rPr>
          <w:color w:val="767171" w:themeColor="background2" w:themeShade="80"/>
        </w:rPr>
        <w:t>Water, of course (later on that)</w:t>
      </w:r>
    </w:p>
    <w:p w14:paraId="1CA378CB" w14:textId="7203BA8E" w:rsidR="00DA5643" w:rsidRPr="006A7A14" w:rsidRDefault="00DA5643" w:rsidP="00DA5643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6A7A14">
        <w:rPr>
          <w:color w:val="767171" w:themeColor="background2" w:themeShade="80"/>
        </w:rPr>
        <w:t>GSH and histidine that coordinate to the metal center and can reduce the catalyst.</w:t>
      </w:r>
      <w:r w:rsidRPr="006A7A14">
        <w:rPr>
          <w:color w:val="767171" w:themeColor="background2" w:themeShade="80"/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O-brotylserine is also a good UAA that can be modified by GHII in metathesis and genetically incorporated to a protein by an aminoactl-tRNA sythetase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Pr="007E1173" w:rsidRDefault="00CB6247" w:rsidP="00CB624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 xml:space="preserve">Even in "organic solvent settings" in industry, water </w:t>
      </w:r>
      <w:r w:rsidR="006F3E9F" w:rsidRPr="007E1173">
        <w:rPr>
          <w:color w:val="767171" w:themeColor="background2" w:themeShade="80"/>
        </w:rPr>
        <w:t>is</w:t>
      </w:r>
      <w:r w:rsidRPr="007E1173">
        <w:rPr>
          <w:color w:val="767171" w:themeColor="background2" w:themeShade="80"/>
        </w:rPr>
        <w:t xml:space="preserve"> a frequent, often unavoidable contaminant – even 100ppm water can cause 60% drop in yield.</w:t>
      </w:r>
      <w:r w:rsidRPr="007E1173">
        <w:rPr>
          <w:color w:val="767171" w:themeColor="background2" w:themeShade="80"/>
          <w:vertAlign w:val="superscript"/>
        </w:rPr>
        <w:t>5</w:t>
      </w:r>
    </w:p>
    <w:p w14:paraId="3A500DB3" w14:textId="684CB0D3" w:rsidR="002804E6" w:rsidRPr="007E1173" w:rsidRDefault="002804E6" w:rsidP="002804E6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Water form hydrogen bonds with NH</w:t>
      </w:r>
      <w:r w:rsidRPr="007E1173">
        <w:rPr>
          <w:color w:val="767171" w:themeColor="background2" w:themeShade="80"/>
          <w:vertAlign w:val="subscript"/>
        </w:rPr>
        <w:t>2</w:t>
      </w:r>
      <w:r w:rsidRPr="007E1173">
        <w:rPr>
          <w:color w:val="767171" w:themeColor="background2" w:themeShade="80"/>
        </w:rP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Pr="001C6F4A" w:rsidRDefault="00DF2EB9" w:rsidP="00DF2EB9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The effect is double – both on the catalyst and the reactant.</w:t>
      </w:r>
    </w:p>
    <w:p w14:paraId="65D358B5" w14:textId="4BE9568E" w:rsidR="006B4385" w:rsidRPr="007E1173" w:rsidRDefault="006B4385" w:rsidP="006B438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Fast-initiating catalysts are more vulnerable to decomposition by water because the active state is the one attacked by water.</w:t>
      </w:r>
      <w:r w:rsidRPr="007E1173">
        <w:rPr>
          <w:color w:val="767171" w:themeColor="background2" w:themeShade="80"/>
          <w:vertAlign w:val="superscript"/>
        </w:rPr>
        <w:t>5</w:t>
      </w:r>
    </w:p>
    <w:p w14:paraId="2A61E37B" w14:textId="7B890065" w:rsidR="00530CE2" w:rsidRPr="001C6F4A" w:rsidRDefault="00865E34" w:rsidP="00530CE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Catalyst decomposition in water =(mostly) h</w:t>
      </w:r>
      <w:r w:rsidR="00530CE2" w:rsidRPr="001C6F4A">
        <w:rPr>
          <w:color w:val="767171" w:themeColor="background2" w:themeShade="80"/>
        </w:rPr>
        <w:t>alide exchange lead</w:t>
      </w:r>
      <w:r w:rsidRPr="001C6F4A">
        <w:rPr>
          <w:color w:val="767171" w:themeColor="background2" w:themeShade="80"/>
        </w:rPr>
        <w:t>ing</w:t>
      </w:r>
      <w:r w:rsidR="00530CE2" w:rsidRPr="001C6F4A">
        <w:rPr>
          <w:color w:val="767171" w:themeColor="background2" w:themeShade="80"/>
        </w:rPr>
        <w:t xml:space="preserve"> to dihydroxy complexes and binuclear species (6 quoting others).</w:t>
      </w:r>
      <w:r w:rsidR="00530CE2" w:rsidRPr="001C6F4A">
        <w:rPr>
          <w:color w:val="767171" w:themeColor="background2" w:themeShade="80"/>
          <w:vertAlign w:val="superscript"/>
        </w:rPr>
        <w:t>6</w:t>
      </w:r>
    </w:p>
    <w:p w14:paraId="13CFED73" w14:textId="717BAB4B" w:rsidR="0042258E" w:rsidRPr="00C609E2" w:rsidRDefault="0042258E" w:rsidP="004225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C609E2">
        <w:rPr>
          <w:color w:val="767171" w:themeColor="background2" w:themeShade="80"/>
        </w:rPr>
        <w:t xml:space="preserve">Water competes with the olefin </w:t>
      </w:r>
      <w:r w:rsidR="00177DFC" w:rsidRPr="00C609E2">
        <w:rPr>
          <w:color w:val="767171" w:themeColor="background2" w:themeShade="80"/>
        </w:rPr>
        <w:t>to bind</w:t>
      </w:r>
      <w:r w:rsidRPr="00C609E2">
        <w:rPr>
          <w:color w:val="767171" w:themeColor="background2" w:themeShade="80"/>
        </w:rPr>
        <w:t xml:space="preserve"> the catalyst.</w:t>
      </w:r>
      <w:r w:rsidRPr="00C609E2">
        <w:rPr>
          <w:color w:val="767171" w:themeColor="background2" w:themeShade="80"/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reacting </w:t>
      </w:r>
      <w:r w:rsidR="000D31BE">
        <w:t xml:space="preserve">S- or Se- </w:t>
      </w:r>
      <w:r>
        <w:t>allyl- or</w:t>
      </w:r>
      <w:r w:rsidR="000D31BE">
        <w:t xml:space="preserve"> </w:t>
      </w:r>
      <w:r>
        <w:t>allyl</w:t>
      </w:r>
      <w:r w:rsidR="000D31BE">
        <w:t>homo</w:t>
      </w:r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Pr="00467E8A" w:rsidRDefault="00FB4861" w:rsidP="00FB4861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467E8A">
        <w:rPr>
          <w:color w:val="767171" w:themeColor="background2" w:themeShade="80"/>
        </w:rPr>
        <w:t>In-vivo drug synthesis in disease site enables avoiding side-effects due to harm to healthy tissues.</w:t>
      </w:r>
      <w:r w:rsidRPr="00467E8A">
        <w:rPr>
          <w:color w:val="767171" w:themeColor="background2" w:themeShade="80"/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Pr="008E6F9A" w:rsidRDefault="005A1BAE" w:rsidP="0007127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6F9A">
        <w:rPr>
          <w:color w:val="767171" w:themeColor="background2" w:themeShade="80"/>
        </w:rP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Pr="00783C12" w:rsidRDefault="001B09E3" w:rsidP="001B09E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83C12">
        <w:rPr>
          <w:color w:val="767171" w:themeColor="background2" w:themeShade="80"/>
        </w:rPr>
        <w:t>Combining prodrug and the appropriate catalyst can achieve better activity (e.g. tumor growth suppression) than administering the drug itself, because of the site-specific activity.</w:t>
      </w:r>
      <w:r w:rsidRPr="00783C12">
        <w:rPr>
          <w:color w:val="767171" w:themeColor="background2" w:themeShade="80"/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Pr="002223C0" w:rsidRDefault="00783F61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223C0">
        <w:rPr>
          <w:color w:val="767171" w:themeColor="background2" w:themeShade="80"/>
        </w:rPr>
        <w:t>OM enables creating cross-linked peptide-mimics that are more stable than the "natural" ones.</w:t>
      </w:r>
      <w:r w:rsidRPr="002223C0">
        <w:rPr>
          <w:color w:val="767171" w:themeColor="background2" w:themeShade="80"/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21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>Proteins in which Ahc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SsbG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r>
        <w:t>SarZ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Qbeta – multimetric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>Several Ru complexes cause genotoxic responses in vitro in Salmonella 2275 typhimurium strains TA98 and TA100 (Monti-Bragadin et al, 1975; Yasbin et 2276 al, 1980; Benkli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r w:rsidRPr="00843488">
        <w:t>In an Attempt to Provide a User's Guide to the Galaxy of Benzylidene, Alkoxybenzylidene, and Indenylidene Ruthenium Olefin Metathesis Catalysts</w:t>
      </w:r>
      <w:r w:rsidR="00F42B63">
        <w:t xml:space="preserve"> – </w:t>
      </w:r>
      <w:r w:rsidR="00743CB5">
        <w:t>read, markered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 xml:space="preserve">Genetic Incorporation of </w:t>
      </w:r>
      <w:bookmarkStart w:id="1" w:name="_Hlk185542310"/>
      <w:r>
        <w:t xml:space="preserve">Olefin Cross-Metathesis Reaction Tags </w:t>
      </w:r>
      <w:bookmarkEnd w:id="1"/>
      <w:r>
        <w:t>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markered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>read, markered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>read, markered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markered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t>Surface-Functionalized Nanoparticles by Olefin Metathesis: A Chemoselective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>Carbonic anhydrase II as host protein for the creation of a biocompatible artificial metathesase</w:t>
      </w:r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lastRenderedPageBreak/>
        <w:t>Creation of an artificial metalloprotein with a Hoveyda–Grubbs catalyst moiety through the intrinsic inhibition mechanism of α-chymotrypsin - 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7D46FE53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>Hybrid ruthenium ROMP catalysts based on an engineered variant of β-barrel protein FhuA ΔCVF(tev) : effect of spacer length</w:t>
      </w:r>
      <w:r>
        <w:t xml:space="preserve"> – just </w:t>
      </w:r>
      <w:r w:rsidR="00FB6B6B">
        <w:t xml:space="preserve">to </w:t>
      </w:r>
      <w:r>
        <w:t>quote</w:t>
      </w:r>
      <w:r w:rsidR="000C79F9">
        <w:t xml:space="preserve"> - quoted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pretty old,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Edwardraja, Q. Lin, J. Am. Chem. </w:t>
      </w:r>
      <w:r w:rsidRPr="00951C8E">
        <w:lastRenderedPageBreak/>
        <w:t>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85997">
              <w:rPr>
                <w:strike/>
              </w:rPr>
              <w:t>In an Attempt to Provide a User's Guide to the Galaxy of Benzylidene, Alkoxybenzylidene,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2-06T14:32:00Z" w:initials="HG">
    <w:p w14:paraId="5A843F44" w14:textId="77777777" w:rsidR="00670B80" w:rsidRDefault="00670B80" w:rsidP="00670B80">
      <w:pPr>
        <w:pStyle w:val="CommentText"/>
        <w:bidi w:val="0"/>
      </w:pPr>
      <w:r>
        <w:rPr>
          <w:rStyle w:val="CommentReference"/>
        </w:rPr>
        <w:annotationRef/>
      </w:r>
      <w:hyperlink r:id="rId1" w:anchor="SD2" w:history="1">
        <w:r w:rsidRPr="00FE3DD1">
          <w:rPr>
            <w:rStyle w:val="Hyperlink"/>
          </w:rPr>
          <w:t>https://pmc.ncbi.nlm.nih.gov/articles/PMC7610402/#SD2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843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C323BE" w16cex:dateUtc="2024-12-06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843F44" w16cid:durableId="3DC323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1327A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5A4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C79F9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37679"/>
    <w:rsid w:val="00141BDD"/>
    <w:rsid w:val="001556F5"/>
    <w:rsid w:val="00156381"/>
    <w:rsid w:val="00162FE6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C6F4A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23C0"/>
    <w:rsid w:val="00227094"/>
    <w:rsid w:val="00234155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31C5C"/>
    <w:rsid w:val="00452643"/>
    <w:rsid w:val="0046003C"/>
    <w:rsid w:val="004622FC"/>
    <w:rsid w:val="0046358A"/>
    <w:rsid w:val="00467E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8CA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0B80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A7A14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16839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C12"/>
    <w:rsid w:val="00783F61"/>
    <w:rsid w:val="00791C8F"/>
    <w:rsid w:val="007950C3"/>
    <w:rsid w:val="007A34B3"/>
    <w:rsid w:val="007B7E66"/>
    <w:rsid w:val="007C5D82"/>
    <w:rsid w:val="007D4ECB"/>
    <w:rsid w:val="007E1173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33BA6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4C0"/>
    <w:rsid w:val="008B0D36"/>
    <w:rsid w:val="008B1D95"/>
    <w:rsid w:val="008B5EA1"/>
    <w:rsid w:val="008C0481"/>
    <w:rsid w:val="008D09FD"/>
    <w:rsid w:val="008D1458"/>
    <w:rsid w:val="008D2708"/>
    <w:rsid w:val="008D6847"/>
    <w:rsid w:val="008E0273"/>
    <w:rsid w:val="008E0F38"/>
    <w:rsid w:val="008E37F2"/>
    <w:rsid w:val="008E6F9A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1EA0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1584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609E2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6DB1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76859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D7078"/>
    <w:rsid w:val="00EE0A9D"/>
    <w:rsid w:val="00EE2329"/>
    <w:rsid w:val="00EE391A"/>
    <w:rsid w:val="00EF2191"/>
    <w:rsid w:val="00EF6BF7"/>
    <w:rsid w:val="00F015EC"/>
    <w:rsid w:val="00F04D9A"/>
    <w:rsid w:val="00F06C0B"/>
    <w:rsid w:val="00F07559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97"/>
    <w:rsid w:val="00FB5BAF"/>
    <w:rsid w:val="00FB673E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7A225680-AAC0-497C-831C-EDA7282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0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mc.ncbi.nlm.nih.gov/articles/PMC7610402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yperlink" Target="https://pmc.ncbi.nlm.nih.gov/articles/PMC6823642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38134</TotalTime>
  <Pages>16</Pages>
  <Words>5387</Words>
  <Characters>26935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4</cp:revision>
  <dcterms:created xsi:type="dcterms:W3CDTF">2024-10-18T13:51:00Z</dcterms:created>
  <dcterms:modified xsi:type="dcterms:W3CDTF">2024-12-19T21:26:00Z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