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Next, they replaced the Cl on the Ru with I,</w:t>
      </w:r>
      <w:r w:rsidR="008B5EA1" w:rsidRPr="000635A4">
        <w:rPr>
          <w:color w:val="767171" w:themeColor="background2" w:themeShade="80"/>
        </w:rPr>
        <w:t xml:space="preserve"> and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and also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(Grubbs-Hoveyda)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>gives a greater yield than AquaMet for RCM of N,N-diallyltosyl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moisture.</w:t>
      </w:r>
      <w:r w:rsidRPr="00FF2204">
        <w:rPr>
          <w:color w:val="767171" w:themeColor="background2" w:themeShade="80"/>
          <w:vertAlign w:val="superscript"/>
        </w:rPr>
        <w:t>8</w:t>
      </w:r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r>
        <w:t>Isopropoxybenzylidene-based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isopropoxy O or on a phosphine. They improve the solubility  </w:t>
      </w:r>
      <w:r w:rsidR="00E727EC">
        <w:t>and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>In metalloenzymes, the length of the chain connecting the ruthenium complex to the enzyme is important – a longer chains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>Internalization of an externally-applied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>The affinity between biotin and streptavidin is very high by nature, so when the metal catalyst is bonded to biotin it can be integrated to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 xml:space="preserve">Dative anchoring of biotinylated HG-catalyst to human carbonic anhydrase II (hCAII)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archean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Pr="00234155" w:rsidRDefault="00077DD5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34155">
        <w:rPr>
          <w:color w:val="767171" w:themeColor="background2" w:themeShade="80"/>
        </w:rPr>
        <w:t>"</w:t>
      </w:r>
      <w:r w:rsidR="004B4B9F" w:rsidRPr="00234155">
        <w:rPr>
          <w:color w:val="767171" w:themeColor="background2" w:themeShade="80"/>
        </w:rPr>
        <w:t>N</w:t>
      </w:r>
      <w:r w:rsidRPr="00234155">
        <w:rPr>
          <w:color w:val="767171" w:themeColor="background2" w:themeShade="80"/>
        </w:rP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Pr="00FB5B97" w:rsidRDefault="00F94E10" w:rsidP="00F94E1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Sulfur-assisted metathesis mechanism (</w:t>
      </w:r>
      <w:hyperlink r:id="rId14" w:history="1">
        <w:r w:rsidRPr="00FB5B97">
          <w:rPr>
            <w:rStyle w:val="Hyperlink"/>
            <w:color w:val="767171" w:themeColor="background2" w:themeShade="80"/>
          </w:rPr>
          <w:t>??</w:t>
        </w:r>
      </w:hyperlink>
      <w:r w:rsidRPr="00FB5B97">
        <w:rPr>
          <w:color w:val="767171" w:themeColor="background2" w:themeShade="80"/>
        </w:rPr>
        <w:t>)</w:t>
      </w:r>
      <w:r w:rsidR="00190EE8" w:rsidRPr="00FB5B97">
        <w:rPr>
          <w:color w:val="767171" w:themeColor="background2" w:themeShade="80"/>
        </w:rPr>
        <w:t xml:space="preserve"> – the helpful chalcogen group can also be installed to on protein "artificially".</w:t>
      </w:r>
      <w:r w:rsidR="00190EE8" w:rsidRPr="00FB5B97">
        <w:rPr>
          <w:color w:val="767171" w:themeColor="background2" w:themeShade="80"/>
          <w:vertAlign w:val="superscript"/>
        </w:rPr>
        <w:t>9</w:t>
      </w:r>
    </w:p>
    <w:p w14:paraId="24CE2F88" w14:textId="0AF09D03" w:rsidR="00592555" w:rsidRPr="00FB5B97" w:rsidRDefault="00592555" w:rsidP="00592555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Lower </w:t>
      </w:r>
      <w:r w:rsidR="00724BDA" w:rsidRPr="00FB5B97">
        <w:rPr>
          <w:color w:val="767171" w:themeColor="background2" w:themeShade="80"/>
        </w:rPr>
        <w:t>p</w:t>
      </w:r>
      <w:r w:rsidRPr="00FB5B97">
        <w:rPr>
          <w:color w:val="767171" w:themeColor="background2" w:themeShade="80"/>
        </w:rPr>
        <w:t>H – increases TON.</w:t>
      </w:r>
      <w:r w:rsidRPr="00FB5B97">
        <w:rPr>
          <w:color w:val="767171" w:themeColor="background2" w:themeShade="80"/>
          <w:vertAlign w:val="superscript"/>
        </w:rPr>
        <w:t>6</w:t>
      </w:r>
      <w:r w:rsidR="00750627" w:rsidRPr="00FB5B97">
        <w:rPr>
          <w:color w:val="767171" w:themeColor="background2" w:themeShade="80"/>
          <w:vertAlign w:val="superscript"/>
        </w:rPr>
        <w:t>,21</w:t>
      </w:r>
    </w:p>
    <w:p w14:paraId="70D1E90F" w14:textId="7321437B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also </w:t>
      </w:r>
      <w:commentRangeStart w:id="0"/>
      <w:r w:rsidR="008D2708">
        <w:t xml:space="preserve">here </w:t>
      </w:r>
      <w:commentRangeEnd w:id="0"/>
      <w:r w:rsidR="00670B80">
        <w:rPr>
          <w:rStyle w:val="CommentReference"/>
        </w:rPr>
        <w:commentReference w:id="0"/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Pr="00FB5B97" w:rsidRDefault="002155D4" w:rsidP="002155D4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>Raising the temperature.</w:t>
      </w:r>
      <w:r w:rsidRPr="00FB5B97">
        <w:rPr>
          <w:color w:val="767171" w:themeColor="background2" w:themeShade="80"/>
          <w:vertAlign w:val="superscript"/>
        </w:rPr>
        <w:t>16</w:t>
      </w:r>
    </w:p>
    <w:p w14:paraId="34BA6796" w14:textId="3A821880" w:rsidR="008425A0" w:rsidRPr="00FB5B97" w:rsidRDefault="008425A0" w:rsidP="008425A0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FB5B97">
        <w:rPr>
          <w:color w:val="767171" w:themeColor="background2" w:themeShade="80"/>
        </w:rPr>
        <w:t xml:space="preserve">tBuOH or DMSO as </w:t>
      </w:r>
      <w:r w:rsidR="00D96DB1" w:rsidRPr="00FB5B97">
        <w:rPr>
          <w:color w:val="767171" w:themeColor="background2" w:themeShade="80"/>
        </w:rPr>
        <w:t>co</w:t>
      </w:r>
      <w:r w:rsidRPr="00FB5B97">
        <w:rPr>
          <w:color w:val="767171" w:themeColor="background2" w:themeShade="80"/>
        </w:rPr>
        <w:t>solvents (shame for in vivo</w:t>
      </w:r>
      <w:r w:rsidR="00D963F8" w:rsidRPr="00FB5B97">
        <w:rPr>
          <w:color w:val="767171" w:themeColor="background2" w:themeShade="80"/>
        </w:rPr>
        <w:t>, and be careful not to denature the protein</w:t>
      </w:r>
      <w:r w:rsidRPr="00FB5B97">
        <w:rPr>
          <w:color w:val="767171" w:themeColor="background2" w:themeShade="80"/>
        </w:rPr>
        <w:t>).</w:t>
      </w:r>
      <w:r w:rsidRPr="00FB5B97">
        <w:rPr>
          <w:color w:val="767171" w:themeColor="background2" w:themeShade="80"/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Pr="00A11EA0" w:rsidRDefault="00DB1147" w:rsidP="00DB1147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A11EA0">
        <w:rPr>
          <w:color w:val="767171" w:themeColor="background2" w:themeShade="80"/>
        </w:rP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O-brotylserine is also a good UAA that can be modified by GHII in metathesis and genetically incorporated to a protein by an aminoactl-tRNA sythetase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Pr="007E1173" w:rsidRDefault="00CB6247" w:rsidP="00CB624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 xml:space="preserve">Even in "organic solvent settings" in industry, water </w:t>
      </w:r>
      <w:r w:rsidR="006F3E9F" w:rsidRPr="007E1173">
        <w:rPr>
          <w:color w:val="767171" w:themeColor="background2" w:themeShade="80"/>
        </w:rPr>
        <w:t>is</w:t>
      </w:r>
      <w:r w:rsidRPr="007E1173">
        <w:rPr>
          <w:color w:val="767171" w:themeColor="background2" w:themeShade="80"/>
        </w:rPr>
        <w:t xml:space="preserve"> a frequent, often unavoidable contaminant – even 100ppm water can cause 60% drop in yield.</w:t>
      </w:r>
      <w:r w:rsidRPr="007E1173">
        <w:rPr>
          <w:color w:val="767171" w:themeColor="background2" w:themeShade="80"/>
          <w:vertAlign w:val="superscript"/>
        </w:rPr>
        <w:t>5</w:t>
      </w:r>
    </w:p>
    <w:p w14:paraId="3A500DB3" w14:textId="684CB0D3" w:rsidR="002804E6" w:rsidRPr="007E1173" w:rsidRDefault="002804E6" w:rsidP="002804E6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Water form hydrogen bonds with NH</w:t>
      </w:r>
      <w:r w:rsidRPr="007E1173">
        <w:rPr>
          <w:color w:val="767171" w:themeColor="background2" w:themeShade="80"/>
          <w:vertAlign w:val="subscript"/>
        </w:rPr>
        <w:t>2</w:t>
      </w:r>
      <w:r w:rsidRPr="007E1173">
        <w:rPr>
          <w:color w:val="767171" w:themeColor="background2" w:themeShade="80"/>
        </w:rP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Pr="001C6F4A" w:rsidRDefault="00DF2EB9" w:rsidP="00DF2EB9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The effect is double – both on the catalyst and the reactant.</w:t>
      </w:r>
    </w:p>
    <w:p w14:paraId="65D358B5" w14:textId="4BE9568E" w:rsidR="006B4385" w:rsidRPr="007E1173" w:rsidRDefault="006B4385" w:rsidP="006B438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Fast-initiating catalysts are more vulnerable to decomposition by water because the active state is the one attacked by water.</w:t>
      </w:r>
      <w:r w:rsidRPr="007E1173">
        <w:rPr>
          <w:color w:val="767171" w:themeColor="background2" w:themeShade="80"/>
          <w:vertAlign w:val="superscript"/>
        </w:rPr>
        <w:t>5</w:t>
      </w:r>
    </w:p>
    <w:p w14:paraId="2A61E37B" w14:textId="7B890065" w:rsidR="00530CE2" w:rsidRPr="001C6F4A" w:rsidRDefault="00865E34" w:rsidP="00530CE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1C6F4A">
        <w:rPr>
          <w:color w:val="767171" w:themeColor="background2" w:themeShade="80"/>
        </w:rPr>
        <w:t>Catalyst decomposition in water =(mostly) h</w:t>
      </w:r>
      <w:r w:rsidR="00530CE2" w:rsidRPr="001C6F4A">
        <w:rPr>
          <w:color w:val="767171" w:themeColor="background2" w:themeShade="80"/>
        </w:rPr>
        <w:t>alide exchange lead</w:t>
      </w:r>
      <w:r w:rsidRPr="001C6F4A">
        <w:rPr>
          <w:color w:val="767171" w:themeColor="background2" w:themeShade="80"/>
        </w:rPr>
        <w:t>ing</w:t>
      </w:r>
      <w:r w:rsidR="00530CE2" w:rsidRPr="001C6F4A">
        <w:rPr>
          <w:color w:val="767171" w:themeColor="background2" w:themeShade="80"/>
        </w:rPr>
        <w:t xml:space="preserve"> to dihydroxy complexes and binuclear species (6 quoting others).</w:t>
      </w:r>
      <w:r w:rsidR="00530CE2" w:rsidRPr="001C6F4A">
        <w:rPr>
          <w:color w:val="767171" w:themeColor="background2" w:themeShade="80"/>
          <w:vertAlign w:val="superscript"/>
        </w:rPr>
        <w:t>6</w:t>
      </w:r>
    </w:p>
    <w:p w14:paraId="13CFED73" w14:textId="717BAB4B" w:rsidR="0042258E" w:rsidRPr="00C609E2" w:rsidRDefault="0042258E" w:rsidP="004225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C609E2">
        <w:rPr>
          <w:color w:val="767171" w:themeColor="background2" w:themeShade="80"/>
        </w:rPr>
        <w:t xml:space="preserve">Water competes with the olefin </w:t>
      </w:r>
      <w:r w:rsidR="00177DFC" w:rsidRPr="00C609E2">
        <w:rPr>
          <w:color w:val="767171" w:themeColor="background2" w:themeShade="80"/>
        </w:rPr>
        <w:t>to bind</w:t>
      </w:r>
      <w:r w:rsidRPr="00C609E2">
        <w:rPr>
          <w:color w:val="767171" w:themeColor="background2" w:themeShade="80"/>
        </w:rPr>
        <w:t xml:space="preserve"> the catalyst.</w:t>
      </w:r>
      <w:r w:rsidRPr="00C609E2">
        <w:rPr>
          <w:color w:val="767171" w:themeColor="background2" w:themeShade="80"/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Pr="00467E8A" w:rsidRDefault="00FB4861" w:rsidP="00FB4861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467E8A">
        <w:rPr>
          <w:color w:val="767171" w:themeColor="background2" w:themeShade="80"/>
        </w:rPr>
        <w:t>In-vivo drug synthesis in disease site enables avoiding side-effects due to harm to healthy tissues.</w:t>
      </w:r>
      <w:r w:rsidRPr="00467E8A">
        <w:rPr>
          <w:color w:val="767171" w:themeColor="background2" w:themeShade="80"/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Pr="008E6F9A" w:rsidRDefault="005A1BAE" w:rsidP="0007127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6F9A">
        <w:rPr>
          <w:color w:val="767171" w:themeColor="background2" w:themeShade="80"/>
        </w:rP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Pr="002223C0" w:rsidRDefault="00783F61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223C0">
        <w:rPr>
          <w:color w:val="767171" w:themeColor="background2" w:themeShade="80"/>
        </w:rPr>
        <w:t>OM enables creating cross-linked peptide-mimics that are more stable than the "natural" ones.</w:t>
      </w:r>
      <w:r w:rsidRPr="002223C0">
        <w:rPr>
          <w:color w:val="767171" w:themeColor="background2" w:themeShade="80"/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21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>Several Ru complexes cause genotoxic responses in vitro in Salmonella 2275 typhimurium strains TA98 and TA100 (Monti-Bragadin et al, 1975; Yasbin et 2276 al, 1980; Benkli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markered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>read, markered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>read, markered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markered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>Surface-Functionalized Nanoparticles by Olefin Metathesis: A Chemoselective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>Carbonic anhydrase II as host protein for the creation of a biocompatible artificial metathesase</w:t>
      </w:r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>Creation of an artificial metalloprotein with a Hoveyda–Grubbs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>Hybrid ruthenium ROMP catalysts based on an engineered variant of β-barrel protein FhuA ΔCVF(tev)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Edwardraja,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2-06T14:32:00Z" w:initials="HG">
    <w:p w14:paraId="5A843F44" w14:textId="77777777" w:rsidR="00670B80" w:rsidRDefault="00670B80" w:rsidP="00670B80">
      <w:pPr>
        <w:pStyle w:val="CommentText"/>
        <w:bidi w:val="0"/>
      </w:pPr>
      <w:r>
        <w:rPr>
          <w:rStyle w:val="CommentReference"/>
        </w:rPr>
        <w:annotationRef/>
      </w:r>
      <w:hyperlink r:id="rId1" w:anchor="SD2" w:history="1">
        <w:r w:rsidRPr="00FE3DD1">
          <w:rPr>
            <w:rStyle w:val="Hyperlink"/>
          </w:rPr>
          <w:t>https://pmc.ncbi.nlm.nih.gov/articles/PMC7610402/#SD2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843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C323BE" w16cex:dateUtc="2024-12-06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843F44" w16cid:durableId="3DC32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37679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C6F4A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23C0"/>
    <w:rsid w:val="00227094"/>
    <w:rsid w:val="00234155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67E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8CA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0B80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1173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4C0"/>
    <w:rsid w:val="008B0D36"/>
    <w:rsid w:val="008B1D95"/>
    <w:rsid w:val="008B5EA1"/>
    <w:rsid w:val="008D09FD"/>
    <w:rsid w:val="008D1458"/>
    <w:rsid w:val="008D2708"/>
    <w:rsid w:val="008D6847"/>
    <w:rsid w:val="008E0273"/>
    <w:rsid w:val="008E0F38"/>
    <w:rsid w:val="008E37F2"/>
    <w:rsid w:val="008E6F9A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1EA0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609E2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6DB1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07559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97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7A225680-AAC0-497C-831C-EDA7282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mc.ncbi.nlm.nih.gov/articles/PMC7610402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823642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38057</TotalTime>
  <Pages>16</Pages>
  <Words>5387</Words>
  <Characters>26935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</cp:revision>
  <dcterms:created xsi:type="dcterms:W3CDTF">2024-10-18T13:51:00Z</dcterms:created>
  <dcterms:modified xsi:type="dcterms:W3CDTF">2024-12-13T16:09:00Z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