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</w:t>
      </w:r>
      <w:proofErr w:type="gramStart"/>
      <w:r w:rsidRPr="00516F07">
        <w:rPr>
          <w:color w:val="767171" w:themeColor="background2" w:themeShade="80"/>
        </w:rPr>
        <w:t>in order to</w:t>
      </w:r>
      <w:proofErr w:type="gramEnd"/>
      <w:r w:rsidRPr="00516F07">
        <w:rPr>
          <w:color w:val="767171" w:themeColor="background2" w:themeShade="80"/>
        </w:rPr>
        <w:t xml:space="preserve">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</w:t>
      </w:r>
      <w:proofErr w:type="spellStart"/>
      <w:r w:rsidR="00EE2329">
        <w:t>CuAAC</w:t>
      </w:r>
      <w:proofErr w:type="spellEnd"/>
      <w:r w:rsidR="00EE2329">
        <w:t xml:space="preserve">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 xml:space="preserve">Cu(I) which tends to oxidize and create </w:t>
      </w:r>
      <w:proofErr w:type="spellStart"/>
      <w:r w:rsidR="00397B1A">
        <w:t>superoxides</w:t>
      </w:r>
      <w:proofErr w:type="spellEnd"/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</w:t>
      </w:r>
      <w:proofErr w:type="spellStart"/>
      <w:proofErr w:type="gramStart"/>
      <w:r w:rsidR="00644210">
        <w:t>non bio</w:t>
      </w:r>
      <w:proofErr w:type="spellEnd"/>
      <w:proofErr w:type="gramEnd"/>
      <w:r w:rsidR="00644210">
        <w:t>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 xml:space="preserve">Next, they replaced the Cl on the Ru with </w:t>
      </w:r>
      <w:proofErr w:type="gramStart"/>
      <w:r w:rsidRPr="000635A4">
        <w:rPr>
          <w:color w:val="767171" w:themeColor="background2" w:themeShade="80"/>
        </w:rPr>
        <w:t>I,</w:t>
      </w:r>
      <w:r w:rsidR="008B5EA1" w:rsidRPr="000635A4">
        <w:rPr>
          <w:color w:val="767171" w:themeColor="background2" w:themeShade="80"/>
        </w:rPr>
        <w:t xml:space="preserve"> and</w:t>
      </w:r>
      <w:proofErr w:type="gramEnd"/>
      <w:r w:rsidR="008B5EA1" w:rsidRPr="000635A4">
        <w:rPr>
          <w:color w:val="767171" w:themeColor="background2" w:themeShade="80"/>
        </w:rPr>
        <w:t xml:space="preserve">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</w:t>
      </w:r>
      <w:proofErr w:type="gramStart"/>
      <w:r w:rsidR="00C12D5D" w:rsidRPr="008E0F38">
        <w:rPr>
          <w:color w:val="767171" w:themeColor="background2" w:themeShade="80"/>
        </w:rPr>
        <w:t>and also</w:t>
      </w:r>
      <w:proofErr w:type="gramEnd"/>
      <w:r w:rsidR="00C12D5D" w:rsidRPr="008E0F38">
        <w:rPr>
          <w:color w:val="767171" w:themeColor="background2" w:themeShade="80"/>
        </w:rPr>
        <w:t xml:space="preserve">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</w:t>
      </w:r>
      <w:proofErr w:type="spellStart"/>
      <w:r w:rsidRPr="0001327A">
        <w:rPr>
          <w:color w:val="767171" w:themeColor="background2" w:themeShade="80"/>
        </w:rPr>
        <w:t>Hoveyda</w:t>
      </w:r>
      <w:proofErr w:type="spellEnd"/>
      <w:r w:rsidRPr="0001327A">
        <w:rPr>
          <w:color w:val="767171" w:themeColor="background2" w:themeShade="80"/>
        </w:rPr>
        <w:t>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 xml:space="preserve">gives a greater yield than AquaMet for RCM of </w:t>
      </w:r>
      <w:proofErr w:type="gramStart"/>
      <w:r w:rsidR="00002F63" w:rsidRPr="007E4376">
        <w:rPr>
          <w:color w:val="767171" w:themeColor="background2" w:themeShade="80"/>
        </w:rPr>
        <w:t>N,N</w:t>
      </w:r>
      <w:proofErr w:type="gramEnd"/>
      <w:r w:rsidR="00002F63" w:rsidRPr="007E4376">
        <w:rPr>
          <w:color w:val="767171" w:themeColor="background2" w:themeShade="80"/>
        </w:rPr>
        <w:t>-</w:t>
      </w:r>
      <w:proofErr w:type="spellStart"/>
      <w:r w:rsidR="00002F63" w:rsidRPr="007E4376">
        <w:rPr>
          <w:color w:val="767171" w:themeColor="background2" w:themeShade="80"/>
        </w:rPr>
        <w:t>diallyltosyl</w:t>
      </w:r>
      <w:proofErr w:type="spellEnd"/>
      <w:r w:rsidR="00002F63" w:rsidRPr="007E4376">
        <w:rPr>
          <w:color w:val="767171" w:themeColor="background2" w:themeShade="80"/>
        </w:rPr>
        <w:t xml:space="preserve">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</w:t>
      </w:r>
      <w:proofErr w:type="gramStart"/>
      <w:r w:rsidRPr="00FF2204">
        <w:rPr>
          <w:color w:val="767171" w:themeColor="background2" w:themeShade="80"/>
        </w:rPr>
        <w:t>.</w:t>
      </w:r>
      <w:r w:rsidRPr="00FF2204">
        <w:rPr>
          <w:color w:val="767171" w:themeColor="background2" w:themeShade="80"/>
          <w:vertAlign w:val="superscript"/>
        </w:rPr>
        <w:t>8</w:t>
      </w:r>
      <w:proofErr w:type="gramEnd"/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Isopropoxybenzylidene</w:t>
      </w:r>
      <w:proofErr w:type="spellEnd"/>
      <w:r>
        <w:t>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 w:rsidP="00CE215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proofErr w:type="gramStart"/>
      <w:r>
        <w:t>ones.</w:t>
      </w:r>
      <w:r>
        <w:rPr>
          <w:vertAlign w:val="superscript"/>
        </w:rPr>
        <w:t>obviously</w:t>
      </w:r>
      <w:proofErr w:type="spellEnd"/>
      <w:proofErr w:type="gramEnd"/>
      <w:r>
        <w:rPr>
          <w:vertAlign w:val="superscript"/>
        </w:rPr>
        <w:t>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 xml:space="preserve">Alkylidenes are better than </w:t>
      </w:r>
      <w:proofErr w:type="spellStart"/>
      <w:r>
        <w:t>Hoveyda's</w:t>
      </w:r>
      <w:proofErr w:type="spellEnd"/>
      <w:r>
        <w:t xml:space="preserve"> </w:t>
      </w:r>
      <w:proofErr w:type="spellStart"/>
      <w:r>
        <w:t>isopropoxy</w:t>
      </w:r>
      <w:proofErr w:type="spellEnd"/>
      <w:r>
        <w:t xml:space="preserve">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 xml:space="preserve">Phosphine catalysts are initiated by the dissociation of the phosphine group but in tethered catalysts like </w:t>
      </w:r>
      <w:proofErr w:type="spellStart"/>
      <w:r>
        <w:t>Hoveyda</w:t>
      </w:r>
      <w:proofErr w:type="spellEnd"/>
      <w:r>
        <w:t xml:space="preserve">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</w:t>
      </w:r>
      <w:proofErr w:type="spellStart"/>
      <w:r w:rsidR="00571F52">
        <w:t>isopropoxy</w:t>
      </w:r>
      <w:proofErr w:type="spellEnd"/>
      <w:r w:rsidR="00571F52">
        <w:t xml:space="preserve"> O or on a phosphine. They improve the </w:t>
      </w:r>
      <w:proofErr w:type="gramStart"/>
      <w:r w:rsidR="00571F52">
        <w:t xml:space="preserve">solubility  </w:t>
      </w:r>
      <w:r w:rsidR="00E727EC">
        <w:t>and</w:t>
      </w:r>
      <w:proofErr w:type="gramEnd"/>
      <w:r w:rsidR="00E727EC">
        <w:t xml:space="preserve">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 xml:space="preserve">In metalloenzymes, the length of the chain connecting the ruthenium complex to the enzyme is important – a </w:t>
      </w:r>
      <w:proofErr w:type="gramStart"/>
      <w:r>
        <w:t>longer chains</w:t>
      </w:r>
      <w:proofErr w:type="gramEnd"/>
      <w:r>
        <w:t xml:space="preserve">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 xml:space="preserve">Internalization of an </w:t>
      </w:r>
      <w:proofErr w:type="gramStart"/>
      <w:r>
        <w:t>externally-applied</w:t>
      </w:r>
      <w:proofErr w:type="gramEnd"/>
      <w:r>
        <w:t xml:space="preserve">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 xml:space="preserve">The affinity between biotin and streptavidin is very high by nature, so when the metal catalyst is bonded to biotin it can be integrated </w:t>
      </w:r>
      <w:proofErr w:type="gramStart"/>
      <w:r w:rsidRPr="00926915">
        <w:rPr>
          <w:color w:val="767171" w:themeColor="background2" w:themeShade="80"/>
        </w:rPr>
        <w:t>to</w:t>
      </w:r>
      <w:proofErr w:type="gramEnd"/>
      <w:r w:rsidRPr="00926915">
        <w:rPr>
          <w:color w:val="767171" w:themeColor="background2" w:themeShade="80"/>
        </w:rPr>
        <w:t xml:space="preserve">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>Dative anchoring of biotinylated HG-catalyst to human carbonic anhydrase II (</w:t>
      </w:r>
      <w:proofErr w:type="spellStart"/>
      <w:r w:rsidRPr="00E0757F">
        <w:rPr>
          <w:color w:val="767171" w:themeColor="background2" w:themeShade="80"/>
        </w:rPr>
        <w:t>hCAII</w:t>
      </w:r>
      <w:proofErr w:type="spellEnd"/>
      <w:r w:rsidRPr="00E0757F">
        <w:rPr>
          <w:color w:val="767171" w:themeColor="background2" w:themeShade="80"/>
        </w:rPr>
        <w:t xml:space="preserve">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</w:t>
      </w:r>
      <w:proofErr w:type="spellStart"/>
      <w:r>
        <w:t>archean</w:t>
      </w:r>
      <w:proofErr w:type="spellEnd"/>
      <w:r>
        <w:t xml:space="preserve">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7321437B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</w:t>
      </w:r>
      <w:proofErr w:type="gramStart"/>
      <w:r w:rsidR="008D2708">
        <w:t>also</w:t>
      </w:r>
      <w:proofErr w:type="gramEnd"/>
      <w:r w:rsidR="008D2708">
        <w:t xml:space="preserve"> </w:t>
      </w:r>
      <w:commentRangeStart w:id="0"/>
      <w:r w:rsidR="008D2708">
        <w:t xml:space="preserve">here </w:t>
      </w:r>
      <w:commentRangeEnd w:id="0"/>
      <w:r w:rsidR="00670B80">
        <w:rPr>
          <w:rStyle w:val="CommentReference"/>
        </w:rPr>
        <w:commentReference w:id="0"/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3A821880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tBuOH</w:t>
      </w:r>
      <w:proofErr w:type="spellEnd"/>
      <w:r>
        <w:t xml:space="preserve"> or DMSO as </w:t>
      </w:r>
      <w:r w:rsidR="00D96DB1">
        <w:t>co</w:t>
      </w:r>
      <w:r>
        <w:t>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</w:t>
      </w:r>
      <w:proofErr w:type="gramStart"/>
      <w:r>
        <w:t>later on</w:t>
      </w:r>
      <w:proofErr w:type="gramEnd"/>
      <w: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Not</w:t>
      </w:r>
      <w:r w:rsidR="00865953">
        <w:t>e</w:t>
      </w:r>
      <w:r>
        <w:t xml:space="preserve"> – this is not a metalloprotein case – the ligand is a "regular" </w:t>
      </w:r>
      <w:proofErr w:type="gramStart"/>
      <w:r>
        <w:t>GHII</w:t>
      </w:r>
      <w:proofErr w:type="gramEnd"/>
      <w:r>
        <w:t xml:space="preserve">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 xml:space="preserve">Free OH group in </w:t>
      </w:r>
      <w:proofErr w:type="gramStart"/>
      <w:r w:rsidRPr="003B79EF">
        <w:t>a</w:t>
      </w:r>
      <w:proofErr w:type="gramEnd"/>
      <w:r w:rsidRPr="003B79EF">
        <w:t xml:space="preserve">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</w:t>
      </w:r>
      <w:proofErr w:type="spellStart"/>
      <w:r>
        <w:t>brotylserine</w:t>
      </w:r>
      <w:proofErr w:type="spellEnd"/>
      <w:r>
        <w:t xml:space="preserve"> is also a good UAA that can be modified by GHII in metathesis and genetically incorporated </w:t>
      </w:r>
      <w:proofErr w:type="gramStart"/>
      <w:r>
        <w:t>to</w:t>
      </w:r>
      <w:proofErr w:type="gramEnd"/>
      <w:r>
        <w:t xml:space="preserve"> a protein by an </w:t>
      </w:r>
      <w:proofErr w:type="spellStart"/>
      <w:r>
        <w:t>aminoactl</w:t>
      </w:r>
      <w:proofErr w:type="spellEnd"/>
      <w:r>
        <w:t xml:space="preserve">-tRNA </w:t>
      </w:r>
      <w:proofErr w:type="spellStart"/>
      <w:r>
        <w:t>sythetase</w:t>
      </w:r>
      <w:proofErr w:type="spellEnd"/>
      <w:r>
        <w:t xml:space="preserve">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Pr="007E1173" w:rsidRDefault="00CB6247" w:rsidP="00CB624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 xml:space="preserve">Even in "organic solvent settings" in industry, water </w:t>
      </w:r>
      <w:r w:rsidR="006F3E9F" w:rsidRPr="007E1173">
        <w:rPr>
          <w:color w:val="767171" w:themeColor="background2" w:themeShade="80"/>
        </w:rPr>
        <w:t>is</w:t>
      </w:r>
      <w:r w:rsidRPr="007E1173">
        <w:rPr>
          <w:color w:val="767171" w:themeColor="background2" w:themeShade="80"/>
        </w:rPr>
        <w:t xml:space="preserve"> a frequent, often unavoidable contaminant – even 100ppm water can cause 60% drop in yield.</w:t>
      </w:r>
      <w:r w:rsidRPr="007E1173">
        <w:rPr>
          <w:color w:val="767171" w:themeColor="background2" w:themeShade="80"/>
          <w:vertAlign w:val="superscript"/>
        </w:rPr>
        <w:t>5</w:t>
      </w:r>
    </w:p>
    <w:p w14:paraId="3A500DB3" w14:textId="684CB0D3" w:rsidR="002804E6" w:rsidRPr="007E1173" w:rsidRDefault="002804E6" w:rsidP="002804E6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Water form hydrogen bonds with NH</w:t>
      </w:r>
      <w:r w:rsidRPr="007E1173">
        <w:rPr>
          <w:color w:val="767171" w:themeColor="background2" w:themeShade="80"/>
          <w:vertAlign w:val="subscript"/>
        </w:rPr>
        <w:t>2</w:t>
      </w:r>
      <w:r w:rsidRPr="007E1173">
        <w:rPr>
          <w:color w:val="767171" w:themeColor="background2" w:themeShade="80"/>
        </w:rP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4BE9568E" w:rsidR="006B4385" w:rsidRPr="007E1173" w:rsidRDefault="006B4385" w:rsidP="006B438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1173">
        <w:rPr>
          <w:color w:val="767171" w:themeColor="background2" w:themeShade="80"/>
        </w:rPr>
        <w:t>Fast-initiating catalysts are more vulnerable to decomposition by water because the active state is the one attacked by water.</w:t>
      </w:r>
      <w:r w:rsidRPr="007E1173">
        <w:rPr>
          <w:color w:val="767171" w:themeColor="background2" w:themeShade="80"/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>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</w:t>
      </w:r>
      <w:proofErr w:type="gramStart"/>
      <w:r>
        <w:t>reacting</w:t>
      </w:r>
      <w:proofErr w:type="gramEnd"/>
      <w:r>
        <w:t xml:space="preserve"> </w:t>
      </w:r>
      <w:r w:rsidR="000D31BE">
        <w:t xml:space="preserve">S- or Se- </w:t>
      </w:r>
      <w:r>
        <w:t>allyl- or</w:t>
      </w:r>
      <w:r w:rsidR="000D31BE">
        <w:t xml:space="preserve"> </w:t>
      </w:r>
      <w:proofErr w:type="spellStart"/>
      <w:r>
        <w:t>allyl</w:t>
      </w:r>
      <w:r w:rsidR="000D31BE">
        <w:t>homo</w:t>
      </w:r>
      <w:proofErr w:type="spellEnd"/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Pr="00467E8A" w:rsidRDefault="00FB4861" w:rsidP="00FB4861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467E8A">
        <w:rPr>
          <w:color w:val="767171" w:themeColor="background2" w:themeShade="80"/>
        </w:rPr>
        <w:t>In-vivo drug synthesis in disease site enables avoiding side-effects due to harm to healthy tissues.</w:t>
      </w:r>
      <w:r w:rsidRPr="00467E8A">
        <w:rPr>
          <w:color w:val="767171" w:themeColor="background2" w:themeShade="80"/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Pr="008E6F9A" w:rsidRDefault="005A1BAE" w:rsidP="00071272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6F9A">
        <w:rPr>
          <w:color w:val="767171" w:themeColor="background2" w:themeShade="80"/>
        </w:rPr>
        <w:t xml:space="preserve">The </w:t>
      </w:r>
      <w:proofErr w:type="gramStart"/>
      <w:r w:rsidRPr="008E6F9A">
        <w:rPr>
          <w:color w:val="767171" w:themeColor="background2" w:themeShade="80"/>
        </w:rPr>
        <w:t>antitumor-drug</w:t>
      </w:r>
      <w:proofErr w:type="gramEnd"/>
      <w:r w:rsidRPr="008E6F9A">
        <w:rPr>
          <w:color w:val="767171" w:themeColor="background2" w:themeShade="80"/>
        </w:rP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Pr="002223C0" w:rsidRDefault="00783F61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223C0">
        <w:rPr>
          <w:color w:val="767171" w:themeColor="background2" w:themeShade="80"/>
        </w:rPr>
        <w:t>OM enables creating cross-linked peptide-mimics that are more stable than the "natural" ones.</w:t>
      </w:r>
      <w:r w:rsidRPr="002223C0">
        <w:rPr>
          <w:color w:val="767171" w:themeColor="background2" w:themeShade="80"/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21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 xml:space="preserve">Generating mimics of biological bonds with better characteristics, like stability. For example, substituted triazoles created in </w:t>
      </w:r>
      <w:proofErr w:type="spellStart"/>
      <w:r>
        <w:t>CuAAC</w:t>
      </w:r>
      <w:proofErr w:type="spellEnd"/>
      <w:r>
        <w:t xml:space="preserve">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 xml:space="preserve">Proteins in which </w:t>
      </w:r>
      <w:proofErr w:type="spellStart"/>
      <w:r>
        <w:t>Ahc</w:t>
      </w:r>
      <w:proofErr w:type="spellEnd"/>
      <w:r>
        <w:t xml:space="preserve">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SsbG</w:t>
      </w:r>
      <w:proofErr w:type="spellEnd"/>
      <w:r>
        <w:t xml:space="preserve">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SarZ</w:t>
      </w:r>
      <w:proofErr w:type="spellEnd"/>
      <w:r>
        <w:t xml:space="preserve">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Qbeta</w:t>
      </w:r>
      <w:proofErr w:type="spellEnd"/>
      <w:r>
        <w:t xml:space="preserve"> – </w:t>
      </w:r>
      <w:proofErr w:type="spellStart"/>
      <w:r>
        <w:t>multimetric</w:t>
      </w:r>
      <w:proofErr w:type="spellEnd"/>
      <w:r>
        <w:t xml:space="preserve">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 xml:space="preserve">Several Ru complexes cause genotoxic responses in vitro in Salmonella 2275 typhimurium strains TA98 and TA100 (Monti-Bragadin et al, 1975; </w:t>
      </w:r>
      <w:proofErr w:type="spellStart"/>
      <w:r w:rsidRPr="001C44E3">
        <w:t>Yasbin</w:t>
      </w:r>
      <w:proofErr w:type="spellEnd"/>
      <w:r w:rsidRPr="001C44E3">
        <w:t xml:space="preserve"> et 2276 al, 1980; </w:t>
      </w:r>
      <w:proofErr w:type="spellStart"/>
      <w:r w:rsidRPr="001C44E3">
        <w:t>Benkli</w:t>
      </w:r>
      <w:proofErr w:type="spellEnd"/>
      <w:r w:rsidRPr="001C44E3">
        <w:t xml:space="preserve">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</w:t>
      </w:r>
      <w:proofErr w:type="spellStart"/>
      <w:r w:rsidR="001D180A">
        <w:t>markered</w:t>
      </w:r>
      <w:proofErr w:type="spellEnd"/>
      <w:r w:rsidR="001D180A">
        <w:t xml:space="preserve">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 xml:space="preserve">read, </w:t>
      </w:r>
      <w:proofErr w:type="spellStart"/>
      <w:r w:rsidR="00BF096B">
        <w:t>markered</w:t>
      </w:r>
      <w:proofErr w:type="spellEnd"/>
      <w:r w:rsidR="00BF096B">
        <w:t xml:space="preserve">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proofErr w:type="gramStart"/>
      <w:r w:rsidRPr="00843488">
        <w:t>In an Attempt to</w:t>
      </w:r>
      <w:proofErr w:type="gramEnd"/>
      <w:r w:rsidRPr="00843488">
        <w:t xml:space="preserve"> Provide a User's Guide to the Galaxy of Benzylidene, </w:t>
      </w:r>
      <w:proofErr w:type="spellStart"/>
      <w:r w:rsidRPr="00843488">
        <w:t>Alkoxybenzylidene</w:t>
      </w:r>
      <w:proofErr w:type="spellEnd"/>
      <w:r w:rsidRPr="00843488">
        <w:t>, and Indenylidene Ruthenium Olefin Metathesis Catalysts</w:t>
      </w:r>
      <w:r w:rsidR="00F42B63">
        <w:t xml:space="preserve"> – </w:t>
      </w:r>
      <w:r w:rsidR="00743CB5">
        <w:t xml:space="preserve">read, </w:t>
      </w:r>
      <w:proofErr w:type="spellStart"/>
      <w:r w:rsidR="00743CB5">
        <w:t>markered</w:t>
      </w:r>
      <w:proofErr w:type="spellEnd"/>
      <w:r w:rsidR="00743CB5">
        <w:t xml:space="preserve">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</w:t>
      </w:r>
      <w:proofErr w:type="spellStart"/>
      <w:r w:rsidR="00E31B39">
        <w:t>markered</w:t>
      </w:r>
      <w:proofErr w:type="spellEnd"/>
      <w:r w:rsidR="00E31B39">
        <w:t xml:space="preserve">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 xml:space="preserve">read, </w:t>
      </w:r>
      <w:proofErr w:type="spellStart"/>
      <w:r w:rsidR="0088697A">
        <w:t>markered</w:t>
      </w:r>
      <w:proofErr w:type="spellEnd"/>
      <w:r w:rsidR="0088697A">
        <w:t xml:space="preserve">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 xml:space="preserve">read, </w:t>
      </w:r>
      <w:proofErr w:type="spellStart"/>
      <w:r w:rsidR="001B5F88">
        <w:t>markered</w:t>
      </w:r>
      <w:proofErr w:type="spellEnd"/>
      <w:r w:rsidR="001B5F88">
        <w:t xml:space="preserve">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</w:t>
      </w:r>
      <w:proofErr w:type="spellStart"/>
      <w:r w:rsidR="003919D5">
        <w:t>markered</w:t>
      </w:r>
      <w:proofErr w:type="spellEnd"/>
      <w:r w:rsidR="003919D5">
        <w:t xml:space="preserve">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t xml:space="preserve">Surface-Functionalized Nanoparticles by Olefin Metathesis: A </w:t>
      </w:r>
      <w:proofErr w:type="spellStart"/>
      <w:r w:rsidRPr="006A2079">
        <w:t>Chemoselective</w:t>
      </w:r>
      <w:proofErr w:type="spellEnd"/>
      <w:r w:rsidRPr="006A2079">
        <w:t xml:space="preserve">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 xml:space="preserve">Carbonic anhydrase II as host protein for the creation of a biocompatible artificial </w:t>
      </w:r>
      <w:proofErr w:type="spellStart"/>
      <w:r w:rsidRPr="00452643">
        <w:t>metathesase</w:t>
      </w:r>
      <w:proofErr w:type="spellEnd"/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lastRenderedPageBreak/>
        <w:t xml:space="preserve">Creation of an artificial metalloprotein with a </w:t>
      </w:r>
      <w:proofErr w:type="spellStart"/>
      <w:r w:rsidRPr="00830064">
        <w:rPr>
          <w:strike/>
        </w:rPr>
        <w:t>Hoveyda</w:t>
      </w:r>
      <w:proofErr w:type="spellEnd"/>
      <w:r w:rsidRPr="00830064">
        <w:rPr>
          <w:strike/>
        </w:rPr>
        <w:t>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 xml:space="preserve">Hybrid ruthenium ROMP catalysts based on an engineered variant of β-barrel protein </w:t>
      </w:r>
      <w:proofErr w:type="spellStart"/>
      <w:r w:rsidRPr="009850AB">
        <w:t>FhuA</w:t>
      </w:r>
      <w:proofErr w:type="spellEnd"/>
      <w:r w:rsidRPr="009850AB">
        <w:t xml:space="preserve"> Δ</w:t>
      </w:r>
      <w:proofErr w:type="gramStart"/>
      <w:r w:rsidRPr="009850AB">
        <w:t>CVF(</w:t>
      </w:r>
      <w:proofErr w:type="spellStart"/>
      <w:proofErr w:type="gramEnd"/>
      <w:r w:rsidRPr="009850AB">
        <w:t>tev</w:t>
      </w:r>
      <w:proofErr w:type="spellEnd"/>
      <w:r w:rsidRPr="009850AB">
        <w:t>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</w:t>
      </w:r>
      <w:proofErr w:type="gramStart"/>
      <w:r>
        <w:t>pretty old</w:t>
      </w:r>
      <w:proofErr w:type="gramEnd"/>
      <w:r>
        <w:t>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>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S_nchez-Mart_n</w:t>
      </w:r>
      <w:proofErr w:type="spellEnd"/>
      <w:r w:rsidRPr="00951C8E">
        <w:t xml:space="preserve">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 xml:space="preserve">, Q. Lin, J. Am. Chem. </w:t>
      </w:r>
      <w:r w:rsidRPr="00951C8E">
        <w:lastRenderedPageBreak/>
        <w:t>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>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proofErr w:type="gramStart"/>
      <w:r w:rsidRPr="00951C8E">
        <w:t>Eierhoff,W</w:t>
      </w:r>
      <w:proofErr w:type="spellEnd"/>
      <w:r w:rsidRPr="00951C8E">
        <w:t>.</w:t>
      </w:r>
      <w:proofErr w:type="gramEnd"/>
      <w:r w:rsidRPr="00951C8E">
        <w:t xml:space="preserve">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sketching and writing </w:t>
            </w:r>
            <w:proofErr w:type="gramStart"/>
            <w:r w:rsidRPr="00A94B4E">
              <w:rPr>
                <w:strike/>
              </w:rPr>
              <w:t>the paper</w:t>
            </w:r>
            <w:proofErr w:type="gramEnd"/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 xml:space="preserve">Not </w:t>
            </w:r>
            <w:proofErr w:type="gramStart"/>
            <w:r w:rsidRPr="00F35D44">
              <w:rPr>
                <w:color w:val="FFFFFF" w:themeColor="background1"/>
              </w:rPr>
              <w:t>read</w:t>
            </w:r>
            <w:proofErr w:type="gramEnd"/>
            <w:r w:rsidRPr="00F35D44">
              <w:rPr>
                <w:color w:val="FFFFFF" w:themeColor="background1"/>
              </w:rPr>
              <w:t xml:space="preserve">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proofErr w:type="gramStart"/>
            <w:r w:rsidRPr="00285997">
              <w:rPr>
                <w:strike/>
              </w:rPr>
              <w:t>In an Attempt to</w:t>
            </w:r>
            <w:proofErr w:type="gramEnd"/>
            <w:r w:rsidRPr="00285997">
              <w:rPr>
                <w:strike/>
              </w:rPr>
              <w:t xml:space="preserve"> Provide a User's Guide to the Galaxy of Benzylidene, </w:t>
            </w:r>
            <w:proofErr w:type="spellStart"/>
            <w:r w:rsidRPr="00285997">
              <w:rPr>
                <w:strike/>
              </w:rPr>
              <w:t>Alkoxybenzylidene</w:t>
            </w:r>
            <w:proofErr w:type="spellEnd"/>
            <w:r w:rsidRPr="00285997">
              <w:rPr>
                <w:strike/>
              </w:rPr>
              <w:t>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 xml:space="preserve">start writing </w:t>
            </w:r>
            <w:proofErr w:type="gramStart"/>
            <w:r w:rsidRPr="0085258B">
              <w:rPr>
                <w:strike/>
              </w:rPr>
              <w:t>about in</w:t>
            </w:r>
            <w:proofErr w:type="gramEnd"/>
            <w:r w:rsidRPr="0085258B">
              <w:rPr>
                <w:strike/>
              </w:rPr>
              <w:t xml:space="preserve">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gramStart"/>
            <w:r>
              <w:t>Continue</w:t>
            </w:r>
            <w:proofErr w:type="gramEnd"/>
            <w:r>
              <w:t xml:space="preserve">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2-06T14:32:00Z" w:initials="HG">
    <w:p w14:paraId="5A843F44" w14:textId="77777777" w:rsidR="00670B80" w:rsidRDefault="00670B80" w:rsidP="00670B80">
      <w:pPr>
        <w:pStyle w:val="CommentText"/>
        <w:bidi w:val="0"/>
      </w:pPr>
      <w:r>
        <w:rPr>
          <w:rStyle w:val="CommentReference"/>
        </w:rPr>
        <w:annotationRef/>
      </w:r>
      <w:hyperlink r:id="rId1" w:history="1">
        <w:r w:rsidRPr="00FE3DD1">
          <w:rPr>
            <w:rStyle w:val="Hyperlink"/>
          </w:rPr>
          <w:t>https://pmc.ncbi.nlm.nih.gov/articles/PMC7610402/#SD2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843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C323BE" w16cex:dateUtc="2024-12-06T1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843F44" w16cid:durableId="3DC323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23C0"/>
    <w:rsid w:val="00227094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67E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8CA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0B80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1173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2708"/>
    <w:rsid w:val="008D6847"/>
    <w:rsid w:val="008E0273"/>
    <w:rsid w:val="008E0F38"/>
    <w:rsid w:val="008E37F2"/>
    <w:rsid w:val="008E6F9A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6DB1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mc.ncbi.nlm.nih.gov/articles/PMC7610402/#SD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pmc.ncbi.nlm.nih.gov/articles/PMC6823642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38051</TotalTime>
  <Pages>16</Pages>
  <Words>5387</Words>
  <Characters>26935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342</cp:revision>
  <dcterms:created xsi:type="dcterms:W3CDTF">2024-10-18T13:51:00Z</dcterms:created>
  <dcterms:modified xsi:type="dcterms:W3CDTF">2024-12-07T10:25:00Z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