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reyes-v-caldwell-motors"/>
    <w:p>
      <w:pPr>
        <w:pStyle w:val="Heading1"/>
      </w:pPr>
      <w:r>
        <w:t xml:space="preserve">Reyes v Caldwell Motors</w:t>
      </w:r>
    </w:p>
    <w:p>
      <w:pPr>
        <w:pStyle w:val="FirstParagraph"/>
      </w:pPr>
      <w:r>
        <w:rPr>
          <w:b/>
          <w:bCs/>
        </w:rPr>
        <w:t xml:space="preserve">District Court of New South Wales, Sydney Registry</w:t>
      </w:r>
      <w:r>
        <w:t xml:space="preserve"> </w:t>
      </w:r>
      <w:r>
        <w:t xml:space="preserve">Case No: 2025/00098213</w:t>
      </w:r>
    </w:p>
    <w:p>
      <w:pPr>
        <w:pStyle w:val="BodyText"/>
      </w:pPr>
      <w:r>
        <w:t xml:space="preserve">Dominic Reyes (plaintiff) vs Caldwell Motors Australia Pty Ltd and Riverside Auto Group Pty Ltd trading as Riverside Caldwell (defendants)</w:t>
      </w:r>
    </w:p>
    <w:p>
      <w:pPr>
        <w:pStyle w:val="BodyText"/>
      </w:pPr>
      <w:r>
        <w:rPr>
          <w:b/>
          <w:bCs/>
        </w:rPr>
        <w:t xml:space="preserve">Notice of Motion for Summary Judgment</w:t>
      </w:r>
    </w:p>
    <w:bookmarkStart w:id="20" w:name="table-of-contents"/>
    <w:p>
      <w:pPr>
        <w:pStyle w:val="Heading2"/>
      </w:pPr>
      <w:r>
        <w:t xml:space="preserve">Table of Contents</w:t>
      </w:r>
    </w:p>
    <w:p>
      <w:pPr>
        <w:pStyle w:val="Compact"/>
        <w:numPr>
          <w:ilvl w:val="0"/>
          <w:numId w:val="1001"/>
        </w:numPr>
      </w:pPr>
      <w:r>
        <w:t xml:space="preserve">The plaintiff’s claim is a clear example of a major failure under the Australian Consumer Law</w:t>
      </w:r>
    </w:p>
    <w:p>
      <w:pPr>
        <w:pStyle w:val="Compact"/>
        <w:numPr>
          <w:ilvl w:val="0"/>
          <w:numId w:val="1001"/>
        </w:numPr>
      </w:pPr>
      <w:r>
        <w:t xml:space="preserve">The defendants’ own records demonstrate a failure to provide a repair service</w:t>
      </w:r>
    </w:p>
    <w:p>
      <w:pPr>
        <w:pStyle w:val="Compact"/>
        <w:numPr>
          <w:ilvl w:val="0"/>
          <w:numId w:val="1001"/>
        </w:numPr>
      </w:pPr>
      <w:r>
        <w:t xml:space="preserve">A major failure under the ACL can be constituted by a single defect or by several defects taken together</w:t>
      </w:r>
    </w:p>
    <w:bookmarkEnd w:id="20"/>
    <w:bookmarkStart w:id="21" w:name="Xc671a9cacc369e5f30eadc4e407e950b9ed4cd2"/>
    <w:p>
      <w:pPr>
        <w:pStyle w:val="Heading2"/>
      </w:pPr>
      <w:r>
        <w:t xml:space="preserve">1. The plaintiff’s claim is a clear example of a major failure under the Australian Consumer Law</w:t>
      </w:r>
    </w:p>
    <w:p>
      <w:pPr>
        <w:pStyle w:val="FirstParagraph"/>
      </w:pPr>
      <w:r>
        <w:t xml:space="preserve">The plaintiff’s claim is a clear example of a major failure under the Australian Consumer Law. A major failure, as defined in s 260 of the ACL, occurs when the goods would not have been acquired by a reasonable consumer fully acquainted with the nature and extent of the failure. In this case, the Vehicle was supplied to the Plaintiff in trade or commerce, and the Second Defendant’s service department recorded multiple occasions where the defects were</w:t>
      </w:r>
      <w:r>
        <w:t xml:space="preserve"> </w:t>
      </w:r>
      <w:r>
        <w:t xml:space="preserve">“</w:t>
      </w:r>
      <w:r>
        <w:t xml:space="preserve">identified and rectified,</w:t>
      </w:r>
      <w:r>
        <w:t xml:space="preserve">”</w:t>
      </w:r>
      <w:r>
        <w:t xml:space="preserve"> </w:t>
      </w:r>
      <w:r>
        <w:t xml:space="preserve">“</w:t>
      </w:r>
      <w:r>
        <w:t xml:space="preserve">software updated,</w:t>
      </w:r>
      <w:r>
        <w:t xml:space="preserve">”</w:t>
      </w:r>
      <w:r>
        <w:t xml:space="preserve"> </w:t>
      </w:r>
      <w:r>
        <w:t xml:space="preserve">or</w:t>
      </w:r>
      <w:r>
        <w:t xml:space="preserve"> </w:t>
      </w:r>
      <w:r>
        <w:t xml:space="preserve">“</w:t>
      </w:r>
      <w:r>
        <w:t xml:space="preserve">unable to duplicate at this time.</w:t>
      </w:r>
      <w:r>
        <w:t xml:space="preserve">”</w:t>
      </w:r>
      <w:r>
        <w:t xml:space="preserve"> </w:t>
      </w:r>
      <w:r>
        <w:t xml:space="preserve">However, the defects recurred within weeks of each repair, indicating a systemic failure on the part of the Second Defendant.</w:t>
      </w:r>
    </w:p>
    <w:p>
      <w:pPr>
        <w:pStyle w:val="BodyText"/>
      </w:pPr>
      <w:r>
        <w:t xml:space="preserve">The authorities confirm that a single defect is not necessarily enough to constitute a major failure, but rather it is the cumulative effect of the defects that determines whether the failure is major (see [14] [2016] NSWCATAP 80, p.18). In this case, the multiple defects and the recurring nature of the issues indicate a significant failure on the part of the Second Defendant. Furthermore, the fact that the Second Defendant’s service department was unable to properly diagnose and rectify the issue on multiple occasions suggests a failure to comply with the consumer guarantee under s 54(1) of the ACL.</w:t>
      </w:r>
    </w:p>
    <w:p>
      <w:pPr>
        <w:pStyle w:val="BodyText"/>
      </w:pPr>
      <w:r>
        <w:t xml:space="preserve">The plaintiff’s return of the Vehicle to the Second Defendant for inspection and repair on 13 occasions, with the defects recurring on each occasion, is a clear indication of the Second Defendant’s failure to comply with the consumer guarantee. A reasonable consumer would not have acquired the Vehicle if they were aware of the nature and extent of the failures (see [17] [2025] NSWCATCD 111, p.11). Therefore, the plaintiff’s claim is a clear example of a major failure under the Australian Consumer Law.</w:t>
      </w:r>
    </w:p>
    <w:p>
      <w:pPr>
        <w:pStyle w:val="BodyText"/>
      </w:pPr>
      <w:r>
        <w:t xml:space="preserve">The plaintiff is entitled to seek damages for the major failure under the ACL. While the authorities do not provide a specific remedy for wrongful refusal of a refund (see [19] [2016] NSWCATAP 80, p.23), the plaintiff may seek to recover damages for the delay in recovery of a refund, if applicable. The Tribunal has jurisdiction to hear this claim under the Australian Consumer Law (NSW), which applies in New South Wales as part of the Fair Trading Act 1987 (NSW).</w:t>
      </w:r>
    </w:p>
    <w:bookmarkEnd w:id="21"/>
    <w:bookmarkStart w:id="22" w:name="X0ee32e1d8a0590a8f13ed701bfda9993cf0a353"/>
    <w:p>
      <w:pPr>
        <w:pStyle w:val="Heading2"/>
      </w:pPr>
      <w:r>
        <w:t xml:space="preserve">2. The defendants’ own records demonstrate a failure to provide a repair service</w:t>
      </w:r>
    </w:p>
    <w:p>
      <w:pPr>
        <w:pStyle w:val="FirstParagraph"/>
      </w:pPr>
      <w:r>
        <w:t xml:space="preserve">The defendants’ own records demonstrate a failure to provide a repair service, which is a critical consideration in determining liability for the defective vehicle supplied to the plaintiff. The plaintiff has made repeated attempts to have the vehicle repaired for two defects, but the second defendant has failed to permanently resolve the issues. This failure is evident in the defendants’ own records, which suggest a lack of commitment to ensuring the vehicle meets the required standards.</w:t>
      </w:r>
    </w:p>
    <w:p>
      <w:pPr>
        <w:pStyle w:val="BodyText"/>
      </w:pPr>
      <w:r>
        <w:t xml:space="preserve">This lack of commitment is particularly concerning given the plaintiff’s claims under the Australian Consumer Law. The consumer guarantee of acceptable quality requires that goods supplied must be of acceptable quality, taking into account the nature of the goods and any representations made about the goods. In this case, the defendants’ failure to provide a repair service that resolves the defects in the vehicle suggests a breach of this guarantee.</w:t>
      </w:r>
    </w:p>
    <w:p>
      <w:pPr>
        <w:pStyle w:val="BodyText"/>
      </w:pPr>
      <w:r>
        <w:t xml:space="preserve">No supporting authority has yet been located for this argument, and the uploaded case documents do not contain any relevant information on this specific point. However, the facts of the case, as established from the defendants’ own records, demonstrate a clear failure on their part to provide the necessary repair service. This failure is sufficient to support the plaintiff’s claims under the Australian Consumer Law.</w:t>
      </w:r>
    </w:p>
    <w:p>
      <w:pPr>
        <w:pStyle w:val="BodyText"/>
      </w:pPr>
      <w:r>
        <w:t xml:space="preserve">The plaintiff is entitled to damages and other relief arising from the supply of a motor vehicle that did not comply with the consumer guarantee of acceptable quality. The defendants’ own records demonstrate a failure to provide a repair service, which is a critical factor in determining the extent of the plaintiff’s loss.</w:t>
      </w:r>
    </w:p>
    <w:bookmarkEnd w:id="22"/>
    <w:bookmarkStart w:id="23" w:name="X31a41012ff188374752b84114d5cc4cf9b2a389"/>
    <w:p>
      <w:pPr>
        <w:pStyle w:val="Heading2"/>
      </w:pPr>
      <w:r>
        <w:t xml:space="preserve">3. A major failure under the ACL can be constituted by a single defect or by several defects taken together</w:t>
      </w:r>
    </w:p>
    <w:p>
      <w:pPr>
        <w:pStyle w:val="FirstParagraph"/>
      </w:pPr>
      <w:r>
        <w:t xml:space="preserve">The plaintiff’s claim that the supply of the motor vehicle constitutes a major failure under the ACL is supported by the definition of a major failure in section 260 of the ACL. According to [1], a major failure is constituted by a reasonable consumer not acquiring the Vehicle, and the Vehicle being substantially unfit for its ordinary purpose of safe, reliable family and commuting use, and cannot be remedied within a reasonable time. The plaintiff has also given written notice to the Second Defendant rejecting the Vehicle under s 259(3)(a) of the ACL, as established in [4].</w:t>
      </w:r>
    </w:p>
    <w:p>
      <w:pPr>
        <w:pStyle w:val="BodyText"/>
      </w:pPr>
      <w:r>
        <w:t xml:space="preserve">In the case of [2025] NSWCATCD 111, the court considered the issue of whether a single defect or a series of defects can constitute a major failure under the ACL. The court held that a major failure under the ACL can be constituted by a single defect or by several defects taken together, as stated in [22]. This finding is consistent with the plaintiff’s claim that the supply of the motor vehicle, which had one or both of the defects, constitutes a major failure.</w:t>
      </w:r>
    </w:p>
    <w:p>
      <w:pPr>
        <w:pStyle w:val="BodyText"/>
      </w:pPr>
      <w:r>
        <w:t xml:space="preserve">Furthermore, the plaintiff’s claim is supported by the applicable remedies available to a consumer under the ACL. According to [11], if the goods have a</w:t>
      </w:r>
      <w:r>
        <w:t xml:space="preserve"> </w:t>
      </w:r>
      <w:r>
        <w:t xml:space="preserve">“</w:t>
      </w:r>
      <w:r>
        <w:t xml:space="preserve">major failure</w:t>
      </w:r>
      <w:r>
        <w:t xml:space="preserve">”</w:t>
      </w:r>
      <w:r>
        <w:t xml:space="preserve"> </w:t>
      </w:r>
      <w:r>
        <w:t xml:space="preserve">and the consumer has rejected the goods within a reasonable period of time, the consumer can elect to have a refund or replacement of the goods, and the supplier must refund or replace. The plaintiff has alleged that the supply of the motor vehicle constituted a major failure, and that he has suffered loss and damage as a result, as stated in [5].</w:t>
      </w:r>
    </w:p>
    <w:bookmarkEnd w:id="23"/>
    <w:bookmarkStart w:id="24" w:name="table-of-authorities"/>
    <w:p>
      <w:pPr>
        <w:pStyle w:val="Heading2"/>
      </w:pPr>
      <w:r>
        <w:t xml:space="preserve">Table of Authorities</w:t>
      </w:r>
    </w:p>
    <w:p>
      <w:pPr>
        <w:pStyle w:val="Compact"/>
        <w:numPr>
          <w:ilvl w:val="0"/>
          <w:numId w:val="1002"/>
        </w:numPr>
      </w:pPr>
      <w:r>
        <w:t xml:space="preserve">[2016] NSWCATAP 80</w:t>
      </w:r>
    </w:p>
    <w:p>
      <w:pPr>
        <w:pStyle w:val="Compact"/>
        <w:numPr>
          <w:ilvl w:val="0"/>
          <w:numId w:val="1002"/>
        </w:numPr>
      </w:pPr>
      <w:r>
        <w:t xml:space="preserve">[2023] NSWCATCD 29</w:t>
      </w:r>
    </w:p>
    <w:p>
      <w:pPr>
        <w:pStyle w:val="Compact"/>
        <w:numPr>
          <w:ilvl w:val="0"/>
          <w:numId w:val="1002"/>
        </w:numPr>
      </w:pPr>
      <w:r>
        <w:t xml:space="preserve">[2025] NSWCATCD 111</w:t>
      </w:r>
    </w:p>
    <w:p>
      <w:r>
        <w:pict>
          <v:rect style="width:0;height:1.5pt" o:hralign="center" o:hrstd="t" o:hr="t"/>
        </w:pict>
      </w:r>
    </w:p>
    <w:p>
      <w:pPr>
        <w:pStyle w:val="FirstParagraph"/>
      </w:pPr>
      <w:r>
        <w:rPr>
          <w:i/>
          <w:iCs/>
        </w:rPr>
        <w:t xml:space="preserve">AI-drafted — verify every authority, quotation, and fact before filing.</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2026-08-26T22:18:12Z</dcterms:created>
  <dcterms:modified xsi:type="dcterms:W3CDTF">2026-08-26T22:18:12Z</dcterms:modified>
</cp:coreProperties>
</file>

<file path=docProps/custom.xml><?xml version="1.0" encoding="utf-8"?>
<Properties xmlns="http://schemas.openxmlformats.org/officeDocument/2006/custom-properties" xmlns:vt="http://schemas.openxmlformats.org/officeDocument/2006/docPropsVTypes"/>
</file>