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2E64" w:rsidRPr="00C32E64" w:rsidRDefault="00C32E64" w:rsidP="00C32E64">
      <w:pPr>
        <w:rPr>
          <w:b/>
          <w:bCs/>
        </w:rPr>
      </w:pPr>
      <w:r w:rsidRPr="00C32E64">
        <w:rPr>
          <w:b/>
          <w:bCs/>
        </w:rPr>
        <w:t>Frontier Analysis: Strategic Research Gaps in MOF Composite Materials for Carbon Dioxide Capture</w:t>
      </w:r>
    </w:p>
    <w:p w:rsidR="00C32E64" w:rsidRPr="00C32E64" w:rsidRDefault="00C32E64" w:rsidP="00C32E64">
      <w:pPr>
        <w:rPr>
          <w:b/>
          <w:bCs/>
        </w:rPr>
      </w:pPr>
      <w:r w:rsidRPr="00C32E64">
        <w:rPr>
          <w:b/>
          <w:bCs/>
        </w:rPr>
        <w:t>1. Introduction: The Strategic Imperative of MOF-Based Carbon Mitigation</w:t>
      </w:r>
    </w:p>
    <w:p w:rsidR="00C32E64" w:rsidRPr="00C32E64" w:rsidRDefault="00C32E64" w:rsidP="00C32E64">
      <w:r w:rsidRPr="00C32E64">
        <w:t xml:space="preserve">The escalation of atmospheric carbon dioxide (CO_2) levels since the Industrial Revolution has established carbon capture as a critical global mandate to mitigate climate change and associated health risks. Historically, industrial efforts have relied on liquid amine scrubbing; however, this mature technology is burdened by a severe energy penalty—frequently consuming 30% of a power plant's output—due to the high temperatures required to break strong chemical bonds during regeneration. Furthermore, liquid amines are characterized by their corrosive nature and susceptibility to degradation and evaporation. Consequently, there is a strategic imperative to transition toward solid-state physisorption. Metal-Organic Frameworks (MOFs), characterized by high porosity and </w:t>
      </w:r>
      <w:proofErr w:type="spellStart"/>
      <w:r w:rsidRPr="00C32E64">
        <w:t>tunable</w:t>
      </w:r>
      <w:proofErr w:type="spellEnd"/>
      <w:r w:rsidRPr="00C32E64">
        <w:t xml:space="preserve"> structures composed of metal cations and organic ligands, offer a promising alternative. While lab-scale MOFs demonstrate exceptional capacity and selectivity, a significant gap remains between high-performance powders and the robust, shaped composites required for industrial deployment. This report identifies the fundamental structural and operational voids that hinder the transition from ideal lab conditions to field-scale carbon mitigation, moving beyond basic capacity metrics to address the fundamental structural and operational gaps that hinder industrial deployment. This paradigm shift requires resolving several structural paradoxes inherent in composite formation.</w:t>
      </w:r>
    </w:p>
    <w:p w:rsidR="00C32E64" w:rsidRPr="00C32E64" w:rsidRDefault="00C32E64" w:rsidP="00C32E64">
      <w:pPr>
        <w:rPr>
          <w:b/>
          <w:bCs/>
        </w:rPr>
      </w:pPr>
      <w:r w:rsidRPr="00C32E64">
        <w:rPr>
          <w:b/>
          <w:bCs/>
        </w:rPr>
        <w:t>2. The Porosity-Electrostatic Paradox: Surface Area vs. Site Density</w:t>
      </w:r>
    </w:p>
    <w:p w:rsidR="00C32E64" w:rsidRPr="00C32E64" w:rsidRDefault="00C32E64" w:rsidP="00C32E64">
      <w:r w:rsidRPr="00C32E64">
        <w:t>The primary architectural challenge in MOF composite design lies in the delicate balance between framework porosity and the density of electrostatic binding sites. While high surface area is essential for maximum gravimetric uptake, the presence of specific, high-affinity sites dictates performance at the low partial pressures typical of flue gas or direct air capture.</w:t>
      </w:r>
    </w:p>
    <w:p w:rsidR="00C32E64" w:rsidRPr="00C32E64" w:rsidRDefault="00C32E64" w:rsidP="00C32E64">
      <w:pPr>
        <w:rPr>
          <w:b/>
          <w:bCs/>
        </w:rPr>
      </w:pPr>
      <w:r w:rsidRPr="00C32E64">
        <w:rPr>
          <w:b/>
          <w:bCs/>
        </w:rPr>
        <w:t>Evaluation of Differentiators</w:t>
      </w:r>
    </w:p>
    <w:p w:rsidR="00C32E64" w:rsidRPr="00C32E64" w:rsidRDefault="00C32E64" w:rsidP="00C32E64">
      <w:r w:rsidRPr="00C32E64">
        <w:t>Traditional high-surface-area frameworks, such as MOF-177 or InOF-1, rely on expansive void volumes to achieve high CO_2 capacity. However, these materials often fail to translate their gravimetric potential into volumetric efficiency, which is critical for minimizing the footprint of industrial adsorbent beds. In contrast, frameworks like Mg-MOF-74 or UTSA-16 utilize high densities of open metal sites or specialized "terminal water sites" to create strong interactions with CO_2. For instance, Mg-MOF-74 achieves a remarkable volumetric capacity of 162 cm^3/cm^3, closely followed by UTSA-16 at 160 cm^3/cm^3. Despite these successes, the competition between gravimetric potential and volumetric uptake remains a central tension in the industrial landscape.</w:t>
      </w:r>
    </w:p>
    <w:p w:rsidR="00C32E64" w:rsidRPr="00C32E64" w:rsidRDefault="00C32E64" w:rsidP="00C32E64">
      <w:pPr>
        <w:rPr>
          <w:b/>
          <w:bCs/>
        </w:rPr>
      </w:pPr>
      <w:r w:rsidRPr="00C32E64">
        <w:rPr>
          <w:b/>
          <w:bCs/>
        </w:rPr>
        <w:t>Identified Research Gap</w:t>
      </w:r>
    </w:p>
    <w:p w:rsidR="00C32E64" w:rsidRPr="00C32E64" w:rsidRDefault="00C32E64" w:rsidP="00C32E64">
      <w:r w:rsidRPr="00C32E64">
        <w:t xml:space="preserve">A significant contradiction emerges during the formation of MOF composites: the intentional addition of functional groups or secondary supports (like polymers or carbons) frequently leads to a "clogging" effect. This is particularly problematic when tethering bulky ligands into </w:t>
      </w:r>
      <w:proofErr w:type="spellStart"/>
      <w:r w:rsidRPr="00C32E64">
        <w:t>ultramicroporous</w:t>
      </w:r>
      <w:proofErr w:type="spellEnd"/>
      <w:r w:rsidRPr="00C32E64">
        <w:t xml:space="preserve"> frameworks or when binders interfere with the terminal water sites of UTSA-16. Furthermore, there is a critical need for Materials Genome-inspired high-throughput computational screening to predict "clogging" thresholds and site accessibility before physical synthesis is attempted.</w:t>
      </w:r>
    </w:p>
    <w:p w:rsidR="00C32E64" w:rsidRPr="00C32E64" w:rsidRDefault="00C32E64" w:rsidP="00C32E64">
      <w:pPr>
        <w:rPr>
          <w:b/>
          <w:bCs/>
        </w:rPr>
      </w:pPr>
      <w:r w:rsidRPr="00C32E64">
        <w:rPr>
          <w:b/>
          <w:bCs/>
        </w:rPr>
        <w:t>Evidence &amp; Significance: The Porosity/Electrostatic Conflict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9"/>
        <w:gridCol w:w="3749"/>
        <w:gridCol w:w="3612"/>
      </w:tblGrid>
      <w:tr w:rsidR="00C32E64" w:rsidRPr="00C32E64" w:rsidTr="00C32E64">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lastRenderedPageBreak/>
              <w:t>Source Evidence</w:t>
            </w:r>
          </w:p>
        </w:tc>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Observed Conflict</w:t>
            </w:r>
          </w:p>
        </w:tc>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Significance for Scaling</w:t>
            </w:r>
          </w:p>
        </w:tc>
      </w:tr>
      <w:tr w:rsidR="00C32E64" w:rsidRPr="00C32E64" w:rsidTr="00C32E64">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rPr>
                <w:b/>
                <w:bCs/>
              </w:rPr>
              <w:t>Mn-based MOF</w:t>
            </w:r>
            <w:r w:rsidRPr="00C32E64">
              <w:t xml:space="preserve"> (Q_{</w:t>
            </w:r>
            <w:proofErr w:type="spellStart"/>
            <w:r w:rsidRPr="00C32E64">
              <w:t>st</w:t>
            </w:r>
            <w:proofErr w:type="spellEnd"/>
            <w:r w:rsidRPr="00C32E64">
              <w:t>} 39.1 kJ/mol)</w:t>
            </w:r>
          </w:p>
        </w:tc>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Uncoordinated N-heteroatoms enhance CO_2 binding but increase regeneration energy.</w:t>
            </w:r>
          </w:p>
        </w:tc>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High site affinity can lead to "hot spots" and increased cost in large-scale TSA/PSA cycles.</w:t>
            </w:r>
          </w:p>
        </w:tc>
      </w:tr>
      <w:tr w:rsidR="00C32E64" w:rsidRPr="00C32E64" w:rsidTr="00C32E64">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rPr>
                <w:b/>
                <w:bCs/>
              </w:rPr>
              <w:t>Mg-MOF-74</w:t>
            </w:r>
            <w:r w:rsidRPr="00C32E64">
              <w:t xml:space="preserve"> (Q_{</w:t>
            </w:r>
            <w:proofErr w:type="spellStart"/>
            <w:r w:rsidRPr="00C32E64">
              <w:t>st</w:t>
            </w:r>
            <w:proofErr w:type="spellEnd"/>
            <w:r w:rsidRPr="00C32E64">
              <w:t>} 47 kJ/mol)</w:t>
            </w:r>
          </w:p>
        </w:tc>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Superior affinity at low pressure vs. high regeneration energy and instability in steam.</w:t>
            </w:r>
          </w:p>
        </w:tc>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Requires high energy input for desorption, potentially mirroring the "energy penalty" of amines.</w:t>
            </w:r>
          </w:p>
        </w:tc>
      </w:tr>
      <w:tr w:rsidR="00C32E64" w:rsidRPr="00C32E64" w:rsidTr="00C32E64">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rPr>
                <w:b/>
                <w:bCs/>
              </w:rPr>
              <w:t>MUF-16</w:t>
            </w:r>
            <w:r w:rsidRPr="00C32E64">
              <w:t xml:space="preserve"> (Q_{</w:t>
            </w:r>
            <w:proofErr w:type="spellStart"/>
            <w:r w:rsidRPr="00C32E64">
              <w:t>st</w:t>
            </w:r>
            <w:proofErr w:type="spellEnd"/>
            <w:r w:rsidRPr="00C32E64">
              <w:t>} 32 kJ/mol)</w:t>
            </w:r>
          </w:p>
        </w:tc>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Moderate Q_{</w:t>
            </w:r>
            <w:proofErr w:type="spellStart"/>
            <w:r w:rsidRPr="00C32E64">
              <w:t>st</w:t>
            </w:r>
            <w:proofErr w:type="spellEnd"/>
            <w:r w:rsidRPr="00C32E64">
              <w:t>} maintains selectivity (6690 for CO_2/CH_4) without excessive bond strength.</w:t>
            </w:r>
          </w:p>
        </w:tc>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Suggests that ultra-high Q_{</w:t>
            </w:r>
            <w:proofErr w:type="spellStart"/>
            <w:r w:rsidRPr="00C32E64">
              <w:t>st</w:t>
            </w:r>
            <w:proofErr w:type="spellEnd"/>
            <w:r w:rsidRPr="00C32E64">
              <w:t>} is not always the optimal pathway for scalable efficiency.</w:t>
            </w:r>
          </w:p>
        </w:tc>
      </w:tr>
    </w:tbl>
    <w:p w:rsidR="00C32E64" w:rsidRPr="00C32E64" w:rsidRDefault="00C32E64" w:rsidP="00C32E64">
      <w:r w:rsidRPr="00C32E64">
        <w:rPr>
          <w:b/>
          <w:bCs/>
        </w:rPr>
        <w:t>Testable Research Question:</w:t>
      </w:r>
      <w:r w:rsidRPr="00C32E64">
        <w:t xml:space="preserve"> Does the steric hindrance introduced by tethering bulky functional ligands into </w:t>
      </w:r>
      <w:proofErr w:type="spellStart"/>
      <w:r w:rsidRPr="00C32E64">
        <w:t>ultramicroporous</w:t>
      </w:r>
      <w:proofErr w:type="spellEnd"/>
      <w:r w:rsidRPr="00C32E64">
        <w:t xml:space="preserve"> MOFs reduce overall CO_2 diffusivity more significantly than the loss of theoretical surface area, and can high-throughput screening identify the optimal "tethering" limit?</w:t>
      </w:r>
    </w:p>
    <w:p w:rsidR="00C32E64" w:rsidRPr="00C32E64" w:rsidRDefault="00C32E64" w:rsidP="00C32E64">
      <w:r w:rsidRPr="00C32E64">
        <w:rPr>
          <w:b/>
          <w:bCs/>
        </w:rPr>
        <w:t>Suggested Study Design:</w:t>
      </w:r>
      <w:r w:rsidRPr="00C32E64">
        <w:t xml:space="preserve"> Conduct </w:t>
      </w:r>
      <w:r w:rsidRPr="00C32E64">
        <w:rPr>
          <w:i/>
          <w:iCs/>
        </w:rPr>
        <w:t>in-situ</w:t>
      </w:r>
      <w:r w:rsidRPr="00C32E64">
        <w:t xml:space="preserve"> </w:t>
      </w:r>
      <w:proofErr w:type="spellStart"/>
      <w:r w:rsidRPr="00C32E64">
        <w:t>porosimetry</w:t>
      </w:r>
      <w:proofErr w:type="spellEnd"/>
      <w:r w:rsidRPr="00C32E64">
        <w:t xml:space="preserve"> during the step-wise synthesis of MUF-16 or UTSA-16 composites, integrated with a Materials Genome computational model. By tracking site accessibility and N_2 BET surface area at each stage of ligand exchange or binder addition, researchers can identify the exact threshold where electrostatic enhancement yields diminishing returns due to pore blockage.</w:t>
      </w:r>
    </w:p>
    <w:p w:rsidR="00C32E64" w:rsidRPr="00C32E64" w:rsidRDefault="00C32E64" w:rsidP="00C32E64">
      <w:r w:rsidRPr="00C32E64">
        <w:t>This structural site density is further complicated when moving from pure-gas environments to the unpredictable chemistry of industrial waste streams.</w:t>
      </w:r>
    </w:p>
    <w:p w:rsidR="00C32E64" w:rsidRPr="00C32E64" w:rsidRDefault="00C32E64" w:rsidP="00C32E64">
      <w:pPr>
        <w:rPr>
          <w:b/>
          <w:bCs/>
        </w:rPr>
      </w:pPr>
      <w:r w:rsidRPr="00C32E64">
        <w:rPr>
          <w:b/>
          <w:bCs/>
        </w:rPr>
        <w:t>3. Environmental Fidelity Gap: Dynamic Multi-Gas and Humidity Profiles</w:t>
      </w:r>
    </w:p>
    <w:p w:rsidR="00C32E64" w:rsidRPr="00C32E64" w:rsidRDefault="00C32E64" w:rsidP="00C32E64">
      <w:r w:rsidRPr="00C32E64">
        <w:t>The strategic necessity for carbon capture materials is defined by their performance in "wet" and "dirty" flue gas. Standard laboratory evaluations often rely on dry, idealized single-component gases, which fail to capture the competitive adsorption dynamics inherent in real-world applications.</w:t>
      </w:r>
    </w:p>
    <w:p w:rsidR="00C32E64" w:rsidRPr="00C32E64" w:rsidRDefault="00C32E64" w:rsidP="00C32E64">
      <w:pPr>
        <w:rPr>
          <w:b/>
          <w:bCs/>
        </w:rPr>
      </w:pPr>
      <w:r w:rsidRPr="00C32E64">
        <w:rPr>
          <w:b/>
          <w:bCs/>
        </w:rPr>
        <w:t>Critique of Current Methodologies</w:t>
      </w:r>
    </w:p>
    <w:p w:rsidR="00C32E64" w:rsidRPr="00C32E64" w:rsidRDefault="00C32E64" w:rsidP="00C32E64">
      <w:r w:rsidRPr="00C32E64">
        <w:t xml:space="preserve">Current research heavily </w:t>
      </w:r>
      <w:proofErr w:type="spellStart"/>
      <w:r w:rsidRPr="00C32E64">
        <w:t>favors</w:t>
      </w:r>
      <w:proofErr w:type="spellEnd"/>
      <w:r w:rsidRPr="00C32E64">
        <w:t xml:space="preserve"> pure-component isotherms (CO_2, CH_4, N_2), but the absence of multi-gas dynamic data involving acid gases (H_2S, </w:t>
      </w:r>
      <w:proofErr w:type="spellStart"/>
      <w:r w:rsidRPr="00C32E64">
        <w:t>NO_x</w:t>
      </w:r>
      <w:proofErr w:type="spellEnd"/>
      <w:r w:rsidRPr="00C32E64">
        <w:t xml:space="preserve">, </w:t>
      </w:r>
      <w:proofErr w:type="spellStart"/>
      <w:r w:rsidRPr="00C32E64">
        <w:t>SO_x</w:t>
      </w:r>
      <w:proofErr w:type="spellEnd"/>
      <w:r w:rsidRPr="00C32E64">
        <w:t xml:space="preserve">) creates a performance vacuum. For instance, while the MOF-74 series exhibits world-class CO_2 affinity, its open metal sites are notoriously vulnerable to moisture. In contrast, aromatic systems that satisfy the </w:t>
      </w:r>
      <w:proofErr w:type="spellStart"/>
      <w:r w:rsidRPr="00C32E64">
        <w:t>Hückel</w:t>
      </w:r>
      <w:proofErr w:type="spellEnd"/>
      <w:r w:rsidRPr="00C32E64">
        <w:t xml:space="preserve"> rule, such as Al-PMOF, or hydrogen-bonded systems like MUF-16, demonstrate superior stability in humid air and after water immersion. UTSA-16 represents a unique case where terminal water sites aid binding, yet their </w:t>
      </w:r>
      <w:proofErr w:type="spellStart"/>
      <w:r w:rsidRPr="00C32E64">
        <w:t>behavior</w:t>
      </w:r>
      <w:proofErr w:type="spellEnd"/>
      <w:r w:rsidRPr="00C32E64">
        <w:t xml:space="preserve"> under high humidity remains under-researched.</w:t>
      </w:r>
    </w:p>
    <w:p w:rsidR="00C32E64" w:rsidRPr="00C32E64" w:rsidRDefault="00C32E64" w:rsidP="00C32E64">
      <w:pPr>
        <w:rPr>
          <w:b/>
          <w:bCs/>
        </w:rPr>
      </w:pPr>
      <w:r w:rsidRPr="00C32E64">
        <w:rPr>
          <w:b/>
          <w:bCs/>
        </w:rPr>
        <w:t>Testable Research Questions</w:t>
      </w:r>
    </w:p>
    <w:p w:rsidR="00C32E64" w:rsidRPr="00C32E64" w:rsidRDefault="00C32E64" w:rsidP="00C32E64">
      <w:pPr>
        <w:numPr>
          <w:ilvl w:val="0"/>
          <w:numId w:val="1"/>
        </w:numPr>
      </w:pPr>
      <w:r w:rsidRPr="00C32E64">
        <w:t>To what extent does the presence of 80% relative humidity displace CO_2 from the terminal water sites of UTSA-16 compared to the open metal sites of Mg-MOF-74?</w:t>
      </w:r>
    </w:p>
    <w:p w:rsidR="00C32E64" w:rsidRPr="00C32E64" w:rsidRDefault="00C32E64" w:rsidP="00C32E64">
      <w:pPr>
        <w:numPr>
          <w:ilvl w:val="0"/>
          <w:numId w:val="1"/>
        </w:numPr>
      </w:pPr>
      <w:r w:rsidRPr="00C32E64">
        <w:t>Can hydrogen-bonding "pockets" in MUF-16 maintain CO_2 selectivity when H_2S concentrations exceed 5%?</w:t>
      </w:r>
    </w:p>
    <w:p w:rsidR="00C32E64" w:rsidRPr="00C32E64" w:rsidRDefault="00C32E64" w:rsidP="00C32E64">
      <w:r w:rsidRPr="00C32E64">
        <w:rPr>
          <w:b/>
          <w:bCs/>
        </w:rPr>
        <w:t>Suggested Study Design:</w:t>
      </w:r>
      <w:r w:rsidRPr="00C32E64">
        <w:t xml:space="preserve"> Implement a multi-component breakthrough experiment using a MUF-16 adsorbent bed. The feed gas should simulate a realistic flue gas profile (15% CO_2, 80% relative </w:t>
      </w:r>
      <w:r w:rsidRPr="00C32E64">
        <w:lastRenderedPageBreak/>
        <w:t>humidity, and trace H_2S). The study should execute a minimum of 12-cycle stability tests to determine if the "inverse selectivity" (adsorbing CO_2 over hydrocarbons) is maintained or if the framework undergoes structural fatigue.</w:t>
      </w:r>
    </w:p>
    <w:p w:rsidR="00C32E64" w:rsidRPr="00C32E64" w:rsidRDefault="00C32E64" w:rsidP="00C32E64">
      <w:r w:rsidRPr="00C32E64">
        <w:t>This gap in environmental fidelity is compounded by the limitations of the mathematical models used to project lab results onto industrial configurations.</w:t>
      </w:r>
    </w:p>
    <w:p w:rsidR="00C32E64" w:rsidRPr="00C32E64" w:rsidRDefault="00C32E64" w:rsidP="00C32E64">
      <w:pPr>
        <w:rPr>
          <w:b/>
          <w:bCs/>
        </w:rPr>
      </w:pPr>
      <w:r w:rsidRPr="00C32E64">
        <w:rPr>
          <w:b/>
          <w:bCs/>
        </w:rPr>
        <w:t xml:space="preserve">4. </w:t>
      </w:r>
      <w:proofErr w:type="spellStart"/>
      <w:r w:rsidRPr="00C32E64">
        <w:rPr>
          <w:b/>
          <w:bCs/>
        </w:rPr>
        <w:t>Modeling</w:t>
      </w:r>
      <w:proofErr w:type="spellEnd"/>
      <w:r w:rsidRPr="00C32E64">
        <w:rPr>
          <w:b/>
          <w:bCs/>
        </w:rPr>
        <w:t xml:space="preserve"> vs. Reality: 0D IAST Limitations in Shaped Pellets</w:t>
      </w:r>
    </w:p>
    <w:p w:rsidR="00C32E64" w:rsidRPr="00C32E64" w:rsidRDefault="00C32E64" w:rsidP="00C32E64">
      <w:r w:rsidRPr="00C32E64">
        <w:t>Industrial carbon capture requires "shaping"—the process of converting MOF powders into pellets or granules to manage pressure drops within large reactors. However, the models used to predict performance at this scale often oversimplify the physics involved.</w:t>
      </w:r>
    </w:p>
    <w:p w:rsidR="00C32E64" w:rsidRPr="00C32E64" w:rsidRDefault="00C32E64" w:rsidP="00C32E64">
      <w:pPr>
        <w:rPr>
          <w:b/>
          <w:bCs/>
        </w:rPr>
      </w:pPr>
      <w:r w:rsidRPr="00C32E64">
        <w:rPr>
          <w:b/>
          <w:bCs/>
        </w:rPr>
        <w:t>Theoretical vs. Practical Selectivity</w:t>
      </w:r>
    </w:p>
    <w:p w:rsidR="00C32E64" w:rsidRPr="00C32E64" w:rsidRDefault="00C32E64" w:rsidP="00C32E64">
      <w:r w:rsidRPr="00C32E64">
        <w:t xml:space="preserve">Ideal Adsorbed Solution Theory (IAST) is the standard for calculating selectivity. For example, MUF-16 boasts an IAST selectivity of 6690 for CO_2/CH_4. However, these 0D models assume ideal gas </w:t>
      </w:r>
      <w:proofErr w:type="spellStart"/>
      <w:r w:rsidRPr="00C32E64">
        <w:t>behavior</w:t>
      </w:r>
      <w:proofErr w:type="spellEnd"/>
      <w:r w:rsidRPr="00C32E64">
        <w:t xml:space="preserve"> and uniform site accessibility. In macroscopic pellets, "diffusion resistance" becomes a dominant factor. The binders used to hold pellets together can create tortuous paths and interfacial resistances that significantly delay gas transport, a phenomenon not captured by powder-based IAST calculations.</w:t>
      </w:r>
    </w:p>
    <w:p w:rsidR="00C32E64" w:rsidRPr="00C32E64" w:rsidRDefault="00C32E64" w:rsidP="00C32E64">
      <w:pPr>
        <w:rPr>
          <w:b/>
          <w:bCs/>
        </w:rPr>
      </w:pPr>
      <w:r w:rsidRPr="00C32E64">
        <w:rPr>
          <w:b/>
          <w:bCs/>
        </w:rPr>
        <w:t>Gap Analysis: IAST Theory vs. Pellet Reality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127"/>
        <w:gridCol w:w="4883"/>
      </w:tblGrid>
      <w:tr w:rsidR="00C32E64" w:rsidRPr="00C32E64" w:rsidTr="00C32E64">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Ideal Assumptions (IAST)</w:t>
            </w:r>
          </w:p>
        </w:tc>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Pellet-Level Disruptions</w:t>
            </w:r>
          </w:p>
        </w:tc>
      </w:tr>
      <w:tr w:rsidR="00C32E64" w:rsidRPr="00C32E64" w:rsidTr="00C32E64">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Instantaneous equilibrium across all sites.</w:t>
            </w:r>
          </w:p>
        </w:tc>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Mass-transfer limitations due to binder interference.</w:t>
            </w:r>
          </w:p>
        </w:tc>
      </w:tr>
      <w:tr w:rsidR="00C32E64" w:rsidRPr="00C32E64" w:rsidTr="00C32E64">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Negligible heat effects during adsorption.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Thermal gradients within the pellet affecting local Q_{</w:t>
            </w:r>
            <w:proofErr w:type="spellStart"/>
            <w:r w:rsidRPr="00C32E64">
              <w:t>st</w:t>
            </w:r>
            <w:proofErr w:type="spellEnd"/>
            <w:r w:rsidRPr="00C32E64">
              <w:t>}.</w:t>
            </w:r>
          </w:p>
        </w:tc>
      </w:tr>
      <w:tr w:rsidR="00C32E64" w:rsidRPr="00C32E64" w:rsidTr="00C32E64">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Uniform pore geometry throughout the sample.</w:t>
            </w:r>
          </w:p>
        </w:tc>
        <w:tc>
          <w:tcPr>
            <w:tcW w:w="0" w:type="auto"/>
            <w:tcBorders>
              <w:top w:val="outset" w:sz="6" w:space="0" w:color="auto"/>
              <w:left w:val="outset" w:sz="6" w:space="0" w:color="auto"/>
              <w:bottom w:val="outset" w:sz="6" w:space="0" w:color="auto"/>
              <w:right w:val="outset" w:sz="6" w:space="0" w:color="auto"/>
            </w:tcBorders>
            <w:vAlign w:val="center"/>
            <w:hideMark/>
          </w:tcPr>
          <w:p w:rsidR="00C32E64" w:rsidRPr="00C32E64" w:rsidRDefault="00C32E64" w:rsidP="00C32E64">
            <w:r w:rsidRPr="00C32E64">
              <w:t>Pore tortuosity and "dead zones" created by granulation.</w:t>
            </w:r>
          </w:p>
        </w:tc>
      </w:tr>
    </w:tbl>
    <w:p w:rsidR="00C32E64" w:rsidRPr="00C32E64" w:rsidRDefault="00C32E64" w:rsidP="00C32E64">
      <w:r w:rsidRPr="00C32E64">
        <w:rPr>
          <w:b/>
          <w:bCs/>
        </w:rPr>
        <w:t>Suggested Study Design:</w:t>
      </w:r>
      <w:r w:rsidRPr="00C32E64">
        <w:t xml:space="preserve"> Compare the breakthrough times of powdered MUF-16 against extruded MUF-16 pellets under high-pressure (9-bar) conditions. By measuring the "steepness" of the breakthrough curve, researchers can quantify the mass-transfer coefficient and determine the degree to which </w:t>
      </w:r>
      <w:proofErr w:type="spellStart"/>
      <w:r w:rsidRPr="00C32E64">
        <w:t>pelletization</w:t>
      </w:r>
      <w:proofErr w:type="spellEnd"/>
      <w:r w:rsidRPr="00C32E64">
        <w:t xml:space="preserve"> compromises the framework’s intrinsic selectivity.</w:t>
      </w:r>
    </w:p>
    <w:p w:rsidR="00C32E64" w:rsidRPr="00C32E64" w:rsidRDefault="00C32E64" w:rsidP="00C32E64">
      <w:pPr>
        <w:rPr>
          <w:b/>
          <w:bCs/>
        </w:rPr>
      </w:pPr>
      <w:r w:rsidRPr="00C32E64">
        <w:rPr>
          <w:b/>
          <w:bCs/>
        </w:rPr>
        <w:t>5. The Enthalpy-Regeneration Crossover: Q_{</w:t>
      </w:r>
      <w:proofErr w:type="spellStart"/>
      <w:r w:rsidRPr="00C32E64">
        <w:rPr>
          <w:b/>
          <w:bCs/>
        </w:rPr>
        <w:t>st</w:t>
      </w:r>
      <w:proofErr w:type="spellEnd"/>
      <w:r w:rsidRPr="00C32E64">
        <w:rPr>
          <w:b/>
          <w:bCs/>
        </w:rPr>
        <w:t>} vs. Thermal Energy Costs</w:t>
      </w:r>
    </w:p>
    <w:p w:rsidR="00C32E64" w:rsidRPr="00C32E64" w:rsidRDefault="00C32E64" w:rsidP="00C32E64">
      <w:r w:rsidRPr="00C32E64">
        <w:t>The "Thermodynamic Sweet Spot" refers to an isosteric heat of adsorption (Q_{</w:t>
      </w:r>
      <w:proofErr w:type="spellStart"/>
      <w:r w:rsidRPr="00C32E64">
        <w:t>st</w:t>
      </w:r>
      <w:proofErr w:type="spellEnd"/>
      <w:r w:rsidRPr="00C32E64">
        <w:t>}) that is high enough to ensure CO_2 selectivity but low enough to minimize the energy required for thermal regeneration.</w:t>
      </w:r>
    </w:p>
    <w:p w:rsidR="00C32E64" w:rsidRPr="00C32E64" w:rsidRDefault="00C32E64" w:rsidP="00C32E64">
      <w:pPr>
        <w:rPr>
          <w:b/>
          <w:bCs/>
        </w:rPr>
      </w:pPr>
      <w:r w:rsidRPr="00C32E64">
        <w:rPr>
          <w:b/>
          <w:bCs/>
        </w:rPr>
        <w:t>Evaluation of the Q_{</w:t>
      </w:r>
      <w:proofErr w:type="spellStart"/>
      <w:r w:rsidRPr="00C32E64">
        <w:rPr>
          <w:b/>
          <w:bCs/>
        </w:rPr>
        <w:t>st</w:t>
      </w:r>
      <w:proofErr w:type="spellEnd"/>
      <w:r w:rsidRPr="00C32E64">
        <w:rPr>
          <w:b/>
          <w:bCs/>
        </w:rPr>
        <w:t>} Crossover</w:t>
      </w:r>
    </w:p>
    <w:p w:rsidR="00C32E64" w:rsidRPr="00C32E64" w:rsidRDefault="00C32E64" w:rsidP="00C32E64">
      <w:r w:rsidRPr="00C32E64">
        <w:t>Mg-MOF-74 exhibits a high Q_{</w:t>
      </w:r>
      <w:proofErr w:type="spellStart"/>
      <w:r w:rsidRPr="00C32E64">
        <w:t>st</w:t>
      </w:r>
      <w:proofErr w:type="spellEnd"/>
      <w:r w:rsidRPr="00C32E64">
        <w:t>} of 47 kJ/mol, providing excellent low-pressure capture but requiring significant heat for desorption. MUF-16 sits at a more moderate Q_{</w:t>
      </w:r>
      <w:proofErr w:type="spellStart"/>
      <w:r w:rsidRPr="00C32E64">
        <w:t>st</w:t>
      </w:r>
      <w:proofErr w:type="spellEnd"/>
      <w:r w:rsidRPr="00C32E64">
        <w:t>} of 32 kJ/mol, facilitating easier regeneration. The strategic gap lies in the "Crossover Point": while MOFs save energy through physisorption, they possess notoriously low thermal conductivity. Consequently, the energy saved by having weaker chemical bonds is often lost due to the inefficiency of transferring heat through the adsorbent bed during Temperature Swing Adsorption (TSA).</w:t>
      </w:r>
    </w:p>
    <w:p w:rsidR="00C32E64" w:rsidRPr="00C32E64" w:rsidRDefault="00C32E64" w:rsidP="00C32E64">
      <w:r w:rsidRPr="00C32E64">
        <w:rPr>
          <w:b/>
          <w:bCs/>
        </w:rPr>
        <w:lastRenderedPageBreak/>
        <w:t>Testable Research Question:</w:t>
      </w:r>
      <w:r w:rsidRPr="00C32E64">
        <w:t xml:space="preserve"> Can the integration of thermally conductive additives, such as graphite, into UTSA-16 structures improve heat transfer rates without blocking the essential "cage" binding sites or reducing volumetric capacity?</w:t>
      </w:r>
    </w:p>
    <w:p w:rsidR="00C32E64" w:rsidRPr="00C32E64" w:rsidRDefault="00C32E64" w:rsidP="00C32E64">
      <w:r w:rsidRPr="00C32E64">
        <w:rPr>
          <w:b/>
          <w:bCs/>
        </w:rPr>
        <w:t>Suggested Study Design:</w:t>
      </w:r>
      <w:r w:rsidRPr="00C32E64">
        <w:t xml:space="preserve"> Utilize the Clausius-Clapeyron equation to measure Q_{</w:t>
      </w:r>
      <w:proofErr w:type="spellStart"/>
      <w:r w:rsidRPr="00C32E64">
        <w:t>st</w:t>
      </w:r>
      <w:proofErr w:type="spellEnd"/>
      <w:r w:rsidRPr="00C32E64">
        <w:t>} shifts in MOF-graphite composites before and after 50 thermal cycles to 130°C. This will reveal if the additive maintains the thermodynamic integrity of the binding sites while enhancing regeneration kinetics.</w:t>
      </w:r>
    </w:p>
    <w:p w:rsidR="00C32E64" w:rsidRPr="00C32E64" w:rsidRDefault="00C32E64" w:rsidP="00C32E64">
      <w:pPr>
        <w:rPr>
          <w:b/>
          <w:bCs/>
        </w:rPr>
      </w:pPr>
      <w:r w:rsidRPr="00C32E64">
        <w:rPr>
          <w:b/>
          <w:bCs/>
        </w:rPr>
        <w:t>6. Mechanistic Dissonance: Dual-Site Cooperation vs. Nanoconfinement</w:t>
      </w:r>
    </w:p>
    <w:p w:rsidR="00C32E64" w:rsidRPr="00C32E64" w:rsidRDefault="00C32E64" w:rsidP="00C32E64">
      <w:r w:rsidRPr="00C32E64">
        <w:t>To guide the synthetic design of the next generation of MOFs, there must be mechanistic clarity regarding how CO_2 is actually trapped within the framework.</w:t>
      </w:r>
    </w:p>
    <w:p w:rsidR="00C32E64" w:rsidRPr="00C32E64" w:rsidRDefault="00C32E64" w:rsidP="00C32E64">
      <w:pPr>
        <w:rPr>
          <w:b/>
          <w:bCs/>
        </w:rPr>
      </w:pPr>
      <w:r w:rsidRPr="00C32E64">
        <w:rPr>
          <w:b/>
          <w:bCs/>
        </w:rPr>
        <w:t>Analysis of Theoretical Divergence</w:t>
      </w:r>
    </w:p>
    <w:p w:rsidR="00C32E64" w:rsidRPr="00C32E64" w:rsidRDefault="00C32E64" w:rsidP="00C32E64">
      <w:r w:rsidRPr="00C32E64">
        <w:t>A divergence exists between "Chemical Cooperation Theory"—where CO_2 interacts with specific sites like hydroxides or amines to form covalent-like bonds—and "Interfacial Nanoconfinement Theory." The latter, exemplified by MUF-16, suggests that CO_2 is trapped by a "pocket" effect, where the pore size (approximately 3.6 × 7.6 Å) is perfectly complementary to the CO_2 molecule, allowing cumulative van der Waals forces to act effectively.</w:t>
      </w:r>
    </w:p>
    <w:p w:rsidR="00C32E64" w:rsidRPr="00C32E64" w:rsidRDefault="00C32E64" w:rsidP="00C32E64">
      <w:pPr>
        <w:rPr>
          <w:b/>
          <w:bCs/>
        </w:rPr>
      </w:pPr>
      <w:r w:rsidRPr="00C32E64">
        <w:rPr>
          <w:b/>
          <w:bCs/>
        </w:rPr>
        <w:t>Spectroscopic Gaps</w:t>
      </w:r>
    </w:p>
    <w:p w:rsidR="00C32E64" w:rsidRPr="00C32E64" w:rsidRDefault="00C32E64" w:rsidP="00C32E64">
      <w:r w:rsidRPr="00C32E64">
        <w:t xml:space="preserve">Current research lacks sufficient evidence to distinguish between CO_2 binding to specific sites (such as the terminal H_2O molecules in UTSA-16) versus CO_2 being stabilized by the collective potential of a narrow channel. We require robust </w:t>
      </w:r>
      <w:r w:rsidRPr="00C32E64">
        <w:rPr>
          <w:i/>
          <w:iCs/>
        </w:rPr>
        <w:t>in-situ</w:t>
      </w:r>
      <w:r w:rsidRPr="00C32E64">
        <w:t xml:space="preserve"> DRIFTS or solid-state NMR data to supplement crystallographic findings.</w:t>
      </w:r>
    </w:p>
    <w:p w:rsidR="00C32E64" w:rsidRPr="00C32E64" w:rsidRDefault="00C32E64" w:rsidP="00C32E64">
      <w:r w:rsidRPr="00C32E64">
        <w:rPr>
          <w:b/>
          <w:bCs/>
        </w:rPr>
        <w:t>Testable Research Question:</w:t>
      </w:r>
      <w:r w:rsidRPr="00C32E64">
        <w:t xml:space="preserve"> How do the N-H \dots O hydrogen bond distances in MUF-16 compare to the </w:t>
      </w:r>
      <w:proofErr w:type="gramStart"/>
      <w:r w:rsidRPr="00C32E64">
        <w:t>Al(</w:t>
      </w:r>
      <w:proofErr w:type="gramEnd"/>
      <w:r w:rsidRPr="00C32E64">
        <w:t>III)-OH \dots C interactions in hydroxide-functionalized MOFs in terms of vibrational stability?</w:t>
      </w:r>
    </w:p>
    <w:p w:rsidR="00C32E64" w:rsidRPr="00C32E64" w:rsidRDefault="00C32E64" w:rsidP="00C32E64">
      <w:r w:rsidRPr="00C32E64">
        <w:rPr>
          <w:b/>
          <w:bCs/>
        </w:rPr>
        <w:t>Suggested Study Design:</w:t>
      </w:r>
      <w:r w:rsidRPr="00C32E64">
        <w:t xml:space="preserve"> Employ neutron diffraction to map CO_2 occupancy in MUF-16 versus UTSA-16 under identical partial pressures, specifically resolving the CO_2 position relative to the terminal H_2O molecules of UTSA-16 versus the amino groups of MUF-16. This should be combined with solid-state NMR to quantify the local electronic environment at each binding site.</w:t>
      </w:r>
    </w:p>
    <w:p w:rsidR="00C32E64" w:rsidRPr="00C32E64" w:rsidRDefault="00C32E64" w:rsidP="00C32E64">
      <w:pPr>
        <w:rPr>
          <w:b/>
          <w:bCs/>
        </w:rPr>
      </w:pPr>
      <w:r w:rsidRPr="00C32E64">
        <w:rPr>
          <w:b/>
          <w:bCs/>
        </w:rPr>
        <w:t>Concluding Summary</w:t>
      </w:r>
    </w:p>
    <w:p w:rsidR="00C32E64" w:rsidRDefault="00C32E64" w:rsidP="00C32E64">
      <w:r w:rsidRPr="00C32E64">
        <w:t xml:space="preserve">The transition of MOFs from laboratory curiosities to industrial workhorses requires bridging these strategic gaps. By moving beyond capacity-centric metrics and focusing on multi-gas stability, pellet-level mass transfer, and thermal management, the field can deliver robust materials. Crucially, industrial scaling must also address the economic cost of linker ligands—specifically poly(carboxylate) ligands requiring complex synthesis. Future designs must prioritize inexpensive precursors, such as </w:t>
      </w:r>
      <w:proofErr w:type="spellStart"/>
      <w:r w:rsidRPr="00C32E64">
        <w:t>trimesic</w:t>
      </w:r>
      <w:proofErr w:type="spellEnd"/>
      <w:r w:rsidRPr="00C32E64">
        <w:t xml:space="preserve"> or terephthalic acids, to ensure economic viability. Only through a synthesis of materials genome and chemical engineering can we overcome the paradoxes of porosity and the crossover costs of regeneration.</w:t>
      </w:r>
    </w:p>
    <w:p w:rsidR="00FE0C7F" w:rsidRPr="00C32E64" w:rsidRDefault="00FE0C7F" w:rsidP="00C32E64">
      <w:r w:rsidRPr="00FE0C7F">
        <w:t>https://notebook.google.com/notebook/aac3d312-5a89-476a-8ead-4ca5d0a2a76c</w:t>
      </w:r>
      <w:bookmarkStart w:id="0" w:name="_GoBack"/>
      <w:bookmarkEnd w:id="0"/>
    </w:p>
    <w:p w:rsidR="004D2B84" w:rsidRDefault="004D2B84"/>
    <w:sectPr w:rsidR="004D2B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534A52"/>
    <w:multiLevelType w:val="multilevel"/>
    <w:tmpl w:val="EAC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E64"/>
    <w:rsid w:val="00382F16"/>
    <w:rsid w:val="004D2B84"/>
    <w:rsid w:val="00C32E64"/>
    <w:rsid w:val="00FE0C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AD38E"/>
  <w15:chartTrackingRefBased/>
  <w15:docId w15:val="{87AC847D-F88A-4354-8350-B017C649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3821636">
      <w:bodyDiv w:val="1"/>
      <w:marLeft w:val="0"/>
      <w:marRight w:val="0"/>
      <w:marTop w:val="0"/>
      <w:marBottom w:val="0"/>
      <w:divBdr>
        <w:top w:val="none" w:sz="0" w:space="0" w:color="auto"/>
        <w:left w:val="none" w:sz="0" w:space="0" w:color="auto"/>
        <w:bottom w:val="none" w:sz="0" w:space="0" w:color="auto"/>
        <w:right w:val="none" w:sz="0" w:space="0" w:color="auto"/>
      </w:divBdr>
    </w:div>
    <w:div w:id="164030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1857</Words>
  <Characters>10589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dc:creator>
  <cp:keywords/>
  <dc:description/>
  <cp:lastModifiedBy>Bilal</cp:lastModifiedBy>
  <cp:revision>3</cp:revision>
  <dcterms:created xsi:type="dcterms:W3CDTF">2026-09-20T08:04:00Z</dcterms:created>
  <dcterms:modified xsi:type="dcterms:W3CDTF">2026-09-20T08:14:00Z</dcterms:modified>
</cp:coreProperties>
</file>