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6933" w:rsidRPr="00166933" w:rsidRDefault="00166933" w:rsidP="00166933">
      <w:pPr>
        <w:rPr>
          <w:b/>
          <w:bCs/>
        </w:rPr>
      </w:pPr>
      <w:r w:rsidRPr="00166933">
        <w:rPr>
          <w:b/>
          <w:bCs/>
        </w:rPr>
        <w:t>Research Gap Analysis: Critical Discrepancies in Catalytic and Electrocatalytic CO_2 Reduction</w:t>
      </w:r>
    </w:p>
    <w:p w:rsidR="00166933" w:rsidRPr="00166933" w:rsidRDefault="00166933" w:rsidP="00166933">
      <w:r w:rsidRPr="00166933">
        <w:rPr>
          <w:b/>
          <w:bCs/>
        </w:rPr>
        <w:t>1. Foundational Analysis of CO_2 Interactions with Porous Frameworks</w:t>
      </w:r>
    </w:p>
    <w:p w:rsidR="00166933" w:rsidRPr="00166933" w:rsidRDefault="00166933" w:rsidP="00166933">
      <w:r w:rsidRPr="00166933">
        <w:t>The current paradigm in carbon capture research relies heavily on the surface functionalization of mesoporous silica (MCM-41) and the deployment of Metal-Organic Frameworks (MOFs) characterized by specific local adsorption geometries. As established by the source data, the structural integrity of the MCM-41 framework is confirmed by the persistence of Si-O-Si asymmetric stretching modes (~1100 cm</w:t>
      </w:r>
      <w:proofErr w:type="gramStart"/>
      <w:r w:rsidRPr="00166933">
        <w:t>^{</w:t>
      </w:r>
      <w:proofErr w:type="gramEnd"/>
      <w:r w:rsidRPr="00166933">
        <w:t xml:space="preserve">-1}) and a specific surface area of 334.42 m^2/g, even after the aggressive grafting of commercial </w:t>
      </w:r>
      <w:proofErr w:type="spellStart"/>
      <w:r w:rsidRPr="00166933">
        <w:t>Hydrosil</w:t>
      </w:r>
      <w:proofErr w:type="spellEnd"/>
      <w:r w:rsidRPr="00166933">
        <w:t xml:space="preserve"> modifiers. However, a significant gap remains in translating these high-affinity capture metrics into active catalytic reduction.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17"/>
        <w:gridCol w:w="4002"/>
        <w:gridCol w:w="3091"/>
      </w:tblGrid>
      <w:tr w:rsidR="00166933" w:rsidRPr="00166933" w:rsidTr="00166933">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Material 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Primary Mechanism</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Key Performance Metric</w:t>
            </w:r>
          </w:p>
        </w:tc>
      </w:tr>
      <w:tr w:rsidR="00166933" w:rsidRPr="00166933" w:rsidTr="00166933">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rPr>
                <w:b/>
                <w:bCs/>
              </w:rPr>
              <w:t>MCM-41-S1</w:t>
            </w:r>
            <w:r w:rsidRPr="00166933">
              <w:t xml:space="preserve"> (</w:t>
            </w:r>
            <w:proofErr w:type="spellStart"/>
            <w:r w:rsidRPr="00166933">
              <w:t>Hydrosil</w:t>
            </w:r>
            <w:proofErr w:type="spellEnd"/>
            <w:r w:rsidRPr="00166933">
              <w:t xml:space="preserve"> 2775)</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Chemisorption via reversible carbamate formation; amine-based.</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~22.8 mg/g net uptake; rapid initial kinetics.</w:t>
            </w:r>
          </w:p>
        </w:tc>
      </w:tr>
      <w:tr w:rsidR="00166933" w:rsidRPr="00166933" w:rsidTr="00166933">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rPr>
                <w:b/>
                <w:bCs/>
              </w:rPr>
              <w:t>MCM-41-S2</w:t>
            </w:r>
            <w:r w:rsidRPr="00166933">
              <w:t xml:space="preserve"> (</w:t>
            </w:r>
            <w:proofErr w:type="spellStart"/>
            <w:r w:rsidRPr="00166933">
              <w:t>Hydrosil</w:t>
            </w:r>
            <w:proofErr w:type="spellEnd"/>
            <w:r w:rsidRPr="00166933">
              <w:t xml:space="preserve"> 2999)</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Chemisorption via enhanced CO_2 affinity; ammonium-based.</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Comparable dynamic mass-response to S1.</w:t>
            </w:r>
          </w:p>
        </w:tc>
      </w:tr>
      <w:tr w:rsidR="00166933" w:rsidRPr="00166933" w:rsidTr="00166933">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rPr>
                <w:b/>
                <w:bCs/>
              </w:rPr>
              <w:t>Cu_3(BTC)_2</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Single-layer cluster adsorption (3–4 molecules).</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Collective stabilization via sorbate-sorbate bonds.</w:t>
            </w:r>
          </w:p>
        </w:tc>
      </w:tr>
      <w:tr w:rsidR="00166933" w:rsidRPr="00166933" w:rsidTr="00166933">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rPr>
                <w:b/>
                <w:bCs/>
              </w:rPr>
              <w:t>MOF-2 / MOF-74</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Multilayer/Double-layer cluster adsorption (2 molecules).</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Cluster energy exceeds individual molecule fixation.</w:t>
            </w:r>
          </w:p>
        </w:tc>
      </w:tr>
      <w:tr w:rsidR="00166933" w:rsidRPr="00166933" w:rsidTr="00166933">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rPr>
                <w:b/>
                <w:bCs/>
              </w:rPr>
              <w:t>\alpha-</w:t>
            </w:r>
            <w:proofErr w:type="spellStart"/>
            <w:r w:rsidRPr="00166933">
              <w:rPr>
                <w:b/>
                <w:bCs/>
              </w:rPr>
              <w:t>ZrP</w:t>
            </w:r>
            <w:proofErr w:type="spellEnd"/>
            <w:r w:rsidRPr="00166933">
              <w:rPr>
                <w:b/>
                <w:bCs/>
              </w:rPr>
              <w:t xml:space="preserve"> (Sample A)</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Layered intercalation and surface adsorption.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49.8 m^2/g (High crystallinity, Type II isotherm).</w:t>
            </w:r>
          </w:p>
        </w:tc>
      </w:tr>
    </w:tbl>
    <w:p w:rsidR="00166933" w:rsidRPr="00166933" w:rsidRDefault="00166933" w:rsidP="00166933">
      <w:r w:rsidRPr="00166933">
        <w:rPr>
          <w:b/>
          <w:bCs/>
        </w:rPr>
        <w:t>2. Gap 1: The Adsorption vs. Catalytic Conversion Paradox &amp; Conductive vs. Binding Trade-Offs</w:t>
      </w:r>
    </w:p>
    <w:p w:rsidR="00166933" w:rsidRPr="00166933" w:rsidRDefault="00166933" w:rsidP="00166933">
      <w:r w:rsidRPr="00166933">
        <w:t xml:space="preserve">"Binding Success" is rigorously documented in the dynamic mass-response profiles of functionalized MCM-41, where mass increases from 5.70 mg to 5.83 mg (a 0.13 mg net uptake) occur rapidly upon exposure. Thermodynamically, the Russian MOF studies validate that CO_2 molecules </w:t>
      </w:r>
      <w:proofErr w:type="spellStart"/>
      <w:r w:rsidRPr="00166933">
        <w:t>favor</w:t>
      </w:r>
      <w:proofErr w:type="spellEnd"/>
      <w:r w:rsidRPr="00166933">
        <w:t xml:space="preserve"> cluster formation (n=3–4 for Cu_3(BTC)_2) to lower the system’s total energy via sorbate-sorbate interactions. While these interactions—ranging from reversible carbamate formation in amines to collective physical stabilization in clusters—optimize sequestration, they simultaneously introduce the "Conversion Paradox."</w:t>
      </w:r>
    </w:p>
    <w:p w:rsidR="00166933" w:rsidRPr="00166933" w:rsidRDefault="00166933" w:rsidP="00166933">
      <w:r w:rsidRPr="00166933">
        <w:t>Materials optimized for capture often possess high overpotentials for conversion. The very moieties that facilitate strong chemical bonding or physical clustering may impede the charge-transfer kinetics essential for CO_2 reduction reaction (CO2RR). Specifically, the insulating nature of the mesoporous silica framework and the energy-lowering "wells" of MOF clusters may prevent the transition of CO_2 from a stable guest to an activated reactant. There is an urgent need to evaluate these materials not just on uptake, but on their ability to lower the activation barrier for C=O cleavage.</w:t>
      </w:r>
    </w:p>
    <w:p w:rsidR="00166933" w:rsidRPr="00166933" w:rsidRDefault="00166933" w:rsidP="00166933">
      <w:r w:rsidRPr="00166933">
        <w:rPr>
          <w:b/>
          <w:bCs/>
        </w:rPr>
        <w:t>Proposed Research Design:</w:t>
      </w:r>
      <w:r w:rsidRPr="00166933">
        <w:t xml:space="preserve"> Investigate the </w:t>
      </w:r>
      <w:r w:rsidRPr="00166933">
        <w:rPr>
          <w:b/>
          <w:bCs/>
        </w:rPr>
        <w:t>Faradaic efficiency</w:t>
      </w:r>
      <w:r w:rsidRPr="00166933">
        <w:t xml:space="preserve"> of MCM-41-S1 by integrating it into a conductive-carbon-supported gas diffusion electrode. The study should compare the product selectivity (e.g., CO, HCOOH) of the silica-supported amine against a purely </w:t>
      </w:r>
      <w:proofErr w:type="spellStart"/>
      <w:r w:rsidRPr="00166933">
        <w:t>physisorptive</w:t>
      </w:r>
      <w:proofErr w:type="spellEnd"/>
      <w:r w:rsidRPr="00166933">
        <w:t xml:space="preserve"> carbon baseline to determine if chemical "trapping" via carbamates enhances or inhibits the subsequent electron transfer rate at the electrode interface.</w:t>
      </w:r>
    </w:p>
    <w:p w:rsidR="00166933" w:rsidRPr="00166933" w:rsidRDefault="00166933" w:rsidP="00166933">
      <w:r w:rsidRPr="00166933">
        <w:rPr>
          <w:b/>
          <w:bCs/>
        </w:rPr>
        <w:lastRenderedPageBreak/>
        <w:t>3. Gap 2: Truncated Finite Cluster Models vs. Periodic Conductivity, Defect, and Solvation Effects</w:t>
      </w:r>
    </w:p>
    <w:p w:rsidR="00166933" w:rsidRPr="00166933" w:rsidRDefault="00166933" w:rsidP="00166933">
      <w:r w:rsidRPr="00166933">
        <w:t xml:space="preserve">Current </w:t>
      </w:r>
      <w:proofErr w:type="spellStart"/>
      <w:r w:rsidRPr="00166933">
        <w:t>modeling</w:t>
      </w:r>
      <w:proofErr w:type="spellEnd"/>
      <w:r w:rsidRPr="00166933">
        <w:t xml:space="preserve"> of MOF systems (MOF-2, MOF-74) focuses on truncated cluster models where 2–3 molecules are stabilized locally. This approach provides excellent "local" thermodynamic data but fails to account for the periodic requirements and solvation effects prevalent in synthesis and application. For example, the FTIR spectra of \alpha-</w:t>
      </w:r>
      <w:proofErr w:type="spellStart"/>
      <w:r w:rsidRPr="00166933">
        <w:t>ZrP</w:t>
      </w:r>
      <w:proofErr w:type="spellEnd"/>
      <w:r w:rsidRPr="00166933">
        <w:t xml:space="preserve"> (Source 2) reveal a broad absorption band from 3600 to 2900 cm</w:t>
      </w:r>
      <w:proofErr w:type="gramStart"/>
      <w:r w:rsidRPr="00166933">
        <w:t>^{</w:t>
      </w:r>
      <w:proofErr w:type="gramEnd"/>
      <w:r w:rsidRPr="00166933">
        <w:t>-1} (hydrogen-bonded water) and sharp bands at 3590 and 3510 cm^{-1} representing the asymmetric OH stretch of "zeolitic water."</w:t>
      </w:r>
    </w:p>
    <w:p w:rsidR="00166933" w:rsidRPr="00166933" w:rsidRDefault="00166933" w:rsidP="00166933">
      <w:r w:rsidRPr="00166933">
        <w:t>These solvation shells are critical; "zeolitic water" represents a specific type of interlayer solvation that cluster models typically ignore. In aqueous-media synthesis—evidenced by the use of Zirconium n-</w:t>
      </w:r>
      <w:proofErr w:type="spellStart"/>
      <w:r w:rsidRPr="00166933">
        <w:t>propoxide</w:t>
      </w:r>
      <w:proofErr w:type="spellEnd"/>
      <w:r w:rsidRPr="00166933">
        <w:t xml:space="preserve"> and Hydrofluoric acid—these water molecules are integral to the framework and likely compete with CO_2 for active sites or influence the local electric field.</w:t>
      </w:r>
    </w:p>
    <w:p w:rsidR="00166933" w:rsidRPr="00166933" w:rsidRDefault="00166933" w:rsidP="00166933">
      <w:r w:rsidRPr="00166933">
        <w:rPr>
          <w:b/>
          <w:bCs/>
        </w:rPr>
        <w:t>Research Questions:</w:t>
      </w:r>
    </w:p>
    <w:p w:rsidR="00166933" w:rsidRPr="00166933" w:rsidRDefault="00166933" w:rsidP="00166933">
      <w:pPr>
        <w:numPr>
          <w:ilvl w:val="0"/>
          <w:numId w:val="1"/>
        </w:numPr>
      </w:pPr>
      <w:r w:rsidRPr="00166933">
        <w:t>Do the energy-stabilized CO_2 clusters observed on MOF surfaces remain intact under the high local electric fields (&gt;1 V/Å) required for CO_2 reduction?</w:t>
      </w:r>
    </w:p>
    <w:p w:rsidR="00166933" w:rsidRPr="00166933" w:rsidRDefault="00166933" w:rsidP="00166933">
      <w:pPr>
        <w:numPr>
          <w:ilvl w:val="0"/>
          <w:numId w:val="1"/>
        </w:numPr>
      </w:pPr>
      <w:r w:rsidRPr="00166933">
        <w:t>How does the attenuation of the 1620 cm</w:t>
      </w:r>
      <w:proofErr w:type="gramStart"/>
      <w:r w:rsidRPr="00166933">
        <w:t>^{</w:t>
      </w:r>
      <w:proofErr w:type="gramEnd"/>
      <w:r w:rsidRPr="00166933">
        <w:t>-1} zeolitic water band during CO_2 flow correlate with a decrease in the stability of sorbate clusters?</w:t>
      </w:r>
    </w:p>
    <w:p w:rsidR="00166933" w:rsidRPr="00166933" w:rsidRDefault="00166933" w:rsidP="00166933">
      <w:r w:rsidRPr="00166933">
        <w:rPr>
          <w:b/>
          <w:bCs/>
        </w:rPr>
        <w:t>4. Gap 3: Dynamic Interfacial Restructuring and Operando Stability in CO2RR</w:t>
      </w:r>
    </w:p>
    <w:p w:rsidR="00166933" w:rsidRPr="00166933" w:rsidRDefault="00166933" w:rsidP="00166933">
      <w:r w:rsidRPr="00166933">
        <w:t>The "Operando" stability of these frameworks is a critical unknown. Synthesis challenges in \alpha-</w:t>
      </w:r>
      <w:proofErr w:type="spellStart"/>
      <w:r w:rsidRPr="00166933">
        <w:t>ZrP</w:t>
      </w:r>
      <w:proofErr w:type="spellEnd"/>
      <w:r w:rsidRPr="00166933">
        <w:t xml:space="preserve"> highlight a "Stability vs. Evolution" proxy: while Sample C0 (pre-reflux) maintains crystallinity when washed with 0.3 M-H_3PO_4, it undergoes rapid hydrolysis into an amorphous </w:t>
      </w:r>
      <w:proofErr w:type="spellStart"/>
      <w:r w:rsidRPr="00166933">
        <w:t>hydroxo</w:t>
      </w:r>
      <w:proofErr w:type="spellEnd"/>
      <w:r w:rsidRPr="00166933">
        <w:t>-phosphate (Sample C1) if washed with water. This sensitivity suggests that the chemical environment during active CO_2 reduction (often involving aqueous electrolytes or humidified gas) may fundamentally restructure the catalyst.</w:t>
      </w:r>
    </w:p>
    <w:p w:rsidR="00166933" w:rsidRPr="00166933" w:rsidRDefault="00166933" w:rsidP="00166933">
      <w:r w:rsidRPr="00166933">
        <w:rPr>
          <w:b/>
          <w:bCs/>
        </w:rPr>
        <w:t>Proposed Experimental Design:</w:t>
      </w:r>
      <w:r w:rsidRPr="00166933">
        <w:t xml:space="preserve"> Utilize </w:t>
      </w:r>
      <w:r w:rsidRPr="00166933">
        <w:rPr>
          <w:b/>
          <w:bCs/>
        </w:rPr>
        <w:t>operando FTIR</w:t>
      </w:r>
      <w:r w:rsidRPr="00166933">
        <w:t xml:space="preserve"> (Thermo Scientific) to monitor specific spectroscopic markers under reaction conditions. Focus on the 1100 cm</w:t>
      </w:r>
      <w:proofErr w:type="gramStart"/>
      <w:r w:rsidRPr="00166933">
        <w:t>^{</w:t>
      </w:r>
      <w:proofErr w:type="gramEnd"/>
      <w:r w:rsidRPr="00166933">
        <w:t>-1} Si-O-Si asymmetric stretching and the 1550–1650 cm^{-1} N-H bending vibrations.</w:t>
      </w:r>
    </w:p>
    <w:p w:rsidR="00166933" w:rsidRPr="00166933" w:rsidRDefault="00166933" w:rsidP="00166933">
      <w:pPr>
        <w:numPr>
          <w:ilvl w:val="0"/>
          <w:numId w:val="2"/>
        </w:numPr>
      </w:pPr>
      <w:r w:rsidRPr="00166933">
        <w:rPr>
          <w:b/>
          <w:bCs/>
        </w:rPr>
        <w:t>Methodology:</w:t>
      </w:r>
      <w:r w:rsidRPr="00166933">
        <w:t xml:space="preserve"> Track the real-time attenuation of the 1620 cm</w:t>
      </w:r>
      <w:proofErr w:type="gramStart"/>
      <w:r w:rsidRPr="00166933">
        <w:t>^{</w:t>
      </w:r>
      <w:proofErr w:type="gramEnd"/>
      <w:r w:rsidRPr="00166933">
        <w:t>-1} zeolitic water band as a function of temperature and CO_2 flow rate to determine the threshold of framework dehydration and subsequent structural collapse or amine leaching.</w:t>
      </w:r>
    </w:p>
    <w:p w:rsidR="00166933" w:rsidRPr="00166933" w:rsidRDefault="00166933" w:rsidP="00166933">
      <w:r w:rsidRPr="00166933">
        <w:rPr>
          <w:b/>
          <w:bCs/>
        </w:rPr>
        <w:t>5. Gap 4: Sacrificial Electron Donors vs. Integrated Solar/Aqueous Coupled Redox Systems</w:t>
      </w:r>
    </w:p>
    <w:p w:rsidR="00166933" w:rsidRPr="00166933" w:rsidRDefault="00166933" w:rsidP="00166933">
      <w:r w:rsidRPr="00166933">
        <w:t>The source context treats CO_2 as a static guest. However, in a complete catalytic cycle, CO_2 must be coupled with a redox system. Source 2 establishes \alpha-</w:t>
      </w:r>
      <w:proofErr w:type="spellStart"/>
      <w:r w:rsidRPr="00166933">
        <w:t>ZrP</w:t>
      </w:r>
      <w:proofErr w:type="spellEnd"/>
      <w:r w:rsidRPr="00166933">
        <w:t xml:space="preserve"> as an effective intercalation host for butylamine, yet the literature is silent on its capacity to host large sacrificial electron donors like TEOA (triethanolamine) or EDTA.</w:t>
      </w:r>
    </w:p>
    <w:p w:rsidR="00166933" w:rsidRPr="00166933" w:rsidRDefault="00166933" w:rsidP="00166933">
      <w:r w:rsidRPr="00166933">
        <w:rPr>
          <w:b/>
          <w:bCs/>
        </w:rPr>
        <w:t>Research Question:</w:t>
      </w:r>
      <w:r w:rsidRPr="00166933">
        <w:t xml:space="preserve"> Can the interlayer spacing of \alpha-</w:t>
      </w:r>
      <w:proofErr w:type="spellStart"/>
      <w:r w:rsidRPr="00166933">
        <w:t>ZrP</w:t>
      </w:r>
      <w:proofErr w:type="spellEnd"/>
      <w:r w:rsidRPr="00166933">
        <w:t xml:space="preserve"> (controlled via slow decomposition of zirconium-</w:t>
      </w:r>
      <w:proofErr w:type="spellStart"/>
      <w:r w:rsidRPr="00166933">
        <w:t>fluoro</w:t>
      </w:r>
      <w:proofErr w:type="spellEnd"/>
      <w:r w:rsidRPr="00166933">
        <w:t xml:space="preserve"> complexes) be precisely tuned to accommodate organic sacrificial donors, thereby creating an integrated "capture-and-reduce" photocatalytic system within the layered host?</w:t>
      </w:r>
    </w:p>
    <w:p w:rsidR="00166933" w:rsidRPr="00166933" w:rsidRDefault="00166933" w:rsidP="00166933">
      <w:r w:rsidRPr="00166933">
        <w:rPr>
          <w:b/>
          <w:bCs/>
        </w:rPr>
        <w:t>6. Gap 5: Cooperative Multi-Site Theory vs. Built-In Polarization Theory</w:t>
      </w:r>
    </w:p>
    <w:p w:rsidR="00166933" w:rsidRPr="00166933" w:rsidRDefault="00166933" w:rsidP="00166933">
      <w:r w:rsidRPr="00166933">
        <w:lastRenderedPageBreak/>
        <w:t>The MOF-74 data (clusters of 2 molecules) supports a multi-site interaction theory. However, this is distinct from "Polarization Theory"—the idea that functionalization creates a permanent local dipole that stretches the C=O bond. Current data only captures mass-uptake, not bond lengthening.</w:t>
      </w:r>
    </w:p>
    <w:p w:rsidR="00166933" w:rsidRPr="00166933" w:rsidRDefault="00166933" w:rsidP="00166933">
      <w:r w:rsidRPr="00166933">
        <w:rPr>
          <w:b/>
          <w:bCs/>
        </w:rPr>
        <w:t>Proposed Experimental Design:</w:t>
      </w:r>
      <w:r w:rsidRPr="00166933">
        <w:t xml:space="preserve"> Using a </w:t>
      </w:r>
      <w:r w:rsidRPr="00166933">
        <w:rPr>
          <w:b/>
          <w:bCs/>
        </w:rPr>
        <w:t>high-precision Mettler Toledo microbalance</w:t>
      </w:r>
      <w:r w:rsidRPr="00166933">
        <w:t xml:space="preserve">, measure CO_2 uptake under an applied external electric field. By </w:t>
      </w:r>
      <w:proofErr w:type="spellStart"/>
      <w:r w:rsidRPr="00166933">
        <w:t>analyzing</w:t>
      </w:r>
      <w:proofErr w:type="spellEnd"/>
      <w:r w:rsidRPr="00166933">
        <w:t xml:space="preserve"> </w:t>
      </w:r>
      <w:r w:rsidRPr="00166933">
        <w:rPr>
          <w:b/>
          <w:bCs/>
        </w:rPr>
        <w:t>non-linear mass uptake responses</w:t>
      </w:r>
      <w:r w:rsidRPr="00166933">
        <w:t>, we can identify field-induced dipoles. If amine-functionalized MCM-41 (S1) shows a higher mass-gain sensitivity to the field compared to unmodified MCM-41, it would confirm the presence of "Built-In Polarization" that could be leveraged to lower CO2RR overpotentials.</w:t>
      </w:r>
    </w:p>
    <w:p w:rsidR="00166933" w:rsidRPr="00166933" w:rsidRDefault="00166933" w:rsidP="00166933">
      <w:r w:rsidRPr="00166933">
        <w:rPr>
          <w:b/>
          <w:bCs/>
        </w:rPr>
        <w:t>7. Summary of Proposed Experimental Pathways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5"/>
        <w:gridCol w:w="2575"/>
        <w:gridCol w:w="4000"/>
      </w:tblGrid>
      <w:tr w:rsidR="00166933" w:rsidRPr="00166933" w:rsidTr="00166933">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Research Gap</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Primary Instrument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Analytical Marker/Context</w:t>
            </w:r>
          </w:p>
        </w:tc>
      </w:tr>
      <w:tr w:rsidR="00166933" w:rsidRPr="00166933" w:rsidTr="00166933">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rPr>
                <w:b/>
                <w:bCs/>
              </w:rPr>
              <w:t>Gap 1: Conversion Paradox</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Mettler Toledo Microbalance</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Reversibility and uptake rate (Fig 10).</w:t>
            </w:r>
          </w:p>
        </w:tc>
      </w:tr>
      <w:tr w:rsidR="00166933" w:rsidRPr="00166933" w:rsidTr="00166933">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rPr>
                <w:b/>
                <w:bCs/>
              </w:rPr>
              <w:t>Gap 2: Periodic Solvation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Bruker D8 Advance (XRD)</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Crystallinity vs. zeolitic water retention.</w:t>
            </w:r>
          </w:p>
        </w:tc>
      </w:tr>
      <w:tr w:rsidR="00166933" w:rsidRPr="00166933" w:rsidTr="00166933">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rPr>
                <w:b/>
                <w:bCs/>
              </w:rPr>
              <w:t>Gap 3: Operando Evolution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Thermo Scientific (FTIR)</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1100 cm</w:t>
            </w:r>
            <w:proofErr w:type="gramStart"/>
            <w:r w:rsidRPr="00166933">
              <w:t>^{</w:t>
            </w:r>
            <w:proofErr w:type="gramEnd"/>
            <w:r w:rsidRPr="00166933">
              <w:t>-1} (Si-O-Si) and 1620 cm^{-1} (OH).</w:t>
            </w:r>
          </w:p>
        </w:tc>
      </w:tr>
      <w:tr w:rsidR="00166933" w:rsidRPr="00166933" w:rsidTr="00166933">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rPr>
                <w:b/>
                <w:bCs/>
              </w:rPr>
              <w:t>Gap 4: Redox Integration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Micromeritics SA3100</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Pore accessibility for TEOA/EDTA guests.</w:t>
            </w:r>
          </w:p>
        </w:tc>
      </w:tr>
      <w:tr w:rsidR="00166933" w:rsidRPr="00166933" w:rsidTr="00166933">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rPr>
                <w:b/>
                <w:bCs/>
              </w:rPr>
              <w:t>Gap 5: Polarization Theory</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Mettler Toledo Microbalance</w:t>
            </w:r>
          </w:p>
        </w:tc>
        <w:tc>
          <w:tcPr>
            <w:tcW w:w="0" w:type="auto"/>
            <w:tcBorders>
              <w:top w:val="outset" w:sz="6" w:space="0" w:color="auto"/>
              <w:left w:val="outset" w:sz="6" w:space="0" w:color="auto"/>
              <w:bottom w:val="outset" w:sz="6" w:space="0" w:color="auto"/>
              <w:right w:val="outset" w:sz="6" w:space="0" w:color="auto"/>
            </w:tcBorders>
            <w:vAlign w:val="center"/>
            <w:hideMark/>
          </w:tcPr>
          <w:p w:rsidR="00166933" w:rsidRPr="00166933" w:rsidRDefault="00166933" w:rsidP="00166933">
            <w:r w:rsidRPr="00166933">
              <w:t>Non-linear mass response under E-field.</w:t>
            </w:r>
          </w:p>
        </w:tc>
      </w:tr>
    </w:tbl>
    <w:p w:rsidR="00166933" w:rsidRPr="00166933" w:rsidRDefault="00166933" w:rsidP="00166933">
      <w:r w:rsidRPr="00166933">
        <w:rPr>
          <w:b/>
          <w:bCs/>
        </w:rPr>
        <w:t>Statement of Urgency</w:t>
      </w:r>
      <w:r w:rsidRPr="00166933">
        <w:t xml:space="preserve"> </w:t>
      </w:r>
      <w:r w:rsidRPr="00166933">
        <w:rPr>
          <w:b/>
          <w:bCs/>
        </w:rPr>
        <w:t>The scientific community must prioritize the transition from capture-centric research to conversion-centric catalysis to address the climate crisis effectively. While MCM-41 and MOF-74 frameworks demonstrate exceptional static sequestration, the mechanistic discrepancies between static gas-solid thermodynamics and the dynamic requirements of charge-transfer kinetics remain a barrier to industrial application. We must move beyond measuring adsorption capacity and begin characterizing the operando structural resilience and electron-transfer efficiency of these materials.</w:t>
      </w:r>
    </w:p>
    <w:p w:rsidR="004D2B84" w:rsidRDefault="004D2B84">
      <w:bookmarkStart w:id="0" w:name="_GoBack"/>
      <w:bookmarkEnd w:id="0"/>
    </w:p>
    <w:sectPr w:rsidR="004D2B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5E4BFF"/>
    <w:multiLevelType w:val="multilevel"/>
    <w:tmpl w:val="65A4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21527C"/>
    <w:multiLevelType w:val="multilevel"/>
    <w:tmpl w:val="564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933"/>
    <w:rsid w:val="00166933"/>
    <w:rsid w:val="00382F16"/>
    <w:rsid w:val="004D2B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488178-925E-479C-81DD-B2F3655BC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9233518">
      <w:bodyDiv w:val="1"/>
      <w:marLeft w:val="0"/>
      <w:marRight w:val="0"/>
      <w:marTop w:val="0"/>
      <w:marBottom w:val="0"/>
      <w:divBdr>
        <w:top w:val="none" w:sz="0" w:space="0" w:color="auto"/>
        <w:left w:val="none" w:sz="0" w:space="0" w:color="auto"/>
        <w:bottom w:val="none" w:sz="0" w:space="0" w:color="auto"/>
        <w:right w:val="none" w:sz="0" w:space="0" w:color="auto"/>
      </w:divBdr>
    </w:div>
    <w:div w:id="95440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dc:creator>
  <cp:keywords/>
  <dc:description/>
  <cp:lastModifiedBy>Bilal</cp:lastModifiedBy>
  <cp:revision>1</cp:revision>
  <dcterms:created xsi:type="dcterms:W3CDTF">2026-09-20T09:04:00Z</dcterms:created>
  <dcterms:modified xsi:type="dcterms:W3CDTF">2026-09-20T09:04:00Z</dcterms:modified>
</cp:coreProperties>
</file>