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2C57"/>
          <w:sz w:val="44"/>
        </w:rPr>
        <w:t>PDF Source Doc</w:t>
      </w:r>
    </w:p>
    <w:p>
      <w:pPr>
        <w:jc w:val="center"/>
      </w:pPr>
      <w:r>
        <w:rPr>
          <w:i/>
          <w:color w:val="646E78"/>
          <w:sz w:val="20"/>
        </w:rPr>
        <w:t>Sovereign AI Engineering Report  |  Generated: 2026-09-15 16:28 UTC</w:t>
      </w:r>
    </w:p>
    <w:p/>
    <w:p>
      <w:pPr>
        <w:pStyle w:val="Heading1"/>
      </w:pPr>
      <w:r>
        <w:rPr>
          <w:color w:val="184C78"/>
        </w:rPr>
        <w:t>Intro</w:t>
      </w:r>
    </w:p>
    <w:p>
      <w:pPr>
        <w:spacing w:line="276" w:lineRule="auto"/>
      </w:pPr>
      <w:r>
        <w:t>Test content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