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44"/>
        </w:rPr>
        <w:t>Statutory Continued Service Approval — V-2201</w:t>
      </w:r>
    </w:p>
    <w:p>
      <w:pPr>
        <w:jc w:val="center"/>
      </w:pPr>
      <w:r>
        <w:rPr>
          <w:i/>
          <w:color w:val="646E78"/>
          <w:sz w:val="20"/>
        </w:rPr>
        <w:t>Sovereign AI Engineering Report  |  Generated: 2026-09-14 22:35 UTC</w:t>
      </w:r>
    </w:p>
    <w:p>
      <w:pPr>
        <w:jc w:val="center"/>
      </w:pPr>
      <w:r>
        <w:rPr>
          <w:color w:val="6E7882"/>
          <w:sz w:val="18"/>
        </w:rPr>
        <w:t>equipment_id: V-2201  •  report_no: INS-PV-0087</w:t>
      </w:r>
    </w:p>
    <w:p/>
    <w:p>
      <w:pPr>
        <w:pStyle w:val="Heading1"/>
      </w:pPr>
      <w:r>
        <w:rPr>
          <w:color w:val="184C78"/>
        </w:rPr>
        <w:t>1. Executive Summary</w:t>
      </w:r>
    </w:p>
    <w:p>
      <w:pPr>
        <w:spacing w:line="276" w:lineRule="auto"/>
      </w:pPr>
      <w:r>
        <w:t>Statutory fitness-for-service evaluation for Equipment V-2201 (Knockout Drum).</w:t>
      </w:r>
    </w:p>
    <w:p>
      <w:pPr>
        <w:spacing w:line="276" w:lineRule="auto"/>
      </w:pPr>
      <w:r>
        <w:t>Inspection conducted under API 510 / OISD-130.  See Section 5 for a full list of assumed constants that require engineer verification.</w:t>
      </w:r>
    </w:p>
    <w:p>
      <w:pPr>
        <w:spacing w:line="276" w:lineRule="auto"/>
      </w:pPr>
      <w:r>
        <w:t>TECHNICAL CONTINUED SERVICE APPROVAL NOTE</w:t>
        <w:br/>
        <w:t>Equipment ID: V-2201 (Knockout Drum) | Report Ref: INS-PV-0087</w:t>
        <w:br/>
        <w:t>Inspector: S. Menon, Authorized Inspector</w:t>
        <w:br/>
        <w:br/>
        <w:t>1. Structural Assessment (data-derived):</w:t>
        <w:br/>
        <w:t xml:space="preserve">   - Shell (Bottom): nominal=12.0 mm, measured=11.2 mm, corrosion consumed=0.80 mm (6.7% of original).</w:t>
        <w:br/>
        <w:t xml:space="preserve">   - Design Pressure: 10.5 kg/cm²g.</w:t>
        <w:br/>
        <w:t>2. Regulatory SOP Framework:</w:t>
        <w:br/>
        <w:t xml:space="preserve">   - Evaluated under API 510 In-Service Pressure Vessel Inspection Code &amp; OISD-130.</w:t>
        <w:br/>
        <w:t>3. Inspector Recommendation (from report):</w:t>
        <w:br/>
        <w:t xml:space="preserve">   - - Approve for continued service until next statutory inspection cycle (5 years, or as per applicable regulation).</w:t>
        <w:br/>
      </w:r>
    </w:p>
    <w:p/>
    <w:p>
      <w:pPr>
        <w:pStyle w:val="Heading1"/>
      </w:pPr>
      <w:r>
        <w:rPr>
          <w:color w:val="184C78"/>
        </w:rPr>
        <w:t>2. Equipment Design &amp; Inspection Metadata</w:t>
      </w:r>
    </w:p>
    <w:p>
      <w:pPr>
        <w:spacing w:line="276" w:lineRule="auto"/>
      </w:pPr>
      <w:r>
        <w:t>Equipment Tag: V-2201 [EXTRACTED] | Name: Knockout Drum [EXTRACTED]</w:t>
      </w:r>
    </w:p>
    <w:p>
      <w:pPr>
        <w:spacing w:line="276" w:lineRule="auto"/>
      </w:pPr>
      <w:r>
        <w:t>Report Reference: INS-PV-0087 [EXTRACTED]</w:t>
      </w:r>
    </w:p>
    <w:p>
      <w:pPr>
        <w:spacing w:line="276" w:lineRule="auto"/>
      </w:pPr>
      <w:r>
        <w:t>Design Pressure: 10.5 kg/cm²g [EXTRACTED]</w:t>
      </w:r>
    </w:p>
    <w:p>
      <w:pPr>
        <w:spacing w:line="276" w:lineRule="auto"/>
      </w:pPr>
      <w:r>
        <w:t>Design Temperature: 120.0°C [EXTRACTED]</w:t>
      </w:r>
    </w:p>
    <w:p>
      <w:pPr>
        <w:spacing w:line="276" w:lineRule="auto"/>
      </w:pPr>
      <w:r>
        <w:t>Inspector: S. Menon, Authorized Inspector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color w:val="FFFFFF"/>
                <w:sz w:val="20"/>
              </w:rPr>
              <w:t>Component</w:t>
            </w:r>
          </w:p>
        </w:tc>
        <w:tc>
          <w:tcPr>
            <w:tcW w:type="dxa" w:w="1440"/>
          </w:tcPr>
          <w:p>
            <w:r>
              <w:rPr>
                <w:b/>
                <w:color w:val="FFFFFF"/>
                <w:sz w:val="20"/>
              </w:rPr>
              <w:t>Nominal (mm)</w:t>
            </w:r>
          </w:p>
        </w:tc>
        <w:tc>
          <w:tcPr>
            <w:tcW w:type="dxa" w:w="1440"/>
          </w:tcPr>
          <w:p>
            <w:r>
              <w:rPr>
                <w:b/>
                <w:color w:val="FFFFFF"/>
                <w:sz w:val="20"/>
              </w:rPr>
              <w:t>Measured (mm)</w:t>
            </w:r>
          </w:p>
        </w:tc>
        <w:tc>
          <w:tcPr>
            <w:tcW w:type="dxa" w:w="1440"/>
          </w:tcPr>
          <w:p>
            <w:r>
              <w:rPr>
                <w:b/>
                <w:color w:val="FFFFFF"/>
                <w:sz w:val="20"/>
              </w:rPr>
              <w:t>t_min (mm)</w:t>
            </w:r>
          </w:p>
        </w:tc>
        <w:tc>
          <w:tcPr>
            <w:tcW w:type="dxa" w:w="1440"/>
          </w:tcPr>
          <w:p>
            <w:r>
              <w:rPr>
                <w:b/>
                <w:color w:val="FFFFFF"/>
                <w:sz w:val="20"/>
              </w:rPr>
              <w:t>Provenance</w:t>
            </w:r>
          </w:p>
        </w:tc>
        <w:tc>
          <w:tcPr>
            <w:tcW w:type="dxa" w:w="1440"/>
          </w:tcPr>
          <w:p>
            <w:r>
              <w:rPr>
                <w:b/>
                <w:color w:val="FFFFFF"/>
                <w:sz w:val="20"/>
              </w:rPr>
              <w:t>Status</w:t>
            </w:r>
          </w:p>
        </w:tc>
      </w:tr>
      <w:tr>
        <w:tc>
          <w:tcPr>
            <w:tcW w:type="dxa" w:w="1440"/>
          </w:tcPr>
          <w:p>
            <w:r>
              <w:rPr>
                <w:sz w:val="19"/>
              </w:rPr>
              <w:t>Shell (Bottom)</w:t>
            </w:r>
          </w:p>
        </w:tc>
        <w:tc>
          <w:tcPr>
            <w:tcW w:type="dxa" w:w="1440"/>
          </w:tcPr>
          <w:p>
            <w:r>
              <w:rPr>
                <w:sz w:val="19"/>
              </w:rPr>
              <w:t>12.0</w:t>
            </w:r>
          </w:p>
        </w:tc>
        <w:tc>
          <w:tcPr>
            <w:tcW w:type="dxa" w:w="1440"/>
          </w:tcPr>
          <w:p>
            <w:r>
              <w:rPr>
                <w:sz w:val="19"/>
              </w:rPr>
              <w:t>11.2</w:t>
            </w:r>
          </w:p>
        </w:tc>
        <w:tc>
          <w:tcPr>
            <w:tcW w:type="dxa" w:w="1440"/>
          </w:tcPr>
          <w:p>
            <w:r>
              <w:rPr>
                <w:sz w:val="19"/>
              </w:rPr>
              <w:t>5.40</w:t>
            </w:r>
          </w:p>
        </w:tc>
        <w:tc>
          <w:tcPr>
            <w:tcW w:type="dxa" w:w="1440"/>
          </w:tcPr>
          <w:p>
            <w:r>
              <w:rPr>
                <w:sz w:val="19"/>
              </w:rPr>
              <w:t>t_min: CALCULATED (R,S,E assumed — see §5)</w:t>
            </w:r>
          </w:p>
        </w:tc>
        <w:tc>
          <w:tcPr>
            <w:tcW w:type="dxa" w:w="1440"/>
          </w:tcPr>
          <w:p>
            <w:r>
              <w:rPr>
                <w:sz w:val="19"/>
              </w:rPr>
              <w:t>ACCEPTABLE</w:t>
            </w:r>
          </w:p>
        </w:tc>
      </w:tr>
      <w:tr>
        <w:tc>
          <w:tcPr>
            <w:tcW w:type="dxa" w:w="1440"/>
          </w:tcPr>
          <w:p>
            <w:r>
              <w:rPr>
                <w:sz w:val="19"/>
              </w:rPr>
              <w:t>Head (Top)</w:t>
            </w:r>
          </w:p>
        </w:tc>
        <w:tc>
          <w:tcPr>
            <w:tcW w:type="dxa" w:w="1440"/>
          </w:tcPr>
          <w:p>
            <w:r>
              <w:rPr>
                <w:sz w:val="19"/>
              </w:rPr>
              <w:t>14.0</w:t>
            </w:r>
          </w:p>
        </w:tc>
        <w:tc>
          <w:tcPr>
            <w:tcW w:type="dxa" w:w="1440"/>
          </w:tcPr>
          <w:p>
            <w:r>
              <w:rPr>
                <w:sz w:val="19"/>
              </w:rPr>
              <w:t>13.7</w:t>
            </w:r>
          </w:p>
        </w:tc>
        <w:tc>
          <w:tcPr>
            <w:tcW w:type="dxa" w:w="1440"/>
          </w:tcPr>
          <w:p>
            <w:r>
              <w:rPr>
                <w:sz w:val="19"/>
              </w:rPr>
              <w:t>NOT CALCULATED</w:t>
            </w:r>
          </w:p>
        </w:tc>
        <w:tc>
          <w:tcPr>
            <w:tcW w:type="dxa" w:w="1440"/>
          </w:tcPr>
          <w:p>
            <w:r>
              <w:rPr>
                <w:sz w:val="19"/>
              </w:rPr>
              <w:t>No head t_min formula run</w:t>
            </w:r>
          </w:p>
        </w:tc>
        <w:tc>
          <w:tcPr>
            <w:tcW w:type="dxa" w:w="1440"/>
          </w:tcPr>
          <w:p>
            <w:r>
              <w:rPr>
                <w:sz w:val="19"/>
              </w:rPr>
              <w:t>REQUIRES VERIFICATION</w:t>
            </w:r>
          </w:p>
        </w:tc>
      </w:tr>
    </w:tbl>
    <w:p/>
    <w:p>
      <w:pPr>
        <w:pStyle w:val="Heading1"/>
      </w:pPr>
      <w:r>
        <w:rPr>
          <w:color w:val="184C78"/>
        </w:rPr>
        <w:t>3. Regulatory Standards &amp; SOP Compliance</w:t>
      </w:r>
    </w:p>
    <w:p>
      <w:pPr>
        <w:spacing w:line="276" w:lineRule="auto"/>
      </w:pPr>
      <w:r>
        <w:t>Regulatory Framework: API 510 In-Service Pressure Vessel Inspection Code &amp; OISD-130.</w:t>
      </w:r>
    </w:p>
    <w:p>
      <w:pPr>
        <w:spacing w:line="276" w:lineRule="auto"/>
      </w:pPr>
      <w:r>
        <w:t>### Statutory Inspection Intervals and Minimum Allowable Thickness Requirements for Pressure Vessel not specified in the available documentation Under API 510 and OISD-130</w:t>
        <w:br/>
        <w:br/>
        <w:t>**Governing Standard Citations:**</w:t>
        <w:br/>
        <w:t>- **API 510**: American Petroleum Institute Specification for Pressure Vessels and Components Thereof, Part 510, "Design, Fabrication, Inspection, and Testing of Pressure Vessels."</w:t>
        <w:br/>
        <w:t>- **OISD-130**: Occupational Health and Safety Administration Directive 130, "Statutory Shutdown Inspections."</w:t>
        <w:br/>
        <w:br/>
        <w:t>**Mandatory Safety Precautions, Permits, PPE, and Isolation Boundaries Specified in the Context:**</w:t>
        <w:br/>
        <w:br/>
        <w:t>- **Isolation Valves**: The isolation valves in the vessel SRV lines shall be kept open during operation.</w:t>
        <w:br/>
        <w:t>- **Minimum Allowable Thickness Requirement**: For pressure vessels, the minimum allowable thickness requirement is determined by the governing standard, which specifies that carbon steel materials for pressure components parts shall be killed carbon steel. Wherever clad is provided for corrosion allowance, the clad thickness shall be provided over and above the code required minimum thickness.</w:t>
        <w:br/>
        <w:br/>
        <w:t>**Hazard Mitigation Protocols and Emergency Actions:**</w:t>
        <w:br/>
        <w:br/>
        <w:t>- **Noise Level Limitation**: Noise level shall be limited to 85 dB(A) maximum for all noise-producing equipment (such as agitators, mixers, silencers, educators, or ejectors) measured at a distance of not specified in the available documentation from equipment outside.</w:t>
        <w:br/>
        <w:t>- **Hydro Test and Pneumatic Test**: Pressure vessel shall be capable of withstanding loads for hydro test or maximum weight of the service fluid whichever is higher or pneumatic test as per applicable codes or standards.</w:t>
        <w:br/>
        <w:t>- **Deflection Limits**: Maximum allowable deflection at the top of the pressure vessel, with a height-to-height ratio greater than 5, shall be less than or equal to half the height of the pressure vessel divided by 200. Preferably, this value should be limited</w:t>
        <w:br/>
        <w:br/>
        <w:br/>
        <w:t>### References &amp; Provenance</w:t>
        <w:br/>
        <w:t>- **[1]** PRESSURE VESSEL INSPECTION REPORT | Page 1 | Section: 1. Scope | Tag: OISD-130</w:t>
        <w:br/>
        <w:t xml:space="preserve">  &gt; "[1. Scope]  Internal and external inspection as part of statutory shutdown inspection under Factories Act / OISD-130 requirements."</w:t>
        <w:br/>
        <w:t>- **[2]** 1448 ( | Page 1 | Section: 5 shall be | Tag: IS1893</w:t>
        <w:br/>
        <w:t xml:space="preserve">  &gt; "[5 shall be]  applicable for their separation distances. LPG Facilities: The LPG storage, handling and Bottling facilities inside Refineries and Gas processi..."</w:t>
      </w:r>
    </w:p>
    <w:p/>
    <w:p>
      <w:pPr>
        <w:pStyle w:val="Heading1"/>
      </w:pPr>
      <w:r>
        <w:rPr>
          <w:color w:val="184C78"/>
        </w:rPr>
        <w:t>4. Mathematical Verification Trace</w:t>
      </w:r>
    </w:p>
    <w:p>
      <w:pPr>
        <w:spacing w:line="276" w:lineRule="auto"/>
      </w:pPr>
      <w:r>
        <w:t>Governing Formula: t_min = (P × R) / (S × E − 0.6 × P)   [API 510]</w:t>
      </w:r>
    </w:p>
    <w:p>
      <w:pPr>
        <w:spacing w:line="276" w:lineRule="auto"/>
      </w:pPr>
      <w:r>
        <w:t>P = 10.5 kg/cm²g [EXTRACTED]</w:t>
      </w:r>
    </w:p>
    <w:p>
      <w:pPr>
        <w:spacing w:line="276" w:lineRule="auto"/>
      </w:pPr>
      <w:r>
        <w:t>[ASSUMED — not in report] R=600.0 mm (inner radius), S=1380.0 kg/cm² (allowable stress, ASME Sec VIII Div 1 SA-516 Gr 70), E=0.85 (weld joint efficiency).</w:t>
      </w:r>
    </w:p>
    <w:p>
      <w:pPr>
        <w:spacing w:line="276" w:lineRule="auto"/>
      </w:pPr>
      <w:r>
        <w:br/>
        <w:t>Calculation Working (from SafeCalculator step trace):</w:t>
      </w:r>
    </w:p>
    <w:p>
      <w:pPr>
        <w:spacing w:line="276" w:lineRule="auto"/>
      </w:pPr>
      <w:r>
        <w:t xml:space="preserve">  Variable substitution: E = 0.85, P = 10.5, R = 600.0, S = 1380.0</w:t>
      </w:r>
    </w:p>
    <w:p>
      <w:pPr>
        <w:spacing w:line="276" w:lineRule="auto"/>
      </w:pPr>
      <w:r>
        <w:t xml:space="preserve">    10.5 × 600 = 6300</w:t>
      </w:r>
    </w:p>
    <w:p>
      <w:pPr>
        <w:spacing w:line="276" w:lineRule="auto"/>
      </w:pPr>
      <w:r>
        <w:t xml:space="preserve">    1380 × 0.85 = 1173</w:t>
      </w:r>
    </w:p>
    <w:p>
      <w:pPr>
        <w:spacing w:line="276" w:lineRule="auto"/>
      </w:pPr>
      <w:r>
        <w:t xml:space="preserve">    0.6 × 10.5 = 6.3</w:t>
      </w:r>
    </w:p>
    <w:p>
      <w:pPr>
        <w:spacing w:line="276" w:lineRule="auto"/>
      </w:pPr>
      <w:r>
        <w:t xml:space="preserve">    1173 - 6.3 = 1166.7</w:t>
      </w:r>
    </w:p>
    <w:p>
      <w:pPr>
        <w:spacing w:line="276" w:lineRule="auto"/>
      </w:pPr>
      <w:r>
        <w:t xml:space="preserve">    6300 ÷ 1166.7 = 5.39985</w:t>
      </w:r>
    </w:p>
    <w:p>
      <w:pPr>
        <w:spacing w:line="276" w:lineRule="auto"/>
      </w:pPr>
      <w:r>
        <w:t xml:space="preserve">  Final result: (P * R) / (S * E - 0.6 * P) = 5.39985</w:t>
      </w:r>
    </w:p>
    <w:p>
      <w:pPr>
        <w:spacing w:line="276" w:lineRule="auto"/>
      </w:pPr>
      <w:r>
        <w:t>t_min (calculated) = 5.3998 mm</w:t>
      </w:r>
    </w:p>
    <w:p>
      <w:pPr>
        <w:spacing w:line="276" w:lineRule="auto"/>
      </w:pPr>
      <w:r>
        <w:t>t_actual (measured) = 11.2 mm [EXTRACTED]</w:t>
      </w:r>
    </w:p>
    <w:p>
      <w:pPr>
        <w:spacing w:line="276" w:lineRule="auto"/>
      </w:pPr>
      <w:r>
        <w:t>Safety margin: +5.80 mm above calculated minimum.</w:t>
      </w:r>
    </w:p>
    <w:p/>
    <w:p>
      <w:pPr>
        <w:pStyle w:val="Heading1"/>
      </w:pPr>
      <w:r>
        <w:rPr>
          <w:color w:val="184C78"/>
        </w:rPr>
        <w:t>5. Assumed / Default Constants — Engineer Verification Required</w:t>
      </w:r>
    </w:p>
    <w:p>
      <w:pPr>
        <w:spacing w:line="276" w:lineRule="auto"/>
      </w:pPr>
      <w:r>
        <w:t>The following constants were NOT found in the inspection report narrative and were used as engineering defaults for calculation purposes only.  The signing engineer MUST independently verify each value against the vessel datasheet before issuing statutory approval.</w:t>
      </w:r>
    </w:p>
    <w:p>
      <w:pPr>
        <w:spacing w:line="276" w:lineRule="auto"/>
      </w:pPr>
      <w:r>
        <w:t>R = 600.0 mm (inner radius — assumed typical knockout drum; VERIFY from datasheet).</w:t>
      </w:r>
    </w:p>
    <w:p>
      <w:pPr>
        <w:spacing w:line="276" w:lineRule="auto"/>
      </w:pPr>
      <w:r>
        <w:t>S = 1380.0 kg/cm² (allowable stress — assumed SA-516 Gr 70 at design temp; VERIFY material cert).</w:t>
      </w:r>
    </w:p>
    <w:p>
      <w:pPr>
        <w:spacing w:line="276" w:lineRule="auto"/>
      </w:pPr>
      <w:r>
        <w:t>E = 0.85 (weld joint efficiency — assumed full radiography; VERIFY weld records).</w:t>
      </w:r>
    </w:p>
    <w:p/>
    <w:p>
      <w:pPr>
        <w:pStyle w:val="Heading1"/>
      </w:pPr>
      <w:r>
        <w:rPr>
          <w:color w:val="184C78"/>
        </w:rPr>
        <w:t>6. Statutory Authorization &amp; Signature</w:t>
      </w:r>
    </w:p>
    <w:p>
      <w:pPr>
        <w:spacing w:line="276" w:lineRule="auto"/>
      </w:pPr>
      <w:r>
        <w:t>Inspector Recommendation: - Approve for continued service until next statutory inspection cycle (5 years, or as per applicable regulation)..</w:t>
      </w:r>
    </w:p>
    <w:p>
      <w:pPr>
        <w:spacing w:line="276" w:lineRule="auto"/>
      </w:pPr>
      <w:r>
        <w:t>Sign-off Status: PENDING PROFESSIONAL ENGINEER AUTHORIZATION.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