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STATUTORY ENGINEERING APPROVAL &amp; INTEGRITY COMPLIANCE NOTE</w:t>
      </w:r>
    </w:p>
    <w:p>
      <w:pPr>
        <w:jc w:val="center"/>
      </w:pPr>
      <w:r>
        <w:rPr>
          <w:i/>
          <w:color w:val="646E78"/>
          <w:sz w:val="20"/>
        </w:rPr>
        <w:t>Sovereign AI Engineering Report  |  Generated: 2026-09-16 00:00 UTC</w:t>
      </w:r>
    </w:p>
    <w:p/>
    <w:p>
      <w:pPr>
        <w:pStyle w:val="Heading1"/>
      </w:pPr>
      <w:r>
        <w:rPr>
          <w:color w:val="184C78"/>
        </w:rPr>
        <w:t>1. Executive Summary &amp; Statutory Certification</w:t>
      </w:r>
    </w:p>
    <w:p>
      <w:pPr>
        <w:spacing w:line="276" w:lineRule="auto"/>
      </w:pPr>
      <w:r>
        <w:t>Statutory integrity assessment of Pressure Vessel V-2201 (Knockout Drum) has been conducted in full compliance with OISD-STD-130 and API 510 codes. Non-destructive ultrasonic thickness testing confirms a minimum shell wall thickness of 11.2 mm, providing a robust safety margin of +5.80 mm over the ASME Sec VIII Div 1 statutory minimum requirement (5.40 mm). Remaining corrosion allowance stands at 78%. Total turnaround maintenance expenditure is audited and estimated at INR 315,077.70. The vessel is certified as fit for continued operation through September 2031.</w:t>
      </w:r>
    </w:p>
    <w:p/>
    <w:p>
      <w:pPr>
        <w:pStyle w:val="Heading1"/>
      </w:pPr>
      <w:r>
        <w:rPr>
          <w:color w:val="184C78"/>
        </w:rPr>
        <w:t>2. Equipment Design &amp; Inspection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Design Specification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0"/>
              </w:rPr>
              <w:t>Governing Standard / Code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Equipment Tag / Identifier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V-2201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MRPL Turnaround Asset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Equipment Service Description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Knockout Drum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Continuous Hydrocarbon Service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Inspection Report Reference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INS-PV-0087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Dated 03-Sep-2026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Design Pressure / Temperature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10.5 kg/cm²g @ 120°C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ASME Section VIII Division 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Governing Inspection Codes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OISD-STD-130 / API 510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Factories Act 1948, Section 31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Authorized Inspector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S. Menon, Authorized Inspector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Chief Mechanical Integrity Cell</w:t>
            </w:r>
          </w:p>
        </w:tc>
      </w:tr>
    </w:tbl>
    <w:p/>
    <w:p>
      <w:pPr>
        <w:pStyle w:val="Heading1"/>
      </w:pPr>
      <w:r>
        <w:rPr>
          <w:color w:val="184C78"/>
        </w:rPr>
        <w:t>3. Ultrasonic Survey &amp; Thickness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Component Description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Original Nominal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Measured Minimum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ASME Required (t_min)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Safety Margin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Shell (Top Course)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12.0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11.6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5.40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+6.20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Compliant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Shell (Bottom Course - Critical)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12.0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11.2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5.40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+5.80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Compliant (78% CA)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Head (Top Ellipsoidal)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14.0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13.7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5.12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+8.58 mm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Compliant (91% CA)</w:t>
            </w:r>
          </w:p>
        </w:tc>
      </w:tr>
    </w:tbl>
    <w:p/>
    <w:p>
      <w:pPr>
        <w:pStyle w:val="Heading1"/>
      </w:pPr>
      <w:r>
        <w:rPr>
          <w:color w:val="184C78"/>
        </w:rPr>
        <w:t>4. ASME Sec VIII Div 1 Calculation Trace</w:t>
      </w:r>
    </w:p>
    <w:p>
      <w:pPr>
        <w:spacing w:line="276" w:lineRule="auto"/>
      </w:pPr>
      <w:r>
        <w:t>Deterministic evaluation of minimum required shell wall thickness under internal pressure:</w:t>
        <w:br/>
        <w:t>Formula: t_min = (P × R) / (S × E − 0.6 × P)</w:t>
        <w:br/>
        <w:t xml:space="preserve">  • Reduction step:   10.5 × 600 = 6300</w:t>
        <w:br/>
        <w:t xml:space="preserve">  • Reduction step:   1380 × 0.85 = 1173</w:t>
        <w:br/>
        <w:t xml:space="preserve">  • Reduction step:   0.6 × 10.5 = 6.3</w:t>
        <w:br/>
        <w:t xml:space="preserve">  • Reduction step:   1173 - 6.3 = 1166.7</w:t>
        <w:br/>
        <w:t xml:space="preserve">  • Reduction step:   6300 ÷ 1166.7 = 5.39985</w:t>
        <w:br/>
        <w:t xml:space="preserve">  • Reduction step: Final result: 10.5 * 600.0 / (1380.0 * 0.85 - 0.6 * 10.5) = 5.39985</w:t>
        <w:br/>
        <w:t>Result: t_min = 5.3998 mm | Actual Measured = 11.2 mm (Excess: +5.8002 mm).</w:t>
      </w:r>
    </w:p>
    <w:p/>
    <w:p>
      <w:pPr>
        <w:pStyle w:val="Heading1"/>
      </w:pPr>
      <w:r>
        <w:rPr>
          <w:color w:val="184C78"/>
        </w:rPr>
        <w:t>5. Turnaround Maintenance Budget &amp; Itemized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  <w:sz w:val="20"/>
              </w:rPr>
              <w:t>Work Package Description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  <w:sz w:val="20"/>
              </w:rPr>
              <w:t>Total Cost (INR)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Ultrasonic Thickness Testing (UTT) Grid Survey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Inspection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42,000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Hydrostatic Pressure Re-certification Testing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Statutory Test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75,000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Internal Scale Removal &amp; Chemical Decontamination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Housekeeping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38,500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High-Pressure Nozzle Gasket Replacement (Spiral Wound)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Spares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24,800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External Surface Primer &amp; Epoxy Recoating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Corrosion Prevention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49,000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Statutory Third-Party Inspection &amp; Certification Fee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25,000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Subtotal Direct Maintenance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Direct Cost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254,300.00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Contingency Margin (5%)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Risk Reserve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12,715.00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Statutory Goods &amp; Services Tax (18%)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Tax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48,062.70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Total Authorized Turnaround Budget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Final Budget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INR 315,077.70</w:t>
            </w:r>
          </w:p>
        </w:tc>
      </w:tr>
    </w:tbl>
    <w:p/>
    <w:p>
      <w:pPr>
        <w:pStyle w:val="Heading1"/>
      </w:pPr>
      <w:r>
        <w:rPr>
          <w:color w:val="184C78"/>
        </w:rPr>
        <w:t>6. Statutory Sign-Off &amp; Recommendations</w:t>
      </w:r>
    </w:p>
    <w:p>
      <w:pPr>
        <w:spacing w:line="276" w:lineRule="auto"/>
      </w:pPr>
      <w:r>
        <w:t>1. Approved for continued hydrocarbon service for 5 calendar years.</w:t>
        <w:br/>
        <w:t>2. Next mandatory statutory inspection due date: September 2031 per Factories Act Section 31.</w:t>
        <w:br/>
        <w:t>3. Close internal housekeeping cleaning item within current turnaround window prior to nitrogen purging.</w:t>
        <w:br/>
        <w:t>4. Chief Mechanical Inspector electronic sign-off authorized.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