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44"/>
        </w:rPr>
        <w:t>Statutory Continued Service Approval — V-2201</w:t>
      </w:r>
    </w:p>
    <w:p>
      <w:pPr>
        <w:jc w:val="center"/>
      </w:pPr>
      <w:r>
        <w:rPr>
          <w:i/>
          <w:color w:val="646E78"/>
          <w:sz w:val="20"/>
        </w:rPr>
        <w:t>Sovereign AI Engineering Report  |  Generated: 2026-09-15 16:10 UTC</w:t>
      </w:r>
    </w:p>
    <w:p>
      <w:pPr>
        <w:jc w:val="center"/>
      </w:pPr>
      <w:r>
        <w:rPr>
          <w:color w:val="6E7882"/>
          <w:sz w:val="18"/>
        </w:rPr>
        <w:t>equipment_id: V-2201  •  report_no: INS-PV-0087</w:t>
      </w:r>
    </w:p>
    <w:p/>
    <w:p>
      <w:pPr>
        <w:pStyle w:val="Heading1"/>
      </w:pPr>
      <w:r>
        <w:rPr>
          <w:color w:val="184C78"/>
        </w:rPr>
        <w:t>1. Executive Summary</w:t>
      </w:r>
    </w:p>
    <w:p>
      <w:pPr>
        <w:spacing w:line="276" w:lineRule="auto"/>
      </w:pPr>
      <w:r>
        <w:t>Statutory fitness-for-service evaluation for Equipment V-2201 (Knockout Drum).</w:t>
      </w:r>
    </w:p>
    <w:p>
      <w:pPr>
        <w:spacing w:line="276" w:lineRule="auto"/>
      </w:pPr>
      <w:r>
        <w:t>Inspection conducted under API 510 / OISD-130.  See Section 5 for a full list of assumed constants that require engineer verification.</w:t>
      </w:r>
    </w:p>
    <w:p>
      <w:pPr>
        <w:spacing w:line="276" w:lineRule="auto"/>
      </w:pPr>
      <w:r>
        <w:t>TECHNICAL CONTINUED SERVICE APPROVAL NOTE</w:t>
        <w:br/>
        <w:t>Equipment ID: V-2201 (Knockout Drum) | Report Ref: INS-PV-0087</w:t>
        <w:br/>
        <w:t>Inspector: S. Menon, Authorized Inspector</w:t>
        <w:br/>
        <w:br/>
        <w:t>1. Structural Assessment (data-derived):</w:t>
        <w:br/>
        <w:t xml:space="preserve">   - Shell (Bottom): nominal=12.0 mm, measured=11.2 mm, corrosion consumed=0.80 mm (6.7% of original).</w:t>
        <w:br/>
        <w:t xml:space="preserve">   - Design Pressure: 10.5 kg/cm²g.</w:t>
        <w:br/>
        <w:t>2. Regulatory SOP Framework:</w:t>
        <w:br/>
        <w:t xml:space="preserve">   - Evaluated under API 510 In-Service Pressure Vessel Inspection Code &amp; OISD-130.</w:t>
        <w:br/>
        <w:t>3. Inspector Recommendation (from report):</w:t>
        <w:br/>
        <w:t xml:space="preserve">   - - Approve for continued service until next statutory inspection cycle (5 years, or as per applicable regulation).</w:t>
        <w:br/>
      </w:r>
    </w:p>
    <w:p/>
    <w:p>
      <w:pPr>
        <w:pStyle w:val="Heading1"/>
      </w:pPr>
      <w:r>
        <w:rPr>
          <w:color w:val="184C78"/>
        </w:rPr>
        <w:t>2. Equipment Design &amp; Inspection Metadata</w:t>
      </w:r>
    </w:p>
    <w:p>
      <w:pPr>
        <w:spacing w:line="276" w:lineRule="auto"/>
      </w:pPr>
      <w:r>
        <w:t>Equipment Tag: V-2201 [EXTRACTED] | Name: Knockout Drum [EXTRACTED]</w:t>
      </w:r>
    </w:p>
    <w:p>
      <w:pPr>
        <w:spacing w:line="276" w:lineRule="auto"/>
      </w:pPr>
      <w:r>
        <w:t>Report Reference: INS-PV-0087 [EXTRACTED]</w:t>
      </w:r>
    </w:p>
    <w:p>
      <w:pPr>
        <w:spacing w:line="276" w:lineRule="auto"/>
      </w:pPr>
      <w:r>
        <w:t>Design Pressure: 10.5 kg/cm²g [EXTRACTED]</w:t>
      </w:r>
    </w:p>
    <w:p>
      <w:pPr>
        <w:spacing w:line="276" w:lineRule="auto"/>
      </w:pPr>
      <w:r>
        <w:t>Design Temperature: 120.0°C [EXTRACTED]</w:t>
      </w:r>
    </w:p>
    <w:p>
      <w:pPr>
        <w:spacing w:line="276" w:lineRule="auto"/>
      </w:pPr>
      <w:r>
        <w:t>Inspector: S. Menon, Authorized Inspector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20"/>
              </w:rPr>
              <w:t>Component</w:t>
            </w:r>
          </w:p>
        </w:tc>
        <w:tc>
          <w:tcPr>
            <w:tcW w:type="dxa" w:w="1440"/>
          </w:tcPr>
          <w:p>
            <w:r>
              <w:rPr>
                <w:b/>
                <w:color w:val="FFFFFF"/>
                <w:sz w:val="20"/>
              </w:rPr>
              <w:t>Nominal (mm)</w:t>
            </w:r>
          </w:p>
        </w:tc>
        <w:tc>
          <w:tcPr>
            <w:tcW w:type="dxa" w:w="1440"/>
          </w:tcPr>
          <w:p>
            <w:r>
              <w:rPr>
                <w:b/>
                <w:color w:val="FFFFFF"/>
                <w:sz w:val="20"/>
              </w:rPr>
              <w:t>Measured (mm)</w:t>
            </w:r>
          </w:p>
        </w:tc>
        <w:tc>
          <w:tcPr>
            <w:tcW w:type="dxa" w:w="1440"/>
          </w:tcPr>
          <w:p>
            <w:r>
              <w:rPr>
                <w:b/>
                <w:color w:val="FFFFFF"/>
                <w:sz w:val="20"/>
              </w:rPr>
              <w:t>t_min (mm)</w:t>
            </w:r>
          </w:p>
        </w:tc>
        <w:tc>
          <w:tcPr>
            <w:tcW w:type="dxa" w:w="1440"/>
          </w:tcPr>
          <w:p>
            <w:r>
              <w:rPr>
                <w:b/>
                <w:color w:val="FFFFFF"/>
                <w:sz w:val="20"/>
              </w:rPr>
              <w:t>Provenance</w:t>
            </w:r>
          </w:p>
        </w:tc>
        <w:tc>
          <w:tcPr>
            <w:tcW w:type="dxa" w:w="1440"/>
          </w:tcPr>
          <w:p>
            <w:r>
              <w:rPr>
                <w:b/>
                <w:color w:val="FFFFFF"/>
                <w:sz w:val="20"/>
              </w:rPr>
              <w:t>Status</w:t>
            </w:r>
          </w:p>
        </w:tc>
      </w:tr>
      <w:tr>
        <w:tc>
          <w:tcPr>
            <w:tcW w:type="dxa" w:w="1440"/>
          </w:tcPr>
          <w:p>
            <w:r>
              <w:rPr>
                <w:sz w:val="19"/>
              </w:rPr>
              <w:t>Shell (Bottom)</w:t>
            </w:r>
          </w:p>
        </w:tc>
        <w:tc>
          <w:tcPr>
            <w:tcW w:type="dxa" w:w="1440"/>
          </w:tcPr>
          <w:p>
            <w:r>
              <w:rPr>
                <w:sz w:val="19"/>
              </w:rPr>
              <w:t>12.0</w:t>
            </w:r>
          </w:p>
        </w:tc>
        <w:tc>
          <w:tcPr>
            <w:tcW w:type="dxa" w:w="1440"/>
          </w:tcPr>
          <w:p>
            <w:r>
              <w:rPr>
                <w:sz w:val="19"/>
              </w:rPr>
              <w:t>11.2</w:t>
            </w:r>
          </w:p>
        </w:tc>
        <w:tc>
          <w:tcPr>
            <w:tcW w:type="dxa" w:w="1440"/>
          </w:tcPr>
          <w:p>
            <w:r>
              <w:rPr>
                <w:sz w:val="19"/>
              </w:rPr>
              <w:t>5.40</w:t>
            </w:r>
          </w:p>
        </w:tc>
        <w:tc>
          <w:tcPr>
            <w:tcW w:type="dxa" w:w="1440"/>
          </w:tcPr>
          <w:p>
            <w:r>
              <w:rPr>
                <w:sz w:val="19"/>
              </w:rPr>
              <w:t>t_min: CALCULATED (R,S,E assumed — see §5)</w:t>
            </w:r>
          </w:p>
        </w:tc>
        <w:tc>
          <w:tcPr>
            <w:tcW w:type="dxa" w:w="1440"/>
          </w:tcPr>
          <w:p>
            <w:r>
              <w:rPr>
                <w:sz w:val="19"/>
              </w:rPr>
              <w:t>ACCEPTABLE</w:t>
            </w:r>
          </w:p>
        </w:tc>
      </w:tr>
      <w:tr>
        <w:tc>
          <w:tcPr>
            <w:tcW w:type="dxa" w:w="1440"/>
          </w:tcPr>
          <w:p>
            <w:r>
              <w:rPr>
                <w:sz w:val="19"/>
              </w:rPr>
              <w:t>Head (Top)</w:t>
            </w:r>
          </w:p>
        </w:tc>
        <w:tc>
          <w:tcPr>
            <w:tcW w:type="dxa" w:w="1440"/>
          </w:tcPr>
          <w:p>
            <w:r>
              <w:rPr>
                <w:sz w:val="19"/>
              </w:rPr>
              <w:t>14.0</w:t>
            </w:r>
          </w:p>
        </w:tc>
        <w:tc>
          <w:tcPr>
            <w:tcW w:type="dxa" w:w="1440"/>
          </w:tcPr>
          <w:p>
            <w:r>
              <w:rPr>
                <w:sz w:val="19"/>
              </w:rPr>
              <w:t>13.7</w:t>
            </w:r>
          </w:p>
        </w:tc>
        <w:tc>
          <w:tcPr>
            <w:tcW w:type="dxa" w:w="1440"/>
          </w:tcPr>
          <w:p>
            <w:r>
              <w:rPr>
                <w:sz w:val="19"/>
              </w:rPr>
              <w:t>NOT CALCULATED</w:t>
            </w:r>
          </w:p>
        </w:tc>
        <w:tc>
          <w:tcPr>
            <w:tcW w:type="dxa" w:w="1440"/>
          </w:tcPr>
          <w:p>
            <w:r>
              <w:rPr>
                <w:sz w:val="19"/>
              </w:rPr>
              <w:t>No head t_min formula run</w:t>
            </w:r>
          </w:p>
        </w:tc>
        <w:tc>
          <w:tcPr>
            <w:tcW w:type="dxa" w:w="1440"/>
          </w:tcPr>
          <w:p>
            <w:r>
              <w:rPr>
                <w:sz w:val="19"/>
              </w:rPr>
              <w:t>REQUIRES VERIFICATION</w:t>
            </w:r>
          </w:p>
        </w:tc>
      </w:tr>
    </w:tbl>
    <w:p/>
    <w:p>
      <w:pPr>
        <w:pStyle w:val="Heading1"/>
      </w:pPr>
      <w:r>
        <w:rPr>
          <w:color w:val="184C78"/>
        </w:rPr>
        <w:t>3. Regulatory Standards &amp; SOP Compliance</w:t>
      </w:r>
    </w:p>
    <w:p>
      <w:pPr>
        <w:spacing w:line="276" w:lineRule="auto"/>
      </w:pPr>
      <w:r>
        <w:t>Regulatory Framework: API 510 In-Service Pressure Vessel Inspection Code &amp; OISD-130.</w:t>
      </w:r>
    </w:p>
    <w:p>
      <w:pPr>
        <w:spacing w:line="276" w:lineRule="auto"/>
      </w:pPr>
      <w:r>
        <w:t>Not applicable as there isn't enough detailed documentation to determine the statutory inspection interval and minimum allowable wall thickness requirements for Pressure Vessel V-2**201** under API ******5*****10**** and OIS***D-1*********30****. The provided context lacks critical specifications such as the vessel’s diameter, length dimension, and materials properties which are essential for calculations related to inspection intervals and wall thickness compliance. Further investigation beyond this document is required to ascertain these values.</w:t>
        <w:br/>
        <w:br/>
        <w:br/>
        <w:t>### References &amp; Provenance</w:t>
        <w:br/>
        <w:t>- **[1]** PRESSURE VESSEL INSPECTION REPORT | Page 1 | Section: 1. Scope | Tag: OISD-130</w:t>
        <w:br/>
        <w:t xml:space="preserve">  &gt; "[1. Scope]  Internal and external inspection as part of statutory shutdown inspection under Factories Act / OISD-130 requirements."</w:t>
      </w:r>
    </w:p>
    <w:p/>
    <w:p>
      <w:pPr>
        <w:pStyle w:val="Heading1"/>
      </w:pPr>
      <w:r>
        <w:rPr>
          <w:color w:val="184C78"/>
        </w:rPr>
        <w:t>4. Mathematical Verification Trace</w:t>
      </w:r>
    </w:p>
    <w:p>
      <w:pPr>
        <w:spacing w:line="276" w:lineRule="auto"/>
      </w:pPr>
      <w:r>
        <w:t>Governing Formula: t_min = (P × R) / (S × E − 0.6 × P)   [API 510]</w:t>
      </w:r>
    </w:p>
    <w:p>
      <w:pPr>
        <w:spacing w:line="276" w:lineRule="auto"/>
      </w:pPr>
      <w:r>
        <w:t>P = 10.5 kg/cm²g [EXTRACTED]</w:t>
      </w:r>
    </w:p>
    <w:p>
      <w:pPr>
        <w:spacing w:line="276" w:lineRule="auto"/>
      </w:pPr>
      <w:r>
        <w:t>[ASSUMED — not in report] R=600.0 mm (inner radius), S=1380.0 kg/cm² (allowable stress, ASME Sec VIII Div 1 SA-516 Gr 70), E=0.85 (weld joint efficiency).</w:t>
      </w:r>
    </w:p>
    <w:p>
      <w:pPr>
        <w:spacing w:line="276" w:lineRule="auto"/>
      </w:pPr>
      <w:r>
        <w:br/>
        <w:t>Calculation Working (from SafeCalculator step trace):</w:t>
      </w:r>
    </w:p>
    <w:p>
      <w:pPr>
        <w:spacing w:line="276" w:lineRule="auto"/>
      </w:pPr>
      <w:r>
        <w:t xml:space="preserve">  Variable substitution: E = 0.85, P = 10.5, R = 600.0, S = 1380.0</w:t>
      </w:r>
    </w:p>
    <w:p>
      <w:pPr>
        <w:spacing w:line="276" w:lineRule="auto"/>
      </w:pPr>
      <w:r>
        <w:t xml:space="preserve">    10.5 × 600 = 6300</w:t>
      </w:r>
    </w:p>
    <w:p>
      <w:pPr>
        <w:spacing w:line="276" w:lineRule="auto"/>
      </w:pPr>
      <w:r>
        <w:t xml:space="preserve">    1380 × 0.85 = 1173</w:t>
      </w:r>
    </w:p>
    <w:p>
      <w:pPr>
        <w:spacing w:line="276" w:lineRule="auto"/>
      </w:pPr>
      <w:r>
        <w:t xml:space="preserve">    0.6 × 10.5 = 6.3</w:t>
      </w:r>
    </w:p>
    <w:p>
      <w:pPr>
        <w:spacing w:line="276" w:lineRule="auto"/>
      </w:pPr>
      <w:r>
        <w:t xml:space="preserve">    1173 - 6.3 = 1166.7</w:t>
      </w:r>
    </w:p>
    <w:p>
      <w:pPr>
        <w:spacing w:line="276" w:lineRule="auto"/>
      </w:pPr>
      <w:r>
        <w:t xml:space="preserve">    6300 ÷ 1166.7 = 5.39985</w:t>
      </w:r>
    </w:p>
    <w:p>
      <w:pPr>
        <w:spacing w:line="276" w:lineRule="auto"/>
      </w:pPr>
      <w:r>
        <w:t xml:space="preserve">  Final result: (P * R) / (S * E - 0.6 * P) = 5.39985</w:t>
      </w:r>
    </w:p>
    <w:p>
      <w:pPr>
        <w:spacing w:line="276" w:lineRule="auto"/>
      </w:pPr>
      <w:r>
        <w:t>t_min (calculated) = 5.3998 mm</w:t>
      </w:r>
    </w:p>
    <w:p>
      <w:pPr>
        <w:spacing w:line="276" w:lineRule="auto"/>
      </w:pPr>
      <w:r>
        <w:t>t_actual (measured) = 11.2 mm [EXTRACTED]</w:t>
      </w:r>
    </w:p>
    <w:p>
      <w:pPr>
        <w:spacing w:line="276" w:lineRule="auto"/>
      </w:pPr>
      <w:r>
        <w:t>Safety margin: +5.80 mm above calculated minimum.</w:t>
      </w:r>
    </w:p>
    <w:p/>
    <w:p>
      <w:pPr>
        <w:pStyle w:val="Heading1"/>
      </w:pPr>
      <w:r>
        <w:rPr>
          <w:color w:val="184C78"/>
        </w:rPr>
        <w:t>5. Assumed / Default Constants — Engineer Verification Required</w:t>
      </w:r>
    </w:p>
    <w:p>
      <w:pPr>
        <w:spacing w:line="276" w:lineRule="auto"/>
      </w:pPr>
      <w:r>
        <w:t>The following constants were NOT found in the inspection report narrative and were used as engineering defaults for calculation purposes only.  The signing engineer MUST independently verify each value against the vessel datasheet before issuing statutory approval.</w:t>
      </w:r>
    </w:p>
    <w:p>
      <w:pPr>
        <w:spacing w:line="276" w:lineRule="auto"/>
      </w:pPr>
      <w:r>
        <w:t>R = 600.0 mm (inner radius — assumed typical knockout drum; VERIFY from datasheet).</w:t>
      </w:r>
    </w:p>
    <w:p>
      <w:pPr>
        <w:spacing w:line="276" w:lineRule="auto"/>
      </w:pPr>
      <w:r>
        <w:t>S = 1380.0 kg/cm² (allowable stress — assumed SA-516 Gr 70 at design temp; VERIFY material cert).</w:t>
      </w:r>
    </w:p>
    <w:p>
      <w:pPr>
        <w:spacing w:line="276" w:lineRule="auto"/>
      </w:pPr>
      <w:r>
        <w:t>E = 0.85 (weld joint efficiency — assumed full radiography; VERIFY weld records).</w:t>
      </w:r>
    </w:p>
    <w:p/>
    <w:p>
      <w:pPr>
        <w:pStyle w:val="Heading1"/>
      </w:pPr>
      <w:r>
        <w:rPr>
          <w:color w:val="184C78"/>
        </w:rPr>
        <w:t>6. Statutory Authorization &amp; Signature</w:t>
      </w:r>
    </w:p>
    <w:p>
      <w:pPr>
        <w:spacing w:line="276" w:lineRule="auto"/>
      </w:pPr>
      <w:r>
        <w:t>Inspector Recommendation: - Approve for continued service until next statutory inspection cycle (5 years, or as per applicable regulation)..</w:t>
      </w:r>
    </w:p>
    <w:p>
      <w:pPr>
        <w:spacing w:line="276" w:lineRule="auto"/>
      </w:pPr>
      <w:r>
        <w:t>Sign-off Status: PENDING PROFESSIONAL ENGINEER AUTHORIZATION.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