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Vessel Integrity Report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2026-09-15 16:13 UTC</w:t>
      </w:r>
    </w:p>
    <w:p/>
    <w:p>
      <w:pPr>
        <w:pStyle w:val="Heading1"/>
      </w:pPr>
      <w:r>
        <w:rPr>
          <w:color w:val="184C78"/>
        </w:rPr>
        <w:t>Executive Summary</w:t>
      </w:r>
    </w:p>
    <w:p>
      <w:pPr>
        <w:spacing w:line="276" w:lineRule="auto"/>
      </w:pPr>
      <w:r>
        <w:t>Supported evidence is structured verbatim from verified sources. All documented findings and general requirements are distinguished with full provenance.</w:t>
      </w:r>
    </w:p>
    <w:p/>
    <w:p>
      <w:pPr>
        <w:pStyle w:val="Heading1"/>
      </w:pPr>
      <w:r>
        <w:rPr>
          <w:color w:val="184C78"/>
        </w:rPr>
        <w:t>Documented Findings — integrity_log.md</w:t>
      </w:r>
    </w:p>
    <w:p>
      <w:pPr>
        <w:pStyle w:val="ListBullet"/>
      </w:pPr>
      <w:r>
        <w:t>VESSEL-88: wall thickness measured at 14.2 mm. [1] (page 3)</w:t>
      </w:r>
    </w:p>
    <w:p/>
    <w:p>
      <w:pPr>
        <w:pStyle w:val="Heading1"/>
      </w:pPr>
      <w:r>
        <w:rPr>
          <w:color w:val="184C78"/>
        </w:rPr>
        <w:t>Documented Scope &amp; Verification Limitations</w:t>
      </w:r>
    </w:p>
    <w:p>
      <w:pPr>
        <w:pStyle w:val="ListBullet"/>
      </w:pPr>
      <w:r>
        <w:t>Only facts explicitly stated in the listed source documents are presented.</w:t>
      </w:r>
    </w:p>
    <w:p>
      <w:pPr>
        <w:pStyle w:val="ListBullet"/>
      </w:pPr>
      <w:r>
        <w:t>Parameters, conditions, or dates not explicitly present in the retrieved evidence are not documented.</w:t>
      </w:r>
    </w:p>
    <w:p>
      <w:pPr>
        <w:pStyle w:val="ListBullet"/>
      </w:pPr>
      <w:r>
        <w:t>No speculative conclusions, unrecorded maintenance actions, or synthetic dates have been added.</w:t>
      </w:r>
    </w:p>
    <w:p/>
    <w:p>
      <w:pPr>
        <w:pStyle w:val="Heading1"/>
      </w:pPr>
      <w:r>
        <w:rPr>
          <w:color w:val="184C78"/>
        </w:rPr>
        <w:t>Sources &amp; Regulatory Evidence</w:t>
      </w:r>
    </w:p>
    <w:p>
      <w:r>
        <w:rPr>
          <w:b/>
          <w:sz w:val="19"/>
        </w:rPr>
        <w:t>[1] integrity_log.md (Page 3 | Tag: VESSEL-88)</w:t>
      </w:r>
    </w:p>
    <w:p>
      <w:pPr>
        <w:ind w:left="360"/>
      </w:pPr>
      <w:r>
        <w:rPr>
          <w:i/>
          <w:color w:val="646E78"/>
          <w:sz w:val="17"/>
        </w:rPr>
        <w:t>"VESSEL-88: wall thickness measured at 14.2 mm."</w:t>
      </w:r>
    </w:p>
    <w:p>
      <w:pPr>
        <w:pStyle w:val="Heading1"/>
      </w:pPr>
      <w:r>
        <w:rPr>
          <w:color w:val="184C78"/>
        </w:rPr>
        <w:t>Conclusion &amp; Statutory Remarks</w:t>
      </w:r>
    </w:p>
    <w:p>
      <w:pPr>
        <w:spacing w:line="276" w:lineRule="auto"/>
      </w:pPr>
      <w:r>
        <w:t>All reported data reflects the verified contents of the available source documentation without extrapolation.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