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44"/>
        </w:rPr>
        <w:t>Evidence Report</w:t>
      </w:r>
    </w:p>
    <w:p>
      <w:pPr>
        <w:jc w:val="center"/>
      </w:pPr>
      <w:r>
        <w:rPr>
          <w:i/>
          <w:color w:val="646E78"/>
          <w:sz w:val="20"/>
        </w:rPr>
        <w:t>Sovereign AI Engineering Report  |  Generated: 2026-09-15 05:09 UTC</w:t>
      </w:r>
    </w:p>
    <w:p/>
    <w:p>
      <w:pPr>
        <w:pStyle w:val="Heading1"/>
      </w:pPr>
      <w:r>
        <w:rPr>
          <w:color w:val="184C78"/>
        </w:rPr>
        <w:t>Executive Summary</w:t>
      </w:r>
    </w:p>
    <w:p>
      <w:pPr>
        <w:spacing w:line="276" w:lineRule="auto"/>
      </w:pPr>
      <w:r>
        <w:t>Supported evidence is listed verbatim by source; no undocumented conclusion has been added.</w:t>
      </w:r>
    </w:p>
    <w:p/>
    <w:p>
      <w:pPr>
        <w:pStyle w:val="Heading1"/>
      </w:pPr>
      <w:r>
        <w:rPr>
          <w:color w:val="184C78"/>
        </w:rPr>
        <w:t>source.md</w:t>
      </w:r>
    </w:p>
    <w:p>
      <w:pPr>
        <w:pStyle w:val="ListBullet"/>
      </w:pPr>
      <w:r>
        <w:t>UNIT-9: source-only statement. [1] (page 1)</w:t>
      </w:r>
    </w:p>
    <w:p/>
    <w:p>
      <w:pPr>
        <w:pStyle w:val="Heading1"/>
      </w:pPr>
      <w:r>
        <w:rPr>
          <w:color w:val="184C78"/>
        </w:rPr>
        <w:t>Sources &amp; Regulatory Evidence</w:t>
      </w:r>
    </w:p>
    <w:p>
      <w:r>
        <w:rPr>
          <w:b/>
          <w:sz w:val="19"/>
        </w:rPr>
        <w:t>[1] source.md (Page 1 | Tag: UNIT-9)</w:t>
      </w:r>
    </w:p>
    <w:p>
      <w:pPr>
        <w:ind w:left="360"/>
      </w:pPr>
      <w:r>
        <w:rPr>
          <w:i/>
          <w:color w:val="646E78"/>
          <w:sz w:val="17"/>
        </w:rPr>
        <w:t>"UNIT-9: source-only statement."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