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60"/>
        <w:jc w:val="center"/>
      </w:pPr>
      <w:r>
        <w:rPr>
          <w:rFonts w:ascii="Arial" w:cs="Arial" w:eastAsia="Arial" w:hAnsi="Arial"/>
          <w:b/>
          <w:bCs/>
          <w:color w:val="1B3A6B"/>
          <w:sz w:val="56"/>
          <w:szCs w:val="56"/>
        </w:rPr>
        <w:t xml:space="preserve">HABIB BANK LIMITED</w:t>
      </w:r>
    </w:p>
    <w:p>
      <w:pPr>
        <w:spacing w:before="0" w:after="60"/>
        <w:jc w:val="center"/>
      </w:pPr>
      <w:r>
        <w:rPr>
          <w:rFonts w:ascii="Arial" w:cs="Arial" w:eastAsia="Arial" w:hAnsi="Arial"/>
          <w:color w:val="595959"/>
          <w:sz w:val="18"/>
          <w:szCs w:val="18"/>
        </w:rPr>
        <w:t xml:space="preserve">Head Office: Habib Bank Plaza, I.I. Chundrigar Road, Karachi 74200, Pakistan</w:t>
      </w:r>
    </w:p>
    <w:p>
      <w:pPr>
        <w:spacing w:before="60" w:after="60"/>
      </w:pPr>
      <w:r>
        <w:t xml:space="preserve"/>
      </w:r>
    </w:p>
    <w:p>
      <w:pPr>
        <w:shd w:fill="1B3A6B" w:val="clear"/>
        <w:spacing w:before="200" w:after="0"/>
        <w:jc w:val="center"/>
      </w:pPr>
      <w:r>
        <w:rPr>
          <w:rFonts w:ascii="Arial" w:cs="Arial" w:eastAsia="Arial" w:hAnsi="Arial"/>
          <w:b/>
          <w:bCs/>
          <w:color w:val="FFFFFF"/>
          <w:sz w:val="38"/>
          <w:szCs w:val="38"/>
        </w:rPr>
        <w:t xml:space="preserve">  ANTI-MONEY LAUNDERING (AML) &amp;  </w:t>
      </w:r>
    </w:p>
    <w:p>
      <w:pPr>
        <w:shd w:fill="1B3A6B" w:val="clear"/>
        <w:spacing w:before="0" w:after="200"/>
        <w:jc w:val="center"/>
      </w:pPr>
      <w:r>
        <w:rPr>
          <w:rFonts w:ascii="Arial" w:cs="Arial" w:eastAsia="Arial" w:hAnsi="Arial"/>
          <w:color w:val="D6E4F7"/>
          <w:sz w:val="22"/>
          <w:szCs w:val="22"/>
        </w:rPr>
        <w:t xml:space="preserve">  KNOW YOUR CUSTOMER (KYC) POLICY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Document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HBL-CAML-001</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Policy Category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Compliance / Financial Crime Prevention</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4.2</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Classification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CONFIDENTIAL – INTERNAL USE ONLY</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January 1, 2025</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Next Review Date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December 31, 2025</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Chief Compliance Officer (CCO)</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Approved By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Board Risk &amp; Compliance Committee (BRCC)</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Applicable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All HBL employees, subsidiaries, and branches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Regulatory Framework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SBP AML/CFT Regulations 2020, AML Act 2010, FATF 40 Recommendations, FMU Guidelines</w:t>
            </w:r>
          </w:p>
        </w:tc>
      </w:tr>
    </w:tbl>
    <w:p>
      <w:pPr>
        <w:spacing w:before="60" w:after="60"/>
      </w:pPr>
      <w:r>
        <w:t xml:space="preserve"/>
      </w:r>
    </w:p>
    <w:p>
      <w:pPr>
        <w:shd w:fill="FFF2CC" w:val="clear"/>
        <w:spacing w:before="120" w:after="120"/>
        <w:jc w:val="center"/>
      </w:pPr>
      <w:r>
        <w:rPr>
          <w:rFonts w:ascii="Arial" w:cs="Arial" w:eastAsia="Arial" w:hAnsi="Arial"/>
          <w:i/>
          <w:iCs/>
          <w:color w:val="7F4F00"/>
          <w:sz w:val="16"/>
          <w:szCs w:val="16"/>
        </w:rPr>
        <w:t xml:space="preserve">WARNING: This document is CONFIDENTIAL. Unauthorized disclosure, reproduction, or distribution is strictly prohibited and may result in disciplinary action and/or legal proceedings under Pakistani law.</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1. INTRODUCTION AND PURPOSE</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1.1 Policy Statement</w:t>
      </w:r>
    </w:p>
    <w:p>
      <w:pPr>
        <w:spacing w:before="60" w:after="80"/>
      </w:pPr>
      <w:r>
        <w:rPr>
          <w:rFonts w:ascii="Arial" w:cs="Arial" w:eastAsia="Arial" w:hAnsi="Arial"/>
          <w:color w:val="2E2E2E"/>
          <w:sz w:val="20"/>
          <w:szCs w:val="20"/>
        </w:rPr>
        <w:t xml:space="preserve">Habib Bank Limited (HBL) is committed to the highest standards of Anti-Money Laundering (AML) and Countering the Financing of Terrorism (CFT) compliance. This policy establishes a comprehensive framework to detect, prevent, and report money laundering, terrorist financing, and other financial crimes in accordance with all applicable laws, regulations, and international best practices.</w:t>
      </w:r>
    </w:p>
    <w:p>
      <w:pPr>
        <w:spacing w:before="60" w:after="80"/>
      </w:pPr>
      <w:r>
        <w:rPr>
          <w:rFonts w:ascii="Arial" w:cs="Arial" w:eastAsia="Arial" w:hAnsi="Arial"/>
          <w:color w:val="2E2E2E"/>
          <w:sz w:val="20"/>
          <w:szCs w:val="20"/>
        </w:rPr>
        <w:t xml:space="preserve">HBL maintains a zero-tolerance stance toward financial crime. All employees, regardless of grade or position, must adhere to this policy. Violations may result in disciplinary action up to and including termination and referral to law enforcement authorities.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1.2 Scope and Applicability</w:t>
      </w:r>
    </w:p>
    <w:p>
      <w:pPr>
        <w:spacing w:before="60" w:after="80"/>
      </w:pPr>
      <w:r>
        <w:rPr>
          <w:rFonts w:ascii="Arial" w:cs="Arial" w:eastAsia="Arial" w:hAnsi="Arial"/>
          <w:color w:val="2E2E2E"/>
          <w:sz w:val="20"/>
          <w:szCs w:val="20"/>
        </w:rPr>
        <w:t xml:space="preserve">This policy applies without exception to:</w:t>
      </w:r>
    </w:p>
    <w:p>
      <w:pPr>
        <w:pStyle w:val="ListParagraph"/>
        <w:numPr>
          <w:ilvl w:val="0"/>
          <w:numId w:val="2"/>
        </w:numPr>
        <w:spacing w:before="40" w:after="40"/>
      </w:pPr>
      <w:r>
        <w:rPr>
          <w:rFonts w:ascii="Arial" w:cs="Arial" w:eastAsia="Arial" w:hAnsi="Arial"/>
          <w:color w:val="2E2E2E"/>
          <w:sz w:val="20"/>
          <w:szCs w:val="20"/>
        </w:rPr>
        <w:t xml:space="preserve">All HBL employees including permanent, contractual, part-time, seconded, and temporary staff</w:t>
      </w:r>
    </w:p>
    <w:p>
      <w:pPr>
        <w:pStyle w:val="ListParagraph"/>
        <w:numPr>
          <w:ilvl w:val="0"/>
          <w:numId w:val="2"/>
        </w:numPr>
        <w:spacing w:before="40" w:after="40"/>
      </w:pPr>
      <w:r>
        <w:rPr>
          <w:rFonts w:ascii="Arial" w:cs="Arial" w:eastAsia="Arial" w:hAnsi="Arial"/>
          <w:color w:val="2E2E2E"/>
          <w:sz w:val="20"/>
          <w:szCs w:val="20"/>
        </w:rPr>
        <w:t xml:space="preserve">All business units, departments, branches, and representative offices domestically and internationally</w:t>
      </w:r>
    </w:p>
    <w:p>
      <w:pPr>
        <w:pStyle w:val="ListParagraph"/>
        <w:numPr>
          <w:ilvl w:val="0"/>
          <w:numId w:val="2"/>
        </w:numPr>
        <w:spacing w:before="40" w:after="40"/>
      </w:pPr>
      <w:r>
        <w:rPr>
          <w:rFonts w:ascii="Arial" w:cs="Arial" w:eastAsia="Arial" w:hAnsi="Arial"/>
          <w:color w:val="2E2E2E"/>
          <w:sz w:val="20"/>
          <w:szCs w:val="20"/>
        </w:rPr>
        <w:t xml:space="preserve">All products and services including loans, deposits, remittances, trade finance, cards, and digital banking</w:t>
      </w:r>
    </w:p>
    <w:p>
      <w:pPr>
        <w:pStyle w:val="ListParagraph"/>
        <w:numPr>
          <w:ilvl w:val="0"/>
          <w:numId w:val="2"/>
        </w:numPr>
        <w:spacing w:before="40" w:after="40"/>
      </w:pPr>
      <w:r>
        <w:rPr>
          <w:rFonts w:ascii="Arial" w:cs="Arial" w:eastAsia="Arial" w:hAnsi="Arial"/>
          <w:color w:val="2E2E2E"/>
          <w:sz w:val="20"/>
          <w:szCs w:val="20"/>
        </w:rPr>
        <w:t xml:space="preserve">Board members, directors, and senior management in their official capacities</w:t>
      </w:r>
    </w:p>
    <w:p>
      <w:pPr>
        <w:pStyle w:val="ListParagraph"/>
        <w:numPr>
          <w:ilvl w:val="0"/>
          <w:numId w:val="2"/>
        </w:numPr>
        <w:spacing w:before="40" w:after="40"/>
      </w:pPr>
      <w:r>
        <w:rPr>
          <w:rFonts w:ascii="Arial" w:cs="Arial" w:eastAsia="Arial" w:hAnsi="Arial"/>
          <w:color w:val="2E2E2E"/>
          <w:sz w:val="20"/>
          <w:szCs w:val="20"/>
        </w:rPr>
        <w:t xml:space="preserve">Third-party agents, business correspondents, and outsourced service providers acting on behalf of HBL</w:t>
      </w:r>
    </w:p>
    <w:p>
      <w:pPr>
        <w:pStyle w:val="ListParagraph"/>
        <w:numPr>
          <w:ilvl w:val="0"/>
          <w:numId w:val="2"/>
        </w:numPr>
        <w:spacing w:before="40" w:after="40"/>
      </w:pPr>
      <w:r>
        <w:rPr>
          <w:rFonts w:ascii="Arial" w:cs="Arial" w:eastAsia="Arial" w:hAnsi="Arial"/>
          <w:color w:val="2E2E2E"/>
          <w:sz w:val="20"/>
          <w:szCs w:val="20"/>
        </w:rPr>
        <w:t xml:space="preserve">All customers, prospective customers, counterparties, and related parties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1.3 Regulatory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Regulation / Law</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Issuing Authority</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Key Obligation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Anti-Money Laundering Act, 2010 (as amended 2020)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Government of Pakistan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Primary AML/CFT legislation; defines offences and penalties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AML/CFT Regulations, 2020</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State Bank of Pakistan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Prudential regulations, CDD, record-keeping, STR/CTR obligations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Anti-Terrorism Act, 1997 (as amended)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Government of Pakistan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Prohibition on terrorist financing and asset freezing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FATF 40 Recommendations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Financial Action Task Force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International AML/CFT standards and risk-based approach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UN Security Council Resolutions 1267, 1373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United Nations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Targeted financial sanctions and asset freezing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National Action Plan (NAP) 2018-2023</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Government of Pakistan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National AML/CFT strategy and sectoral action 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Financial Monitoring Unit (FMU) Guidelines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FMU Pakistan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STR/CTR filing format and timelines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SBP BPRD Circular No. 08 of 2021</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State Bank of Pakistan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Enhanced due diligence for high-risk customers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SECP AML/CFT Regulations, 2018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Securities &amp; Exchange Commission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Securities sector-specific AML requirements</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1.4 Key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Money Laundering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The process of concealing the origins of illegally obtained money through placement, layering, and integration into the legitimate financial system.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Terrorist Financing (TF)</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Provision or collection of funds knowing they will be used to carry out terrorist acts or to support terrorist organizations.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Know Your Customer (KYC)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The process of verifying customer identity, understanding business activities, and assessing associated ML/TF risks before and during a relationship.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Customer Due Diligence (CDD)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Measures to identify customers, verify identity, understand business relationships, and assess risk of ML/TF.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Enhanced Due Diligence (EDD)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Additional scrutiny applied to higher-risk customers, relationships, or transactions.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Simplified Due Diligence (SDD)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Reduced CDD measures applicable to demonstrably low-risk customers per SBP guidelines.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Beneficial Owner (BO)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The natural person(s) who ultimately own or control a customer or on whose behalf a transaction is conducted (threshold: 25%+ ownership or effective control).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Politically Exposed Person (PEP)</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Individuals entrusted with prominent public functions and their family members and known close associates.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Suspicious Transaction Report (STR)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Mandatory report to FMU when a transaction is suspected to involve ML or TF.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Currency Transaction Report (CTR)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Mandatory report to FMU for all cash transactions exceeding PKR 2,500,000 or foreign currency equivalent.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Tipping Off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Disclosing to a customer that an STR has been or may be filed — a criminal offence under Pakistan law.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Shell Company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Legal entity with no significant assets, operations, or employees; commonly used to obscure beneficial ownership.</w:t>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2. GOVERNANCE AND ACCOUNTABILITY STRUCTURE</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2.1 Board of Directors</w:t>
      </w:r>
    </w:p>
    <w:p>
      <w:pPr>
        <w:spacing w:before="60" w:after="80"/>
      </w:pPr>
      <w:r>
        <w:rPr>
          <w:rFonts w:ascii="Arial" w:cs="Arial" w:eastAsia="Arial" w:hAnsi="Arial"/>
          <w:color w:val="2E2E2E"/>
          <w:sz w:val="20"/>
          <w:szCs w:val="20"/>
        </w:rPr>
        <w:t xml:space="preserve">The Board of Directors bears ultimate responsibility for HBL's AML/CFT compliance culture and program. The Board shall:</w:t>
      </w:r>
    </w:p>
    <w:p>
      <w:pPr>
        <w:pStyle w:val="ListParagraph"/>
        <w:numPr>
          <w:ilvl w:val="0"/>
          <w:numId w:val="3"/>
        </w:numPr>
        <w:spacing w:before="40" w:after="40"/>
      </w:pPr>
      <w:r>
        <w:rPr>
          <w:rFonts w:ascii="Arial" w:cs="Arial" w:eastAsia="Arial" w:hAnsi="Arial"/>
          <w:color w:val="2E2E2E"/>
          <w:sz w:val="20"/>
          <w:szCs w:val="20"/>
        </w:rPr>
        <w:t xml:space="preserve">Approve this AML/KYC Policy and any material amendments on an annual basis or as required by regulatory changes</w:t>
      </w:r>
    </w:p>
    <w:p>
      <w:pPr>
        <w:pStyle w:val="ListParagraph"/>
        <w:numPr>
          <w:ilvl w:val="0"/>
          <w:numId w:val="3"/>
        </w:numPr>
        <w:spacing w:before="40" w:after="40"/>
      </w:pPr>
      <w:r>
        <w:rPr>
          <w:rFonts w:ascii="Arial" w:cs="Arial" w:eastAsia="Arial" w:hAnsi="Arial"/>
          <w:color w:val="2E2E2E"/>
          <w:sz w:val="20"/>
          <w:szCs w:val="20"/>
        </w:rPr>
        <w:t xml:space="preserve">Ensure adequate budgetary and human resources are allocated to the Compliance function</w:t>
      </w:r>
    </w:p>
    <w:p>
      <w:pPr>
        <w:pStyle w:val="ListParagraph"/>
        <w:numPr>
          <w:ilvl w:val="0"/>
          <w:numId w:val="3"/>
        </w:numPr>
        <w:spacing w:before="40" w:after="40"/>
      </w:pPr>
      <w:r>
        <w:rPr>
          <w:rFonts w:ascii="Arial" w:cs="Arial" w:eastAsia="Arial" w:hAnsi="Arial"/>
          <w:color w:val="2E2E2E"/>
          <w:sz w:val="20"/>
          <w:szCs w:val="20"/>
        </w:rPr>
        <w:t xml:space="preserve">Receive and review the Annual AML/CFT Compliance Report including STR trends, training metrics, and regulatory findings</w:t>
      </w:r>
    </w:p>
    <w:p>
      <w:pPr>
        <w:pStyle w:val="ListParagraph"/>
        <w:numPr>
          <w:ilvl w:val="0"/>
          <w:numId w:val="3"/>
        </w:numPr>
        <w:spacing w:before="40" w:after="40"/>
      </w:pPr>
      <w:r>
        <w:rPr>
          <w:rFonts w:ascii="Arial" w:cs="Arial" w:eastAsia="Arial" w:hAnsi="Arial"/>
          <w:color w:val="2E2E2E"/>
          <w:sz w:val="20"/>
          <w:szCs w:val="20"/>
        </w:rPr>
        <w:t xml:space="preserve">Oversee the AML/CFT program through the Board Risk &amp; Compliance Committee (BRCC)</w:t>
      </w:r>
    </w:p>
    <w:p>
      <w:pPr>
        <w:pStyle w:val="ListParagraph"/>
        <w:numPr>
          <w:ilvl w:val="0"/>
          <w:numId w:val="3"/>
        </w:numPr>
        <w:spacing w:before="40" w:after="40"/>
      </w:pPr>
      <w:r>
        <w:rPr>
          <w:rFonts w:ascii="Arial" w:cs="Arial" w:eastAsia="Arial" w:hAnsi="Arial"/>
          <w:color w:val="2E2E2E"/>
          <w:sz w:val="20"/>
          <w:szCs w:val="20"/>
        </w:rPr>
        <w:t xml:space="preserve">Foster a culture of compliance throughout the organization from the top down</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2.2 Board Risk &amp; Compliance Committee (BRCC)</w:t>
      </w:r>
    </w:p>
    <w:p>
      <w:pPr>
        <w:spacing w:before="60" w:after="80"/>
      </w:pPr>
      <w:r>
        <w:rPr>
          <w:rFonts w:ascii="Arial" w:cs="Arial" w:eastAsia="Arial" w:hAnsi="Arial"/>
          <w:color w:val="2E2E2E"/>
          <w:sz w:val="20"/>
          <w:szCs w:val="20"/>
        </w:rPr>
        <w:t xml:space="preserve">The BRCC is a dedicated Board-level committee meeting quarterly with the following responsibilities:</w:t>
      </w:r>
    </w:p>
    <w:p>
      <w:pPr>
        <w:pStyle w:val="ListParagraph"/>
        <w:numPr>
          <w:ilvl w:val="0"/>
          <w:numId w:val="2"/>
        </w:numPr>
        <w:spacing w:before="40" w:after="40"/>
      </w:pPr>
      <w:r>
        <w:rPr>
          <w:rFonts w:ascii="Arial" w:cs="Arial" w:eastAsia="Arial" w:hAnsi="Arial"/>
          <w:color w:val="2E2E2E"/>
          <w:sz w:val="20"/>
          <w:szCs w:val="20"/>
        </w:rPr>
        <w:t xml:space="preserve">Review and recommend the AML/CFT Policy to the Board for final approval</w:t>
      </w:r>
    </w:p>
    <w:p>
      <w:pPr>
        <w:pStyle w:val="ListParagraph"/>
        <w:numPr>
          <w:ilvl w:val="0"/>
          <w:numId w:val="2"/>
        </w:numPr>
        <w:spacing w:before="40" w:after="40"/>
      </w:pPr>
      <w:r>
        <w:rPr>
          <w:rFonts w:ascii="Arial" w:cs="Arial" w:eastAsia="Arial" w:hAnsi="Arial"/>
          <w:color w:val="2E2E2E"/>
          <w:sz w:val="20"/>
          <w:szCs w:val="20"/>
        </w:rPr>
        <w:t xml:space="preserve">Review quarterly compliance dashboards including STR volumes, CTR statistics, training completion rates, and regulatory changes</w:t>
      </w:r>
    </w:p>
    <w:p>
      <w:pPr>
        <w:pStyle w:val="ListParagraph"/>
        <w:numPr>
          <w:ilvl w:val="0"/>
          <w:numId w:val="2"/>
        </w:numPr>
        <w:spacing w:before="40" w:after="40"/>
      </w:pPr>
      <w:r>
        <w:rPr>
          <w:rFonts w:ascii="Arial" w:cs="Arial" w:eastAsia="Arial" w:hAnsi="Arial"/>
          <w:color w:val="2E2E2E"/>
          <w:sz w:val="20"/>
          <w:szCs w:val="20"/>
        </w:rPr>
        <w:t xml:space="preserve">Oversee the adequacy and effectiveness of AML/CFT internal controls</w:t>
      </w:r>
    </w:p>
    <w:p>
      <w:pPr>
        <w:pStyle w:val="ListParagraph"/>
        <w:numPr>
          <w:ilvl w:val="0"/>
          <w:numId w:val="2"/>
        </w:numPr>
        <w:spacing w:before="40" w:after="40"/>
      </w:pPr>
      <w:r>
        <w:rPr>
          <w:rFonts w:ascii="Arial" w:cs="Arial" w:eastAsia="Arial" w:hAnsi="Arial"/>
          <w:color w:val="2E2E2E"/>
          <w:sz w:val="20"/>
          <w:szCs w:val="20"/>
        </w:rPr>
        <w:t xml:space="preserve">Review significant regulatory findings, enforcement actions, and management action plans</w:t>
      </w:r>
    </w:p>
    <w:p>
      <w:pPr>
        <w:pStyle w:val="ListParagraph"/>
        <w:numPr>
          <w:ilvl w:val="0"/>
          <w:numId w:val="2"/>
        </w:numPr>
        <w:spacing w:before="40" w:after="40"/>
      </w:pPr>
      <w:r>
        <w:rPr>
          <w:rFonts w:ascii="Arial" w:cs="Arial" w:eastAsia="Arial" w:hAnsi="Arial"/>
          <w:color w:val="2E2E2E"/>
          <w:sz w:val="20"/>
          <w:szCs w:val="20"/>
        </w:rPr>
        <w:t xml:space="preserve">Approve AML/CFT risk appetite statements and tolerance thresholds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2.3 Chief Compliance Officer (CCO)</w:t>
      </w:r>
    </w:p>
    <w:p>
      <w:pPr>
        <w:spacing w:before="60" w:after="80"/>
      </w:pPr>
      <w:r>
        <w:rPr>
          <w:rFonts w:ascii="Arial" w:cs="Arial" w:eastAsia="Arial" w:hAnsi="Arial"/>
          <w:color w:val="2E2E2E"/>
          <w:sz w:val="20"/>
          <w:szCs w:val="20"/>
        </w:rPr>
        <w:t xml:space="preserve">The CCO is HBL's designated AML/CFT Compliance Officer per SBP requirements. Key responsibilities include:</w:t>
      </w:r>
    </w:p>
    <w:p>
      <w:pPr>
        <w:pStyle w:val="ListParagraph"/>
        <w:numPr>
          <w:ilvl w:val="0"/>
          <w:numId w:val="2"/>
        </w:numPr>
        <w:spacing w:before="40" w:after="40"/>
      </w:pPr>
      <w:r>
        <w:rPr>
          <w:rFonts w:ascii="Arial" w:cs="Arial" w:eastAsia="Arial" w:hAnsi="Arial"/>
          <w:color w:val="2E2E2E"/>
          <w:sz w:val="20"/>
          <w:szCs w:val="20"/>
        </w:rPr>
        <w:t xml:space="preserve">Designing, implementing, and maintaining the enterprise-wide AML/CFT program</w:t>
      </w:r>
    </w:p>
    <w:p>
      <w:pPr>
        <w:pStyle w:val="ListParagraph"/>
        <w:numPr>
          <w:ilvl w:val="0"/>
          <w:numId w:val="2"/>
        </w:numPr>
        <w:spacing w:before="40" w:after="40"/>
      </w:pPr>
      <w:r>
        <w:rPr>
          <w:rFonts w:ascii="Arial" w:cs="Arial" w:eastAsia="Arial" w:hAnsi="Arial"/>
          <w:color w:val="2E2E2E"/>
          <w:sz w:val="20"/>
          <w:szCs w:val="20"/>
        </w:rPr>
        <w:t xml:space="preserve">Reporting directly to the President &amp; CEO and the BRCC on all material AML/CFT matters</w:t>
      </w:r>
    </w:p>
    <w:p>
      <w:pPr>
        <w:pStyle w:val="ListParagraph"/>
        <w:numPr>
          <w:ilvl w:val="0"/>
          <w:numId w:val="2"/>
        </w:numPr>
        <w:spacing w:before="40" w:after="40"/>
      </w:pPr>
      <w:r>
        <w:rPr>
          <w:rFonts w:ascii="Arial" w:cs="Arial" w:eastAsia="Arial" w:hAnsi="Arial"/>
          <w:color w:val="2E2E2E"/>
          <w:sz w:val="20"/>
          <w:szCs w:val="20"/>
        </w:rPr>
        <w:t xml:space="preserve">Reviewing and approving all STRs prior to filing with FMU — minimum within 5 working days of transaction date</w:t>
      </w:r>
    </w:p>
    <w:p>
      <w:pPr>
        <w:pStyle w:val="ListParagraph"/>
        <w:numPr>
          <w:ilvl w:val="0"/>
          <w:numId w:val="2"/>
        </w:numPr>
        <w:spacing w:before="40" w:after="40"/>
      </w:pPr>
      <w:r>
        <w:rPr>
          <w:rFonts w:ascii="Arial" w:cs="Arial" w:eastAsia="Arial" w:hAnsi="Arial"/>
          <w:color w:val="2E2E2E"/>
          <w:sz w:val="20"/>
          <w:szCs w:val="20"/>
        </w:rPr>
        <w:t xml:space="preserve">Acting as primary liaison with SBP, FMU, FBR, SECP, and law enforcement agencies</w:t>
      </w:r>
    </w:p>
    <w:p>
      <w:pPr>
        <w:pStyle w:val="ListParagraph"/>
        <w:numPr>
          <w:ilvl w:val="0"/>
          <w:numId w:val="2"/>
        </w:numPr>
        <w:spacing w:before="40" w:after="40"/>
      </w:pPr>
      <w:r>
        <w:rPr>
          <w:rFonts w:ascii="Arial" w:cs="Arial" w:eastAsia="Arial" w:hAnsi="Arial"/>
          <w:color w:val="2E2E2E"/>
          <w:sz w:val="20"/>
          <w:szCs w:val="20"/>
        </w:rPr>
        <w:t xml:space="preserve">Ensuring timely and accurate filing of CTRs (within 7 working days of the transaction)</w:t>
      </w:r>
    </w:p>
    <w:p>
      <w:pPr>
        <w:pStyle w:val="ListParagraph"/>
        <w:numPr>
          <w:ilvl w:val="0"/>
          <w:numId w:val="2"/>
        </w:numPr>
        <w:spacing w:before="40" w:after="40"/>
      </w:pPr>
      <w:r>
        <w:rPr>
          <w:rFonts w:ascii="Arial" w:cs="Arial" w:eastAsia="Arial" w:hAnsi="Arial"/>
          <w:color w:val="2E2E2E"/>
          <w:sz w:val="20"/>
          <w:szCs w:val="20"/>
        </w:rPr>
        <w:t xml:space="preserve">Overseeing and continuously improving AML/CFT training programs</w:t>
      </w:r>
    </w:p>
    <w:p>
      <w:pPr>
        <w:pStyle w:val="ListParagraph"/>
        <w:numPr>
          <w:ilvl w:val="0"/>
          <w:numId w:val="2"/>
        </w:numPr>
        <w:spacing w:before="40" w:after="40"/>
      </w:pPr>
      <w:r>
        <w:rPr>
          <w:rFonts w:ascii="Arial" w:cs="Arial" w:eastAsia="Arial" w:hAnsi="Arial"/>
          <w:color w:val="2E2E2E"/>
          <w:sz w:val="20"/>
          <w:szCs w:val="20"/>
        </w:rPr>
        <w:t xml:space="preserve">Escalating material compliance failures to the BRCC and Board as appropriate</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2.4 Three Lines of 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Line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Primary Responsibilities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1st 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Business Units, Relationship Managers, Branch Operations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Risk ownership; KYC data collection; customer onboarding; transaction monitoring alert review; CDD/EDD execution; escalation of suspicious activity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2nd Line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Compliance &amp; Risk Management (CCO's team)</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Policy-setting; independent oversight; monitoring; STR review and filing; regulatory reporting; AML/CFT training; sanctions screening oversight; risk assessment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3rd 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Internal Audit (Group Audit)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Independent assurance on AML/CFT controls; audit program; findings and management action plan tracking; regulatory exam preparation</w:t>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3. CUSTOMER DUE DILIGENCE (CDD) FRAMEWORK</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3.1 Customer Identification Program (CIP)</w:t>
      </w:r>
    </w:p>
    <w:p>
      <w:pPr>
        <w:spacing w:before="60" w:after="80"/>
      </w:pPr>
      <w:r>
        <w:rPr>
          <w:rFonts w:ascii="Arial" w:cs="Arial" w:eastAsia="Arial" w:hAnsi="Arial"/>
          <w:color w:val="2E2E2E"/>
          <w:sz w:val="20"/>
          <w:szCs w:val="20"/>
        </w:rPr>
        <w:t xml:space="preserve">HBL must establish the identity of all customers prior to establishing any business relationship or executing any transaction. The following minimum information must be collected and verified:</w:t>
      </w:r>
    </w:p>
    <w:p>
      <w:pPr>
        <w:spacing w:before="60" w:after="60"/>
      </w:pPr>
      <w:r>
        <w:t xml:space="preserve"/>
      </w:r>
    </w:p>
    <w:p>
      <w:pPr>
        <w:pStyle w:val="Heading3"/>
        <w:spacing w:before="200" w:after="80"/>
      </w:pPr>
      <w:r>
        <w:rPr>
          <w:rFonts w:ascii="Arial" w:cs="Arial" w:eastAsia="Arial" w:hAnsi="Arial"/>
          <w:b/>
          <w:bCs/>
          <w:color w:val="2E2E2E"/>
          <w:sz w:val="22"/>
          <w:szCs w:val="22"/>
        </w:rPr>
        <w:t xml:space="preserve">3.1.1 Individual Customers — Pakistani Nationals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Information Required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Acceptable Verification Document</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 legal 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Computerized National Identity Card (CNIC)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Biometric verification via NADRA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CNIC number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CNIC (original presented)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Cross-check against NADRA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Date of birth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CNIC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Automated NADRA Verisys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Current residential address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Utility bill (not older than 3 months) or bank statement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Physical document review + system check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Contact number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Self-declared; verified via OTP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OTP confirmation via registered mobile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Occupation / Employer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Employment letter / Business registration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Documentary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Source of funds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Pay slips / Tax returns / Business financials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Documentary review and risk assessment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Next of kin / nominee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Self-declared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Signature + declaration form</w:t>
            </w:r>
          </w:p>
        </w:tc>
      </w:tr>
    </w:tbl>
    <w:p>
      <w:pPr>
        <w:spacing w:before="60" w:after="60"/>
      </w:pPr>
      <w:r>
        <w:t xml:space="preserve"/>
      </w:r>
    </w:p>
    <w:p>
      <w:pPr>
        <w:pStyle w:val="Heading3"/>
        <w:spacing w:before="200" w:after="80"/>
      </w:pPr>
      <w:r>
        <w:rPr>
          <w:rFonts w:ascii="Arial" w:cs="Arial" w:eastAsia="Arial" w:hAnsi="Arial"/>
          <w:b/>
          <w:bCs/>
          <w:color w:val="2E2E2E"/>
          <w:sz w:val="22"/>
          <w:szCs w:val="22"/>
        </w:rPr>
        <w:t xml:space="preserve">3.1.2 Individual Customers — Foreign Nationals / Non-Resident Pakistanis (NRPs)</w:t>
      </w:r>
    </w:p>
    <w:p>
      <w:pPr>
        <w:pStyle w:val="ListParagraph"/>
        <w:numPr>
          <w:ilvl w:val="0"/>
          <w:numId w:val="2"/>
        </w:numPr>
        <w:spacing w:before="40" w:after="40"/>
      </w:pPr>
      <w:r>
        <w:rPr>
          <w:rFonts w:ascii="Arial" w:cs="Arial" w:eastAsia="Arial" w:hAnsi="Arial"/>
          <w:color w:val="2E2E2E"/>
          <w:sz w:val="20"/>
          <w:szCs w:val="20"/>
        </w:rPr>
        <w:t xml:space="preserve">Valid Passport (with photograph page and entry/residence visa)</w:t>
      </w:r>
    </w:p>
    <w:p>
      <w:pPr>
        <w:pStyle w:val="ListParagraph"/>
        <w:numPr>
          <w:ilvl w:val="0"/>
          <w:numId w:val="2"/>
        </w:numPr>
        <w:spacing w:before="40" w:after="40"/>
      </w:pPr>
      <w:r>
        <w:rPr>
          <w:rFonts w:ascii="Arial" w:cs="Arial" w:eastAsia="Arial" w:hAnsi="Arial"/>
          <w:color w:val="2E2E2E"/>
          <w:sz w:val="20"/>
          <w:szCs w:val="20"/>
        </w:rPr>
        <w:t xml:space="preserve">National Identity Card for Overseas Pakistanis (NICOP) for NRPs</w:t>
      </w:r>
    </w:p>
    <w:p>
      <w:pPr>
        <w:pStyle w:val="ListParagraph"/>
        <w:numPr>
          <w:ilvl w:val="0"/>
          <w:numId w:val="2"/>
        </w:numPr>
        <w:spacing w:before="40" w:after="40"/>
      </w:pPr>
      <w:r>
        <w:rPr>
          <w:rFonts w:ascii="Arial" w:cs="Arial" w:eastAsia="Arial" w:hAnsi="Arial"/>
          <w:color w:val="2E2E2E"/>
          <w:sz w:val="20"/>
          <w:szCs w:val="20"/>
        </w:rPr>
        <w:t xml:space="preserve">Proof of residential address in country of residence (utility bill or bank statement not older than 3 months)</w:t>
      </w:r>
    </w:p>
    <w:p>
      <w:pPr>
        <w:pStyle w:val="ListParagraph"/>
        <w:numPr>
          <w:ilvl w:val="0"/>
          <w:numId w:val="2"/>
        </w:numPr>
        <w:spacing w:before="40" w:after="40"/>
      </w:pPr>
      <w:r>
        <w:rPr>
          <w:rFonts w:ascii="Arial" w:cs="Arial" w:eastAsia="Arial" w:hAnsi="Arial"/>
          <w:color w:val="2E2E2E"/>
          <w:sz w:val="20"/>
          <w:szCs w:val="20"/>
        </w:rPr>
        <w:t xml:space="preserve">Source of funds documentation — overseas employment contract, business ownership documents, or remittance history</w:t>
      </w:r>
    </w:p>
    <w:p>
      <w:pPr>
        <w:pStyle w:val="ListParagraph"/>
        <w:numPr>
          <w:ilvl w:val="0"/>
          <w:numId w:val="2"/>
        </w:numPr>
        <w:spacing w:before="40" w:after="40"/>
      </w:pPr>
      <w:r>
        <w:rPr>
          <w:rFonts w:ascii="Arial" w:cs="Arial" w:eastAsia="Arial" w:hAnsi="Arial"/>
          <w:color w:val="2E2E2E"/>
          <w:sz w:val="20"/>
          <w:szCs w:val="20"/>
        </w:rPr>
        <w:t xml:space="preserve">Enhanced scrutiny required for nationals of FATF high-risk jurisdictions — refer to EDD procedure HBL-EDD-003</w:t>
      </w:r>
    </w:p>
    <w:p>
      <w:pPr>
        <w:spacing w:before="60" w:after="60"/>
      </w:pPr>
      <w:r>
        <w:t xml:space="preserve"/>
      </w:r>
    </w:p>
    <w:p>
      <w:pPr>
        <w:pStyle w:val="Heading3"/>
        <w:spacing w:before="200" w:after="80"/>
      </w:pPr>
      <w:r>
        <w:rPr>
          <w:rFonts w:ascii="Arial" w:cs="Arial" w:eastAsia="Arial" w:hAnsi="Arial"/>
          <w:b/>
          <w:bCs/>
          <w:color w:val="2E2E2E"/>
          <w:sz w:val="22"/>
          <w:szCs w:val="22"/>
        </w:rPr>
        <w:t xml:space="preserve">3.1.3 Corporate / Legal Entity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Information Required</w:t>
            </w:r>
          </w:p>
        </w:tc>
        <w:tc>
          <w:tcPr>
            <w:tcW w:type="dxa" w:w="5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Acceptable Document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 legal name of entity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Certificate of Incorporation (SECP)</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Registration / NTN number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SECP registration certificate + FBR NTN certificate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Registered office address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SECP filing or utility bill of registered address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Principal place of business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Latest audited financial statements or site visit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Nature of business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Business profile, website, trade associations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Ownership structure (up to 25% threshold)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Shareholding register, memorandum &amp; articles of association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Identity of all beneficial owners (&gt;25%)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CNIC / Passport of each BO with biometric verification</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Identity of authorized signatories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CNIC + specimen signatures + Board resolution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Latest audited financial statements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Audited accounts (not older than 18 months)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Source of funds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Audited accounts, bank statements, or business contracts</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3.2 Customer Risk Classification</w:t>
      </w:r>
    </w:p>
    <w:p>
      <w:pPr>
        <w:spacing w:before="60" w:after="80"/>
      </w:pPr>
      <w:r>
        <w:rPr>
          <w:rFonts w:ascii="Arial" w:cs="Arial" w:eastAsia="Arial" w:hAnsi="Arial"/>
          <w:color w:val="2E2E2E"/>
          <w:sz w:val="20"/>
          <w:szCs w:val="20"/>
        </w:rPr>
        <w:t xml:space="preserve">HBL employs a risk-based approach. All customers are assigned a risk rating at onboarding and re-assessed periodically: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1800"/>
        <w:gridCol w:w="290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Risk Category</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Criteria</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CDD Level</w:t>
            </w:r>
          </w:p>
        </w:tc>
        <w:tc>
          <w:tcPr>
            <w:tcW w:type="dxa" w:w="2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Review Frequency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Low Risk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Salaried employees of verified employers, government pensioners, small businesses with local operations, transactions consistent with 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Standard CDD (SDD eligible per SBP)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Every 3 years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 Risk</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Self-employed, SMEs, NGOs, customers in moderately elevated risk sectors, minor adverse media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Standard CDD</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Annually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 Risk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PEPs, cash-intensive businesses, customers from high-risk jurisdictions, complex ownership structures, non-profit organizations, customers with prior STR 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Enhanced Due Diligence (EDD)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Every 6 months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Prohibited / Restricted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Listed terrorists (UNSC, NACTA, FMU lists), customers from FATF blacklisted countries, shell banks, entities subject to SBP/Government sanctions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Account not to be opened / immediately frozen</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Immediate escalation to CCO</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3.3 Enhanced Due Diligence (EDD)</w:t>
      </w:r>
    </w:p>
    <w:p>
      <w:pPr>
        <w:spacing w:before="60" w:after="80"/>
      </w:pPr>
      <w:r>
        <w:rPr>
          <w:rFonts w:ascii="Arial" w:cs="Arial" w:eastAsia="Arial" w:hAnsi="Arial"/>
          <w:color w:val="2E2E2E"/>
          <w:sz w:val="20"/>
          <w:szCs w:val="20"/>
        </w:rPr>
        <w:t xml:space="preserve">EDD shall be mandatory for all high-risk customers and the following specific categories:</w:t>
      </w:r>
    </w:p>
    <w:p>
      <w:pPr>
        <w:spacing w:before="60" w:after="60"/>
      </w:pPr>
      <w:r>
        <w:t xml:space="preserve"/>
      </w:r>
    </w:p>
    <w:p>
      <w:pPr>
        <w:pStyle w:val="Heading3"/>
        <w:spacing w:before="200" w:after="80"/>
      </w:pPr>
      <w:r>
        <w:rPr>
          <w:rFonts w:ascii="Arial" w:cs="Arial" w:eastAsia="Arial" w:hAnsi="Arial"/>
          <w:b/>
          <w:bCs/>
          <w:color w:val="2E2E2E"/>
          <w:sz w:val="22"/>
          <w:szCs w:val="22"/>
        </w:rPr>
        <w:t xml:space="preserve">3.3.1 Politically Exposed Persons (PEPs)</w:t>
      </w:r>
    </w:p>
    <w:p>
      <w:pPr>
        <w:pStyle w:val="ListParagraph"/>
        <w:numPr>
          <w:ilvl w:val="0"/>
          <w:numId w:val="2"/>
        </w:numPr>
        <w:spacing w:before="40" w:after="40"/>
      </w:pPr>
      <w:r>
        <w:rPr>
          <w:rFonts w:ascii="Arial" w:cs="Arial" w:eastAsia="Arial" w:hAnsi="Arial"/>
          <w:color w:val="2E2E2E"/>
          <w:sz w:val="20"/>
          <w:szCs w:val="20"/>
        </w:rPr>
        <w:t xml:space="preserve">Domestic PEPs: Senior government officials, military officers (BPS-20 and above), judges of superior courts, senior SBP officials, chairpersons/CEOs of state-owned enterprises, and their immediate family members and known close associates</w:t>
      </w:r>
    </w:p>
    <w:p>
      <w:pPr>
        <w:pStyle w:val="ListParagraph"/>
        <w:numPr>
          <w:ilvl w:val="0"/>
          <w:numId w:val="2"/>
        </w:numPr>
        <w:spacing w:before="40" w:after="40"/>
      </w:pPr>
      <w:r>
        <w:rPr>
          <w:rFonts w:ascii="Arial" w:cs="Arial" w:eastAsia="Arial" w:hAnsi="Arial"/>
          <w:color w:val="2E2E2E"/>
          <w:sz w:val="20"/>
          <w:szCs w:val="20"/>
        </w:rPr>
        <w:t xml:space="preserve">Foreign PEPs: Heads of state, senior politicians, senior government officials, senior judicial/military officials from foreign countries, and senior executives of international organizations</w:t>
      </w:r>
    </w:p>
    <w:p>
      <w:pPr>
        <w:pStyle w:val="ListParagraph"/>
        <w:numPr>
          <w:ilvl w:val="0"/>
          <w:numId w:val="2"/>
        </w:numPr>
        <w:spacing w:before="40" w:after="40"/>
      </w:pPr>
      <w:r>
        <w:rPr>
          <w:rFonts w:ascii="Arial" w:cs="Arial" w:eastAsia="Arial" w:hAnsi="Arial"/>
          <w:color w:val="2E2E2E"/>
          <w:sz w:val="20"/>
          <w:szCs w:val="20"/>
        </w:rPr>
        <w:t xml:space="preserve">EDD Requirements for PEPs:</w:t>
      </w:r>
    </w:p>
    <w:p>
      <w:pPr>
        <w:pStyle w:val="ListParagraph"/>
        <w:numPr>
          <w:ilvl w:val="1"/>
          <w:numId w:val="2"/>
        </w:numPr>
        <w:spacing w:before="40" w:after="40"/>
      </w:pPr>
      <w:r>
        <w:rPr>
          <w:rFonts w:ascii="Arial" w:cs="Arial" w:eastAsia="Arial" w:hAnsi="Arial"/>
          <w:color w:val="2E2E2E"/>
          <w:sz w:val="20"/>
          <w:szCs w:val="20"/>
        </w:rPr>
        <w:t xml:space="preserve">Written approval from CCO required before account opening</w:t>
      </w:r>
    </w:p>
    <w:p>
      <w:pPr>
        <w:pStyle w:val="ListParagraph"/>
        <w:numPr>
          <w:ilvl w:val="1"/>
          <w:numId w:val="2"/>
        </w:numPr>
        <w:spacing w:before="40" w:after="40"/>
      </w:pPr>
      <w:r>
        <w:rPr>
          <w:rFonts w:ascii="Arial" w:cs="Arial" w:eastAsia="Arial" w:hAnsi="Arial"/>
          <w:color w:val="2E2E2E"/>
          <w:sz w:val="20"/>
          <w:szCs w:val="20"/>
        </w:rPr>
        <w:t xml:space="preserve">Full source of wealth and source of funds documentation</w:t>
      </w:r>
    </w:p>
    <w:p>
      <w:pPr>
        <w:pStyle w:val="ListParagraph"/>
        <w:numPr>
          <w:ilvl w:val="1"/>
          <w:numId w:val="2"/>
        </w:numPr>
        <w:spacing w:before="40" w:after="40"/>
      </w:pPr>
      <w:r>
        <w:rPr>
          <w:rFonts w:ascii="Arial" w:cs="Arial" w:eastAsia="Arial" w:hAnsi="Arial"/>
          <w:color w:val="2E2E2E"/>
          <w:sz w:val="20"/>
          <w:szCs w:val="20"/>
        </w:rPr>
        <w:t xml:space="preserve">Ongoing monitoring at enhanced frequency (minimum quarterly account review)</w:t>
      </w:r>
    </w:p>
    <w:p>
      <w:pPr>
        <w:pStyle w:val="ListParagraph"/>
        <w:numPr>
          <w:ilvl w:val="1"/>
          <w:numId w:val="2"/>
        </w:numPr>
        <w:spacing w:before="40" w:after="40"/>
      </w:pPr>
      <w:r>
        <w:rPr>
          <w:rFonts w:ascii="Arial" w:cs="Arial" w:eastAsia="Arial" w:hAnsi="Arial"/>
          <w:color w:val="2E2E2E"/>
          <w:sz w:val="20"/>
          <w:szCs w:val="20"/>
        </w:rPr>
        <w:t xml:space="preserve">Senior Management approval (Country/Regional Head) required for relationships with foreign PEPs</w:t>
      </w:r>
    </w:p>
    <w:p>
      <w:pPr>
        <w:pStyle w:val="ListParagraph"/>
        <w:numPr>
          <w:ilvl w:val="1"/>
          <w:numId w:val="2"/>
        </w:numPr>
        <w:spacing w:before="40" w:after="40"/>
      </w:pPr>
      <w:r>
        <w:rPr>
          <w:rFonts w:ascii="Arial" w:cs="Arial" w:eastAsia="Arial" w:hAnsi="Arial"/>
          <w:color w:val="2E2E2E"/>
          <w:sz w:val="20"/>
          <w:szCs w:val="20"/>
        </w:rPr>
        <w:t xml:space="preserve">Annual BRCC reporting of all active PEP relationships</w:t>
      </w:r>
    </w:p>
    <w:p>
      <w:pPr>
        <w:spacing w:before="60" w:after="60"/>
      </w:pPr>
      <w:r>
        <w:t xml:space="preserve"/>
      </w:r>
    </w:p>
    <w:p>
      <w:pPr>
        <w:pStyle w:val="Heading3"/>
        <w:spacing w:before="200" w:after="80"/>
      </w:pPr>
      <w:r>
        <w:rPr>
          <w:rFonts w:ascii="Arial" w:cs="Arial" w:eastAsia="Arial" w:hAnsi="Arial"/>
          <w:b/>
          <w:bCs/>
          <w:color w:val="2E2E2E"/>
          <w:sz w:val="22"/>
          <w:szCs w:val="22"/>
        </w:rPr>
        <w:t xml:space="preserve">3.3.2 Correspondent Banking</w:t>
      </w:r>
    </w:p>
    <w:p>
      <w:pPr>
        <w:pStyle w:val="ListParagraph"/>
        <w:numPr>
          <w:ilvl w:val="0"/>
          <w:numId w:val="2"/>
        </w:numPr>
        <w:spacing w:before="40" w:after="40"/>
      </w:pPr>
      <w:r>
        <w:rPr>
          <w:rFonts w:ascii="Arial" w:cs="Arial" w:eastAsia="Arial" w:hAnsi="Arial"/>
          <w:color w:val="2E2E2E"/>
          <w:sz w:val="20"/>
          <w:szCs w:val="20"/>
        </w:rPr>
        <w:t xml:space="preserve">Assessment of the respondent bank's AML/CFT controls and regulatory standing prior to onboarding</w:t>
      </w:r>
    </w:p>
    <w:p>
      <w:pPr>
        <w:pStyle w:val="ListParagraph"/>
        <w:numPr>
          <w:ilvl w:val="0"/>
          <w:numId w:val="2"/>
        </w:numPr>
        <w:spacing w:before="40" w:after="40"/>
      </w:pPr>
      <w:r>
        <w:rPr>
          <w:rFonts w:ascii="Arial" w:cs="Arial" w:eastAsia="Arial" w:hAnsi="Arial"/>
          <w:color w:val="2E2E2E"/>
          <w:sz w:val="20"/>
          <w:szCs w:val="20"/>
        </w:rPr>
        <w:t xml:space="preserve">Obtain sufficient information to understand the nature of the respondent's business and assess its AML/CFT reputation</w:t>
      </w:r>
    </w:p>
    <w:p>
      <w:pPr>
        <w:pStyle w:val="ListParagraph"/>
        <w:numPr>
          <w:ilvl w:val="0"/>
          <w:numId w:val="2"/>
        </w:numPr>
        <w:spacing w:before="40" w:after="40"/>
      </w:pPr>
      <w:r>
        <w:rPr>
          <w:rFonts w:ascii="Arial" w:cs="Arial" w:eastAsia="Arial" w:hAnsi="Arial"/>
          <w:color w:val="2E2E2E"/>
          <w:sz w:val="20"/>
          <w:szCs w:val="20"/>
        </w:rPr>
        <w:t xml:space="preserve">Obtain approval from CCO and President &amp; CEO before establishing any new correspondent relationship</w:t>
      </w:r>
    </w:p>
    <w:p>
      <w:pPr>
        <w:pStyle w:val="ListParagraph"/>
        <w:numPr>
          <w:ilvl w:val="0"/>
          <w:numId w:val="2"/>
        </w:numPr>
        <w:spacing w:before="40" w:after="40"/>
      </w:pPr>
      <w:r>
        <w:rPr>
          <w:rFonts w:ascii="Arial" w:cs="Arial" w:eastAsia="Arial" w:hAnsi="Arial"/>
          <w:color w:val="2E2E2E"/>
          <w:sz w:val="20"/>
          <w:szCs w:val="20"/>
        </w:rPr>
        <w:t xml:space="preserve">Document clearly each party's AML/CFT responsibilities in a correspondent agreement</w:t>
      </w:r>
    </w:p>
    <w:p>
      <w:pPr>
        <w:pStyle w:val="ListParagraph"/>
        <w:numPr>
          <w:ilvl w:val="0"/>
          <w:numId w:val="2"/>
        </w:numPr>
        <w:spacing w:before="40" w:after="40"/>
      </w:pPr>
      <w:r>
        <w:rPr>
          <w:rFonts w:ascii="Arial" w:cs="Arial" w:eastAsia="Arial" w:hAnsi="Arial"/>
          <w:color w:val="2E2E2E"/>
          <w:sz w:val="20"/>
          <w:szCs w:val="20"/>
        </w:rPr>
        <w:t xml:space="preserve">Strictly prohibit payable-through accounts or nested correspondent relationships without explicit CCO approval</w:t>
      </w:r>
    </w:p>
    <w:p>
      <w:pPr>
        <w:pStyle w:val="ListParagraph"/>
        <w:numPr>
          <w:ilvl w:val="0"/>
          <w:numId w:val="2"/>
        </w:numPr>
        <w:spacing w:before="40" w:after="40"/>
      </w:pPr>
      <w:r>
        <w:rPr>
          <w:rFonts w:ascii="Arial" w:cs="Arial" w:eastAsia="Arial" w:hAnsi="Arial"/>
          <w:color w:val="2E2E2E"/>
          <w:sz w:val="20"/>
          <w:szCs w:val="20"/>
        </w:rPr>
        <w:t xml:space="preserve">Annual review of all correspondent bank relationships using updated due diligence</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3.4 Ongoing Due Diligence and Customer Review</w:t>
      </w:r>
    </w:p>
    <w:p>
      <w:pPr>
        <w:spacing w:before="60" w:after="80"/>
      </w:pPr>
      <w:r>
        <w:rPr>
          <w:rFonts w:ascii="Arial" w:cs="Arial" w:eastAsia="Arial" w:hAnsi="Arial"/>
          <w:color w:val="2E2E2E"/>
          <w:sz w:val="20"/>
          <w:szCs w:val="20"/>
        </w:rPr>
        <w:t xml:space="preserve">HBL conducts ongoing monitoring of all customer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60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Review Trigger</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Required Action</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Responsible Party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Scheduled periodic review (per risk category)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 KYC refresh with updated documents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Relationship Manager + Compliance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Transaction inconsistent with customer profile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Alert review, potential EDD upgrade, possible STR filing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Transaction Monitoring Unit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Adverse media or negative news article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Risk reassessment, potential relationship termination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Compliance Officer + Business Head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Customer appears on sanctions / watchlist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Immediate account freeze, OFAC/FMU notification, legal hold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Sanctions Screening Team + CCO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Change in customer's business or ownership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Updated KYC, new BO identification, risk re-rating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Relationship Manager + Compliance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Inactivity exceeding 12 months on high-risk accounts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 account review and enhanced monitoring activation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Branch / Business Unit</w:t>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4. SANCTIONS SCREENING AND WATCHLIST MANAGEMENT</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4.1 Sanctions Screening Obligations</w:t>
      </w:r>
    </w:p>
    <w:p>
      <w:pPr>
        <w:spacing w:before="60" w:after="80"/>
      </w:pPr>
      <w:r>
        <w:rPr>
          <w:rFonts w:ascii="Arial" w:cs="Arial" w:eastAsia="Arial" w:hAnsi="Arial"/>
          <w:color w:val="2E2E2E"/>
          <w:sz w:val="20"/>
          <w:szCs w:val="20"/>
        </w:rPr>
        <w:t xml:space="preserve">HBL is required to screen all customers, transactions, counterparties, and related parties against applicable sanctions lists. The following lists are maintained and updated in real-time in HBL's sanctions screening system:</w:t>
      </w:r>
    </w:p>
    <w:p>
      <w:pPr>
        <w:pStyle w:val="ListParagraph"/>
        <w:numPr>
          <w:ilvl w:val="0"/>
          <w:numId w:val="2"/>
        </w:numPr>
        <w:spacing w:before="40" w:after="40"/>
      </w:pPr>
      <w:r>
        <w:rPr>
          <w:rFonts w:ascii="Arial" w:cs="Arial" w:eastAsia="Arial" w:hAnsi="Arial"/>
          <w:color w:val="2E2E2E"/>
          <w:sz w:val="20"/>
          <w:szCs w:val="20"/>
        </w:rPr>
        <w:t xml:space="preserve">United Nations Security Council (UNSC) Consolidated Sanctions List</w:t>
      </w:r>
    </w:p>
    <w:p>
      <w:pPr>
        <w:pStyle w:val="ListParagraph"/>
        <w:numPr>
          <w:ilvl w:val="0"/>
          <w:numId w:val="2"/>
        </w:numPr>
        <w:spacing w:before="40" w:after="40"/>
      </w:pPr>
      <w:r>
        <w:rPr>
          <w:rFonts w:ascii="Arial" w:cs="Arial" w:eastAsia="Arial" w:hAnsi="Arial"/>
          <w:color w:val="2E2E2E"/>
          <w:sz w:val="20"/>
          <w:szCs w:val="20"/>
        </w:rPr>
        <w:t xml:space="preserve">NACTA (National Counter Terrorism Authority) Pakistan Proscribed Persons and Entities List</w:t>
      </w:r>
    </w:p>
    <w:p>
      <w:pPr>
        <w:pStyle w:val="ListParagraph"/>
        <w:numPr>
          <w:ilvl w:val="0"/>
          <w:numId w:val="2"/>
        </w:numPr>
        <w:spacing w:before="40" w:after="40"/>
      </w:pPr>
      <w:r>
        <w:rPr>
          <w:rFonts w:ascii="Arial" w:cs="Arial" w:eastAsia="Arial" w:hAnsi="Arial"/>
          <w:color w:val="2E2E2E"/>
          <w:sz w:val="20"/>
          <w:szCs w:val="20"/>
        </w:rPr>
        <w:t xml:space="preserve">Financial Monitoring Unit (FMU) Designated Persons List</w:t>
      </w:r>
    </w:p>
    <w:p>
      <w:pPr>
        <w:pStyle w:val="ListParagraph"/>
        <w:numPr>
          <w:ilvl w:val="0"/>
          <w:numId w:val="2"/>
        </w:numPr>
        <w:spacing w:before="40" w:after="40"/>
      </w:pPr>
      <w:r>
        <w:rPr>
          <w:rFonts w:ascii="Arial" w:cs="Arial" w:eastAsia="Arial" w:hAnsi="Arial"/>
          <w:color w:val="2E2E2E"/>
          <w:sz w:val="20"/>
          <w:szCs w:val="20"/>
        </w:rPr>
        <w:t xml:space="preserve">OFAC (US Treasury) Specially Designated Nationals (SDN) List</w:t>
      </w:r>
    </w:p>
    <w:p>
      <w:pPr>
        <w:pStyle w:val="ListParagraph"/>
        <w:numPr>
          <w:ilvl w:val="0"/>
          <w:numId w:val="2"/>
        </w:numPr>
        <w:spacing w:before="40" w:after="40"/>
      </w:pPr>
      <w:r>
        <w:rPr>
          <w:rFonts w:ascii="Arial" w:cs="Arial" w:eastAsia="Arial" w:hAnsi="Arial"/>
          <w:color w:val="2E2E2E"/>
          <w:sz w:val="20"/>
          <w:szCs w:val="20"/>
        </w:rPr>
        <w:t xml:space="preserve">HM Treasury UK Consolidated Sanctions List</w:t>
      </w:r>
    </w:p>
    <w:p>
      <w:pPr>
        <w:pStyle w:val="ListParagraph"/>
        <w:numPr>
          <w:ilvl w:val="0"/>
          <w:numId w:val="2"/>
        </w:numPr>
        <w:spacing w:before="40" w:after="40"/>
      </w:pPr>
      <w:r>
        <w:rPr>
          <w:rFonts w:ascii="Arial" w:cs="Arial" w:eastAsia="Arial" w:hAnsi="Arial"/>
          <w:color w:val="2E2E2E"/>
          <w:sz w:val="20"/>
          <w:szCs w:val="20"/>
        </w:rPr>
        <w:t xml:space="preserve">European Union Consolidated Sanctions List</w:t>
      </w:r>
    </w:p>
    <w:p>
      <w:pPr>
        <w:pStyle w:val="ListParagraph"/>
        <w:numPr>
          <w:ilvl w:val="0"/>
          <w:numId w:val="2"/>
        </w:numPr>
        <w:spacing w:before="40" w:after="40"/>
      </w:pPr>
      <w:r>
        <w:rPr>
          <w:rFonts w:ascii="Arial" w:cs="Arial" w:eastAsia="Arial" w:hAnsi="Arial"/>
          <w:color w:val="2E2E2E"/>
          <w:sz w:val="20"/>
          <w:szCs w:val="20"/>
        </w:rPr>
        <w:t xml:space="preserve">World Bank Debarment and Ineligibility List</w:t>
      </w:r>
    </w:p>
    <w:p>
      <w:pPr>
        <w:pStyle w:val="ListParagraph"/>
        <w:numPr>
          <w:ilvl w:val="0"/>
          <w:numId w:val="2"/>
        </w:numPr>
        <w:spacing w:before="40" w:after="40"/>
      </w:pPr>
      <w:r>
        <w:rPr>
          <w:rFonts w:ascii="Arial" w:cs="Arial" w:eastAsia="Arial" w:hAnsi="Arial"/>
          <w:color w:val="2E2E2E"/>
          <w:sz w:val="20"/>
          <w:szCs w:val="20"/>
        </w:rPr>
        <w:t xml:space="preserve">Interpol Wanted Persons Database (Red Notices)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4.2 Screening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Screening Requirement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Customer Onboarding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 name screening + fuzzy match against all lists before account activation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At time of onboarding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Transaction Processing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Counterparty name and account screening for all domestic and international transactions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Real-time / pre-authorization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Existing Portfolio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Batch screening of full customer database against updated lists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Daily automated batch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Correspondent Banks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Screening of correspondent institution + key personnel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At onboarding and annually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Trade Finance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All parties to Letter of Credit, Documentary Collection, Guarantees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At issuance and presentation</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4.3 Sanctions Hit Management</w:t>
      </w:r>
    </w:p>
    <w:p>
      <w:pPr>
        <w:spacing w:before="60" w:after="80"/>
      </w:pPr>
      <w:r>
        <w:rPr>
          <w:rFonts w:ascii="Arial" w:cs="Arial" w:eastAsia="Arial" w:hAnsi="Arial"/>
          <w:color w:val="2E2E2E"/>
          <w:sz w:val="20"/>
          <w:szCs w:val="20"/>
        </w:rPr>
        <w:t xml:space="preserve">When a potential match is identified by the screening system, the following escalation procedure applies:</w:t>
      </w:r>
    </w:p>
    <w:p>
      <w:pPr>
        <w:pStyle w:val="ListParagraph"/>
        <w:numPr>
          <w:ilvl w:val="0"/>
          <w:numId w:val="3"/>
        </w:numPr>
        <w:spacing w:before="40" w:after="40"/>
      </w:pPr>
      <w:r>
        <w:rPr>
          <w:rFonts w:ascii="Arial" w:cs="Arial" w:eastAsia="Arial" w:hAnsi="Arial"/>
          <w:color w:val="2E2E2E"/>
          <w:sz w:val="20"/>
          <w:szCs w:val="20"/>
        </w:rPr>
        <w:t xml:space="preserve">Screening analyst reviews the potential match within 2 business hours of alert generation</w:t>
      </w:r>
    </w:p>
    <w:p>
      <w:pPr>
        <w:pStyle w:val="ListParagraph"/>
        <w:numPr>
          <w:ilvl w:val="0"/>
          <w:numId w:val="3"/>
        </w:numPr>
        <w:spacing w:before="40" w:after="40"/>
      </w:pPr>
      <w:r>
        <w:rPr>
          <w:rFonts w:ascii="Arial" w:cs="Arial" w:eastAsia="Arial" w:hAnsi="Arial"/>
          <w:color w:val="2E2E2E"/>
          <w:sz w:val="20"/>
          <w:szCs w:val="20"/>
        </w:rPr>
        <w:t xml:space="preserve">Analyst determines whether the match is a true match, false positive, or requires further investigation</w:t>
      </w:r>
    </w:p>
    <w:p>
      <w:pPr>
        <w:pStyle w:val="ListParagraph"/>
        <w:numPr>
          <w:ilvl w:val="0"/>
          <w:numId w:val="3"/>
        </w:numPr>
        <w:spacing w:before="40" w:after="40"/>
      </w:pPr>
      <w:r>
        <w:rPr>
          <w:rFonts w:ascii="Arial" w:cs="Arial" w:eastAsia="Arial" w:hAnsi="Arial"/>
          <w:color w:val="2E2E2E"/>
          <w:sz w:val="20"/>
          <w:szCs w:val="20"/>
        </w:rPr>
        <w:t xml:space="preserve">False positives are documented with rationale and closed in the system within the same business day</w:t>
      </w:r>
    </w:p>
    <w:p>
      <w:pPr>
        <w:pStyle w:val="ListParagraph"/>
        <w:numPr>
          <w:ilvl w:val="0"/>
          <w:numId w:val="3"/>
        </w:numPr>
        <w:spacing w:before="40" w:after="40"/>
      </w:pPr>
      <w:r>
        <w:rPr>
          <w:rFonts w:ascii="Arial" w:cs="Arial" w:eastAsia="Arial" w:hAnsi="Arial"/>
          <w:color w:val="2E2E2E"/>
          <w:sz w:val="20"/>
          <w:szCs w:val="20"/>
        </w:rPr>
        <w:t xml:space="preserve">Potential true matches are escalated immediately to the Sanctions &amp; Compliance Officer</w:t>
      </w:r>
    </w:p>
    <w:p>
      <w:pPr>
        <w:pStyle w:val="ListParagraph"/>
        <w:numPr>
          <w:ilvl w:val="0"/>
          <w:numId w:val="3"/>
        </w:numPr>
        <w:spacing w:before="40" w:after="40"/>
      </w:pPr>
      <w:r>
        <w:rPr>
          <w:rFonts w:ascii="Arial" w:cs="Arial" w:eastAsia="Arial" w:hAnsi="Arial"/>
          <w:color w:val="2E2E2E"/>
          <w:sz w:val="20"/>
          <w:szCs w:val="20"/>
        </w:rPr>
        <w:t xml:space="preserve">If confirmed as a true match: account or transaction is frozen immediately; CCO is notified within 1 hour; FMU and SBP are notified within 24 hours per regulatory requirements</w:t>
      </w:r>
    </w:p>
    <w:p>
      <w:pPr>
        <w:pStyle w:val="ListParagraph"/>
        <w:numPr>
          <w:ilvl w:val="0"/>
          <w:numId w:val="3"/>
        </w:numPr>
        <w:spacing w:before="40" w:after="40"/>
      </w:pPr>
      <w:r>
        <w:rPr>
          <w:rFonts w:ascii="Arial" w:cs="Arial" w:eastAsia="Arial" w:hAnsi="Arial"/>
          <w:color w:val="2E2E2E"/>
          <w:sz w:val="20"/>
          <w:szCs w:val="20"/>
        </w:rPr>
        <w:t xml:space="preserve">CCO makes determination on whether to file an STR and/or seek legal opinion</w:t>
      </w:r>
    </w:p>
    <w:p>
      <w:pPr>
        <w:pStyle w:val="ListParagraph"/>
        <w:numPr>
          <w:ilvl w:val="0"/>
          <w:numId w:val="3"/>
        </w:numPr>
        <w:spacing w:before="40" w:after="40"/>
      </w:pPr>
      <w:r>
        <w:rPr>
          <w:rFonts w:ascii="Arial" w:cs="Arial" w:eastAsia="Arial" w:hAnsi="Arial"/>
          <w:color w:val="2E2E2E"/>
          <w:sz w:val="20"/>
          <w:szCs w:val="20"/>
        </w:rPr>
        <w:t xml:space="preserve">All actions are documented in the sanctions case management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200"/>
              <w:bottom w:type="dxa" w:w="100"/>
              <w:right w:type="dxa" w:w="200"/>
            </w:tcMar>
          </w:tcPr>
          <w:p>
            <w:r>
              <w:rPr>
                <w:rFonts w:ascii="Arial" w:cs="Arial" w:eastAsia="Arial" w:hAnsi="Arial"/>
                <w:b/>
                <w:bCs/>
                <w:color w:val="C00000"/>
                <w:sz w:val="18"/>
                <w:szCs w:val="18"/>
              </w:rPr>
              <w:t xml:space="preserve">CRITICAL WARNING — TIPPING OFF PROHIBITION</w:t>
            </w:r>
          </w:p>
          <w:p>
            <w:pPr>
              <w:spacing w:before="40"/>
            </w:pPr>
            <w:r>
              <w:rPr>
                <w:rFonts w:ascii="Arial" w:cs="Arial" w:eastAsia="Arial" w:hAnsi="Arial"/>
                <w:color w:val="2E2E2E"/>
                <w:sz w:val="18"/>
                <w:szCs w:val="18"/>
              </w:rPr>
              <w:t xml:space="preserve">TIPPING OFF: No employee may inform a customer, counterparty, or any third party that their name has matched a sanctions list, that an STR has been filed or is under consideration, or that their account has been frozen pending sanctions review. Tipping off is a criminal offence under Section 26 of the Anti-Money Laundering Act, 2010. Violations will result in immediate termination and referral to law enforcement.</w:t>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5. TRANSACTION MONITORING</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5.1 Transaction Monitoring System</w:t>
      </w:r>
    </w:p>
    <w:p>
      <w:pPr>
        <w:spacing w:before="60" w:after="80"/>
      </w:pPr>
      <w:r>
        <w:rPr>
          <w:rFonts w:ascii="Arial" w:cs="Arial" w:eastAsia="Arial" w:hAnsi="Arial"/>
          <w:color w:val="2E2E2E"/>
          <w:sz w:val="20"/>
          <w:szCs w:val="20"/>
        </w:rPr>
        <w:t xml:space="preserve">HBL operates an automated transaction monitoring system (TMS) that generates alerts when customer transactions deviate from expected patterns or breach established thresholds. The TMS is reviewed annually and recalibrated based on typology analysis and regulatory guidance.</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5.2 Key Transaction Monitoring Scenarios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2200"/>
        <w:gridCol w:w="12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Scenario Name</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Threshold / Trigger</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Large Cash Deposit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Single or structurally split cash deposits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&gt;=PKR 500,000 single; &gt;=PKR 2,500,000 aggregate (7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Large Cash Withdrawal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Unusual cash withdrawal patterns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&gt;=PKR 500,000 single transaction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Structuring / Smurfing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Multiple deposits just below CTR threshold to avoid reporting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&gt;=3 transactions in 3 days below PKR 2,500,000 by same customer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Round Amount Transactions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Repeated transactions in exact round amounts inconsistent with business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&gt;=5 transactions in PKR multiples of 100,000 in 30 days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Dormant Account Activation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Sudden activity after 12+ months of inactivity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transaction after 12 months dormancy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High-Value International Transfers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Large outward remittances to high-risk jurisdictions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&gt;=USD 50,000 or equivalent to FATF-listed countries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PEP Transaction Monitoring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All transactions by or for PEP-tagged customers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All transactions — no threshold exemption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Rapid Fund Movement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Funds received and immediately withdrawn / transferred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&gt;=80% outflow within 24 hours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Multiple Currency Exchanges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Frequent FX conversion without clear business purpose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&gt;=5 transactions in 30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Third-Party Payments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Payments from/to unrelated third parties inconsistent with profile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pattern inconsistent with KYC profile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5.3 Alert Management Process</w:t>
      </w:r>
    </w:p>
    <w:p>
      <w:pPr>
        <w:pStyle w:val="ListParagraph"/>
        <w:numPr>
          <w:ilvl w:val="0"/>
          <w:numId w:val="3"/>
        </w:numPr>
        <w:spacing w:before="40" w:after="40"/>
      </w:pPr>
      <w:r>
        <w:rPr>
          <w:rFonts w:ascii="Arial" w:cs="Arial" w:eastAsia="Arial" w:hAnsi="Arial"/>
          <w:color w:val="2E2E2E"/>
          <w:sz w:val="20"/>
          <w:szCs w:val="20"/>
        </w:rPr>
        <w:t xml:space="preserve">TMS generates alert; assigned to Transaction Monitoring Analyst within 2 hours</w:t>
      </w:r>
    </w:p>
    <w:p>
      <w:pPr>
        <w:pStyle w:val="ListParagraph"/>
        <w:numPr>
          <w:ilvl w:val="0"/>
          <w:numId w:val="3"/>
        </w:numPr>
        <w:spacing w:before="40" w:after="40"/>
      </w:pPr>
      <w:r>
        <w:rPr>
          <w:rFonts w:ascii="Arial" w:cs="Arial" w:eastAsia="Arial" w:hAnsi="Arial"/>
          <w:color w:val="2E2E2E"/>
          <w:sz w:val="20"/>
          <w:szCs w:val="20"/>
        </w:rPr>
        <w:t xml:space="preserve">Analyst conducts Level 1 review: reviews customer profile, transaction history, and supporting documentation</w:t>
      </w:r>
    </w:p>
    <w:p>
      <w:pPr>
        <w:pStyle w:val="ListParagraph"/>
        <w:numPr>
          <w:ilvl w:val="0"/>
          <w:numId w:val="3"/>
        </w:numPr>
        <w:spacing w:before="40" w:after="40"/>
      </w:pPr>
      <w:r>
        <w:rPr>
          <w:rFonts w:ascii="Arial" w:cs="Arial" w:eastAsia="Arial" w:hAnsi="Arial"/>
          <w:color w:val="2E2E2E"/>
          <w:sz w:val="20"/>
          <w:szCs w:val="20"/>
        </w:rPr>
        <w:t xml:space="preserve">If explainable: alert closed with documented rationale; no further action</w:t>
      </w:r>
    </w:p>
    <w:p>
      <w:pPr>
        <w:pStyle w:val="ListParagraph"/>
        <w:numPr>
          <w:ilvl w:val="0"/>
          <w:numId w:val="3"/>
        </w:numPr>
        <w:spacing w:before="40" w:after="40"/>
      </w:pPr>
      <w:r>
        <w:rPr>
          <w:rFonts w:ascii="Arial" w:cs="Arial" w:eastAsia="Arial" w:hAnsi="Arial"/>
          <w:color w:val="2E2E2E"/>
          <w:sz w:val="20"/>
          <w:szCs w:val="20"/>
        </w:rPr>
        <w:t xml:space="preserve">If unexplained: escalated to Senior Compliance Analyst (Level 2 review) within same business day</w:t>
      </w:r>
    </w:p>
    <w:p>
      <w:pPr>
        <w:pStyle w:val="ListParagraph"/>
        <w:numPr>
          <w:ilvl w:val="0"/>
          <w:numId w:val="3"/>
        </w:numPr>
        <w:spacing w:before="40" w:after="40"/>
      </w:pPr>
      <w:r>
        <w:rPr>
          <w:rFonts w:ascii="Arial" w:cs="Arial" w:eastAsia="Arial" w:hAnsi="Arial"/>
          <w:color w:val="2E2E2E"/>
          <w:sz w:val="20"/>
          <w:szCs w:val="20"/>
        </w:rPr>
        <w:t xml:space="preserve">Senior Analyst conducts full investigation: contacts Relationship Manager for clarification (no tipping off), reviews account history, checks external databases</w:t>
      </w:r>
    </w:p>
    <w:p>
      <w:pPr>
        <w:pStyle w:val="ListParagraph"/>
        <w:numPr>
          <w:ilvl w:val="0"/>
          <w:numId w:val="3"/>
        </w:numPr>
        <w:spacing w:before="40" w:after="40"/>
      </w:pPr>
      <w:r>
        <w:rPr>
          <w:rFonts w:ascii="Arial" w:cs="Arial" w:eastAsia="Arial" w:hAnsi="Arial"/>
          <w:color w:val="2E2E2E"/>
          <w:sz w:val="20"/>
          <w:szCs w:val="20"/>
        </w:rPr>
        <w:t xml:space="preserve">If suspicious: STR draft prepared and submitted to CCO for approval within 5 working days</w:t>
      </w:r>
    </w:p>
    <w:p>
      <w:pPr>
        <w:pStyle w:val="ListParagraph"/>
        <w:numPr>
          <w:ilvl w:val="0"/>
          <w:numId w:val="3"/>
        </w:numPr>
        <w:spacing w:before="40" w:after="40"/>
      </w:pPr>
      <w:r>
        <w:rPr>
          <w:rFonts w:ascii="Arial" w:cs="Arial" w:eastAsia="Arial" w:hAnsi="Arial"/>
          <w:color w:val="2E2E2E"/>
          <w:sz w:val="20"/>
          <w:szCs w:val="20"/>
        </w:rPr>
        <w:t xml:space="preserve">CCO reviews STR; approves and files with FMU within 7 working days of transaction date</w:t>
      </w:r>
    </w:p>
    <w:p>
      <w:pPr>
        <w:pStyle w:val="ListParagraph"/>
        <w:numPr>
          <w:ilvl w:val="0"/>
          <w:numId w:val="3"/>
        </w:numPr>
        <w:spacing w:before="40" w:after="40"/>
      </w:pPr>
      <w:r>
        <w:rPr>
          <w:rFonts w:ascii="Arial" w:cs="Arial" w:eastAsia="Arial" w:hAnsi="Arial"/>
          <w:color w:val="2E2E2E"/>
          <w:sz w:val="20"/>
          <w:szCs w:val="20"/>
        </w:rPr>
        <w:t xml:space="preserve">All alerts and dispositions documented in case management system; records retained for minimum 10 years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5.4 Currency Transaction Reports (CTRs)</w:t>
      </w:r>
    </w:p>
    <w:p>
      <w:pPr>
        <w:spacing w:before="60" w:after="80"/>
      </w:pPr>
      <w:r>
        <w:rPr>
          <w:rFonts w:ascii="Arial" w:cs="Arial" w:eastAsia="Arial" w:hAnsi="Arial"/>
          <w:color w:val="2E2E2E"/>
          <w:sz w:val="20"/>
          <w:szCs w:val="20"/>
        </w:rPr>
        <w:t xml:space="preserve">HBL is required to file Currency Transaction Reports (CTRs) with the FMU for all cash transactions exceeding PKR 2,500,000 or foreign currency equivalent. Specific requirements:</w:t>
      </w:r>
    </w:p>
    <w:p>
      <w:pPr>
        <w:pStyle w:val="ListParagraph"/>
        <w:numPr>
          <w:ilvl w:val="0"/>
          <w:numId w:val="2"/>
        </w:numPr>
        <w:spacing w:before="40" w:after="40"/>
      </w:pPr>
      <w:r>
        <w:rPr>
          <w:rFonts w:ascii="Arial" w:cs="Arial" w:eastAsia="Arial" w:hAnsi="Arial"/>
          <w:color w:val="2E2E2E"/>
          <w:sz w:val="20"/>
          <w:szCs w:val="20"/>
        </w:rPr>
        <w:t xml:space="preserve">CTR must be filed within 7 working days of the transaction date</w:t>
      </w:r>
    </w:p>
    <w:p>
      <w:pPr>
        <w:pStyle w:val="ListParagraph"/>
        <w:numPr>
          <w:ilvl w:val="0"/>
          <w:numId w:val="2"/>
        </w:numPr>
        <w:spacing w:before="40" w:after="40"/>
      </w:pPr>
      <w:r>
        <w:rPr>
          <w:rFonts w:ascii="Arial" w:cs="Arial" w:eastAsia="Arial" w:hAnsi="Arial"/>
          <w:color w:val="2E2E2E"/>
          <w:sz w:val="20"/>
          <w:szCs w:val="20"/>
        </w:rPr>
        <w:t xml:space="preserve">CTRs are filed electronically via the FMU's GoAML portal</w:t>
      </w:r>
    </w:p>
    <w:p>
      <w:pPr>
        <w:pStyle w:val="ListParagraph"/>
        <w:numPr>
          <w:ilvl w:val="0"/>
          <w:numId w:val="2"/>
        </w:numPr>
        <w:spacing w:before="40" w:after="40"/>
      </w:pPr>
      <w:r>
        <w:rPr>
          <w:rFonts w:ascii="Arial" w:cs="Arial" w:eastAsia="Arial" w:hAnsi="Arial"/>
          <w:color w:val="2E2E2E"/>
          <w:sz w:val="20"/>
          <w:szCs w:val="20"/>
        </w:rPr>
        <w:t xml:space="preserve">All branches must record cash transactions in real-time in the CBS (Core Banking System) to enable automated CTR population</w:t>
      </w:r>
    </w:p>
    <w:p>
      <w:pPr>
        <w:pStyle w:val="ListParagraph"/>
        <w:numPr>
          <w:ilvl w:val="0"/>
          <w:numId w:val="2"/>
        </w:numPr>
        <w:spacing w:before="40" w:after="40"/>
      </w:pPr>
      <w:r>
        <w:rPr>
          <w:rFonts w:ascii="Arial" w:cs="Arial" w:eastAsia="Arial" w:hAnsi="Arial"/>
          <w:color w:val="2E2E2E"/>
          <w:sz w:val="20"/>
          <w:szCs w:val="20"/>
        </w:rPr>
        <w:t xml:space="preserve">Structuring of transactions to avoid CTR reporting thresholds is explicitly prohibited and constitutes a money laundering offence</w:t>
      </w:r>
    </w:p>
    <w:p>
      <w:pPr>
        <w:pStyle w:val="ListParagraph"/>
        <w:numPr>
          <w:ilvl w:val="0"/>
          <w:numId w:val="2"/>
        </w:numPr>
        <w:spacing w:before="40" w:after="40"/>
      </w:pPr>
      <w:r>
        <w:rPr>
          <w:rFonts w:ascii="Arial" w:cs="Arial" w:eastAsia="Arial" w:hAnsi="Arial"/>
          <w:color w:val="2E2E2E"/>
          <w:sz w:val="20"/>
          <w:szCs w:val="20"/>
        </w:rPr>
        <w:t xml:space="preserve">Branch Managers are personally responsible for ensuring all qualifying cash transactions are reported</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6. RECORD KEEPING AND DOCUMENTATION</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6.1 Record Retention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1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 Type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Retention Period</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Storage Location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Customer KYC records (CDD/EDD documentation)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Minimum 5 years after relationship ends; 10 years for high-risk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Electronic + physical for originals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Document Management System (DMS)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Transaction records (all transactions)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Minimum 5 years from transaction date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Electronic</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Core Banking System (CBS) + DMS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 copies and related investigation files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10 years from filing 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Electronic + physical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Compliance Department secure archive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CTR records and supporting documentation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5 years from filing date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Electronic</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Compliance Department archive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Sanctions screening records (hits and false positives)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10 years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Electronic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Sanctions Case Management 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AML/CFT training records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5 years after employee separation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Electronic</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HR System + Compliance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Correspondent banking due diligence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10 years after relationship termination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Electronic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Compliance archive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Internal investigation reports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10 years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Electronic + physical (original)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Compliance Department secure archive</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6.2 Data Quality and Access Controls</w:t>
      </w:r>
    </w:p>
    <w:p>
      <w:pPr>
        <w:pStyle w:val="ListParagraph"/>
        <w:numPr>
          <w:ilvl w:val="0"/>
          <w:numId w:val="2"/>
        </w:numPr>
        <w:spacing w:before="40" w:after="40"/>
      </w:pPr>
      <w:r>
        <w:rPr>
          <w:rFonts w:ascii="Arial" w:cs="Arial" w:eastAsia="Arial" w:hAnsi="Arial"/>
          <w:color w:val="2E2E2E"/>
          <w:sz w:val="20"/>
          <w:szCs w:val="20"/>
        </w:rPr>
        <w:t xml:space="preserve">All KYC records must be complete, accurate, and up-to-date at all times</w:t>
      </w:r>
    </w:p>
    <w:p>
      <w:pPr>
        <w:pStyle w:val="ListParagraph"/>
        <w:numPr>
          <w:ilvl w:val="0"/>
          <w:numId w:val="2"/>
        </w:numPr>
        <w:spacing w:before="40" w:after="40"/>
      </w:pPr>
      <w:r>
        <w:rPr>
          <w:rFonts w:ascii="Arial" w:cs="Arial" w:eastAsia="Arial" w:hAnsi="Arial"/>
          <w:color w:val="2E2E2E"/>
          <w:sz w:val="20"/>
          <w:szCs w:val="20"/>
        </w:rPr>
        <w:t xml:space="preserve">KYC records must be accessible to compliance staff within 24 hours of a regulatory or law enforcement request</w:t>
      </w:r>
    </w:p>
    <w:p>
      <w:pPr>
        <w:pStyle w:val="ListParagraph"/>
        <w:numPr>
          <w:ilvl w:val="0"/>
          <w:numId w:val="2"/>
        </w:numPr>
        <w:spacing w:before="40" w:after="40"/>
      </w:pPr>
      <w:r>
        <w:rPr>
          <w:rFonts w:ascii="Arial" w:cs="Arial" w:eastAsia="Arial" w:hAnsi="Arial"/>
          <w:color w:val="2E2E2E"/>
          <w:sz w:val="20"/>
          <w:szCs w:val="20"/>
        </w:rPr>
        <w:t xml:space="preserve">Access to customer records is restricted on a need-to-know basis controlled by the IT Security Policy (HBL-IT-001)</w:t>
      </w:r>
    </w:p>
    <w:p>
      <w:pPr>
        <w:pStyle w:val="ListParagraph"/>
        <w:numPr>
          <w:ilvl w:val="0"/>
          <w:numId w:val="2"/>
        </w:numPr>
        <w:spacing w:before="40" w:after="40"/>
      </w:pPr>
      <w:r>
        <w:rPr>
          <w:rFonts w:ascii="Arial" w:cs="Arial" w:eastAsia="Arial" w:hAnsi="Arial"/>
          <w:color w:val="2E2E2E"/>
          <w:sz w:val="20"/>
          <w:szCs w:val="20"/>
        </w:rPr>
        <w:t xml:space="preserve">Physical KYC documents must be stored in locked, fire-resistant cabinets in designated secure rooms</w:t>
      </w:r>
    </w:p>
    <w:p>
      <w:pPr>
        <w:pStyle w:val="ListParagraph"/>
        <w:numPr>
          <w:ilvl w:val="0"/>
          <w:numId w:val="2"/>
        </w:numPr>
        <w:spacing w:before="40" w:after="40"/>
      </w:pPr>
      <w:r>
        <w:rPr>
          <w:rFonts w:ascii="Arial" w:cs="Arial" w:eastAsia="Arial" w:hAnsi="Arial"/>
          <w:color w:val="2E2E2E"/>
          <w:sz w:val="20"/>
          <w:szCs w:val="20"/>
        </w:rPr>
        <w:t xml:space="preserve">Electronic records must be backed up daily per the IT Disaster Recovery Policy (HBL-IT-002)</w:t>
      </w:r>
    </w:p>
    <w:p>
      <w:pPr>
        <w:pStyle w:val="ListParagraph"/>
        <w:numPr>
          <w:ilvl w:val="0"/>
          <w:numId w:val="2"/>
        </w:numPr>
        <w:spacing w:before="40" w:after="40"/>
      </w:pPr>
      <w:r>
        <w:rPr>
          <w:rFonts w:ascii="Arial" w:cs="Arial" w:eastAsia="Arial" w:hAnsi="Arial"/>
          <w:color w:val="2E2E2E"/>
          <w:sz w:val="20"/>
          <w:szCs w:val="20"/>
        </w:rPr>
        <w:t xml:space="preserve">Records must not be destroyed, altered, or removed without CCO approval and in compliance with applicable legal holds</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7. AML/CFT TRAINING AND AWARENESS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7.1 Training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1600"/>
        <w:gridCol w:w="26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Employee Category</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Training Program</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Minimum 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All employees (mandatory)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AML/CFT Awareness: Recognizing Red Flags, Reporting Obligations, Tipping-Off Prohibition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Annually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2 hours (eLearning)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Customer-facing staff (branches, relationship managers, customer service)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Advanced AML/CFT: CDD Execution, Suspicious Activity Recognition, CTR/STR Responsibilities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Annually + at role change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4 hours (classroom/eLearning)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Compliance staff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Specialized AML/CFT: FATF Updates, Investigation Techniques, Case Management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Bi-annually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8 hours (classroom)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Senior Management (VP and above)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AML/CFT Leadership and Governance: Regulatory Expectations, Risk Appetite, Accountability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Annually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3 hours (executive briefing)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New employees (all)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AML/CFT Induction Training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Within 30 days of joining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4 hours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Board members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Board-level AML/CFT overview and governance responsibilities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Annually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2 hours</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7.2 Training Compliance Tracking</w:t>
      </w:r>
    </w:p>
    <w:p>
      <w:pPr>
        <w:pStyle w:val="ListParagraph"/>
        <w:numPr>
          <w:ilvl w:val="0"/>
          <w:numId w:val="2"/>
        </w:numPr>
        <w:spacing w:before="40" w:after="40"/>
      </w:pPr>
      <w:r>
        <w:rPr>
          <w:rFonts w:ascii="Arial" w:cs="Arial" w:eastAsia="Arial" w:hAnsi="Arial"/>
          <w:color w:val="2E2E2E"/>
          <w:sz w:val="20"/>
          <w:szCs w:val="20"/>
        </w:rPr>
        <w:t xml:space="preserve">HR and Compliance jointly track training completion rates; minimum 95% completion is required per employee category</w:t>
      </w:r>
    </w:p>
    <w:p>
      <w:pPr>
        <w:pStyle w:val="ListParagraph"/>
        <w:numPr>
          <w:ilvl w:val="0"/>
          <w:numId w:val="2"/>
        </w:numPr>
        <w:spacing w:before="40" w:after="40"/>
      </w:pPr>
      <w:r>
        <w:rPr>
          <w:rFonts w:ascii="Arial" w:cs="Arial" w:eastAsia="Arial" w:hAnsi="Arial"/>
          <w:color w:val="2E2E2E"/>
          <w:sz w:val="20"/>
          <w:szCs w:val="20"/>
        </w:rPr>
        <w:t xml:space="preserve">Non-completion of mandatory AML/CFT training within the required timeframe shall be escalated to the relevant Head of Department and HR</w:t>
      </w:r>
    </w:p>
    <w:p>
      <w:pPr>
        <w:pStyle w:val="ListParagraph"/>
        <w:numPr>
          <w:ilvl w:val="0"/>
          <w:numId w:val="2"/>
        </w:numPr>
        <w:spacing w:before="40" w:after="40"/>
      </w:pPr>
      <w:r>
        <w:rPr>
          <w:rFonts w:ascii="Arial" w:cs="Arial" w:eastAsia="Arial" w:hAnsi="Arial"/>
          <w:color w:val="2E2E2E"/>
          <w:sz w:val="20"/>
          <w:szCs w:val="20"/>
        </w:rPr>
        <w:t xml:space="preserve">Training records are maintained for a minimum of 5 years</w:t>
      </w:r>
    </w:p>
    <w:p>
      <w:pPr>
        <w:pStyle w:val="ListParagraph"/>
        <w:numPr>
          <w:ilvl w:val="0"/>
          <w:numId w:val="2"/>
        </w:numPr>
        <w:spacing w:before="40" w:after="40"/>
      </w:pPr>
      <w:r>
        <w:rPr>
          <w:rFonts w:ascii="Arial" w:cs="Arial" w:eastAsia="Arial" w:hAnsi="Arial"/>
          <w:color w:val="2E2E2E"/>
          <w:sz w:val="20"/>
          <w:szCs w:val="20"/>
        </w:rPr>
        <w:t xml:space="preserve">Annual training effectiveness is evaluated through post-training assessments with a minimum passing score of 80%</w:t>
      </w:r>
    </w:p>
    <w:p>
      <w:pPr>
        <w:pStyle w:val="ListParagraph"/>
        <w:numPr>
          <w:ilvl w:val="0"/>
          <w:numId w:val="2"/>
        </w:numPr>
        <w:spacing w:before="40" w:after="40"/>
      </w:pPr>
      <w:r>
        <w:rPr>
          <w:rFonts w:ascii="Arial" w:cs="Arial" w:eastAsia="Arial" w:hAnsi="Arial"/>
          <w:color w:val="2E2E2E"/>
          <w:sz w:val="20"/>
          <w:szCs w:val="20"/>
        </w:rPr>
        <w:t xml:space="preserve">Training content is reviewed and updated at least annually or upon significant regulatory changes</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8. REGULATORY REPORTING OBLIGATIONS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8.1 Reporting to Financial Monitoring Unit (FMU)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600"/>
        <w:gridCol w:w="17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Report 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Filing Deadline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Filing Channel</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Responsible Officer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Suspicious Transaction Report (STR)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Reasonable grounds to suspect ML/TF activity in any transaction or relationship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Within 7 working days of transaction identification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GoAML portal (encrypted)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CCO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Currency Transaction Report (CTR)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Cash transaction(s) exceeding PKR 2,500,000 or foreign currency equivalent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Within 7 working days of transaction date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GoAML portal</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Compliance Team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Attempted Transaction Report (ATR)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Transaction that was attempted but not completed, suspected of ML/TF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Within 7 working days of attempted transaction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GoAML portal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CCO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Terrorist Financing Report (TFR)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Reasonable grounds to suspect TF activity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Immediately (same business day)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FMU direct and SBP notification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CCO + President &amp; CEO</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8.2 Reporting to State Bank of Pakistan (SBP)</w:t>
      </w:r>
    </w:p>
    <w:p>
      <w:pPr>
        <w:pStyle w:val="ListParagraph"/>
        <w:numPr>
          <w:ilvl w:val="0"/>
          <w:numId w:val="2"/>
        </w:numPr>
        <w:spacing w:before="40" w:after="40"/>
      </w:pPr>
      <w:r>
        <w:rPr>
          <w:rFonts w:ascii="Arial" w:cs="Arial" w:eastAsia="Arial" w:hAnsi="Arial"/>
          <w:color w:val="2E2E2E"/>
          <w:sz w:val="20"/>
          <w:szCs w:val="20"/>
        </w:rPr>
        <w:t xml:space="preserve">Annual AML/CFT Compliance Report submitted to SBP Banking Inspection Department by January 31 of each year</w:t>
      </w:r>
    </w:p>
    <w:p>
      <w:pPr>
        <w:pStyle w:val="ListParagraph"/>
        <w:numPr>
          <w:ilvl w:val="0"/>
          <w:numId w:val="2"/>
        </w:numPr>
        <w:spacing w:before="40" w:after="40"/>
      </w:pPr>
      <w:r>
        <w:rPr>
          <w:rFonts w:ascii="Arial" w:cs="Arial" w:eastAsia="Arial" w:hAnsi="Arial"/>
          <w:color w:val="2E2E2E"/>
          <w:sz w:val="20"/>
          <w:szCs w:val="20"/>
        </w:rPr>
        <w:t xml:space="preserve">Immediate notification to SBP in event of material AML/CFT breach, regulatory investigation, or law enforcement action</w:t>
      </w:r>
    </w:p>
    <w:p>
      <w:pPr>
        <w:pStyle w:val="ListParagraph"/>
        <w:numPr>
          <w:ilvl w:val="0"/>
          <w:numId w:val="2"/>
        </w:numPr>
        <w:spacing w:before="40" w:after="40"/>
      </w:pPr>
      <w:r>
        <w:rPr>
          <w:rFonts w:ascii="Arial" w:cs="Arial" w:eastAsia="Arial" w:hAnsi="Arial"/>
          <w:color w:val="2E2E2E"/>
          <w:sz w:val="20"/>
          <w:szCs w:val="20"/>
        </w:rPr>
        <w:t xml:space="preserve">Regulatory examination cooperation: full access to records, staff, and systems during SBP AML/CFT inspections</w:t>
      </w:r>
    </w:p>
    <w:p>
      <w:pPr>
        <w:pStyle w:val="ListParagraph"/>
        <w:numPr>
          <w:ilvl w:val="0"/>
          <w:numId w:val="2"/>
        </w:numPr>
        <w:spacing w:before="40" w:after="40"/>
      </w:pPr>
      <w:r>
        <w:rPr>
          <w:rFonts w:ascii="Arial" w:cs="Arial" w:eastAsia="Arial" w:hAnsi="Arial"/>
          <w:color w:val="2E2E2E"/>
          <w:sz w:val="20"/>
          <w:szCs w:val="20"/>
        </w:rPr>
        <w:t xml:space="preserve">Quarterly submission of AML statistical returns per SBP circular requirements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8.3 Law Enforcement Cooperation</w:t>
      </w:r>
    </w:p>
    <w:p>
      <w:pPr>
        <w:pStyle w:val="ListParagraph"/>
        <w:numPr>
          <w:ilvl w:val="0"/>
          <w:numId w:val="2"/>
        </w:numPr>
        <w:spacing w:before="40" w:after="40"/>
      </w:pPr>
      <w:r>
        <w:rPr>
          <w:rFonts w:ascii="Arial" w:cs="Arial" w:eastAsia="Arial" w:hAnsi="Arial"/>
          <w:color w:val="2E2E2E"/>
          <w:sz w:val="20"/>
          <w:szCs w:val="20"/>
        </w:rPr>
        <w:t xml:space="preserve">HBL cooperates fully with all lawful requests from FIA (Federal Investigation Agency), NAB (National Accountability Bureau), ANF (Anti-Narcotics Force), and FBR</w:t>
      </w:r>
    </w:p>
    <w:p>
      <w:pPr>
        <w:pStyle w:val="ListParagraph"/>
        <w:numPr>
          <w:ilvl w:val="0"/>
          <w:numId w:val="2"/>
        </w:numPr>
        <w:spacing w:before="40" w:after="40"/>
      </w:pPr>
      <w:r>
        <w:rPr>
          <w:rFonts w:ascii="Arial" w:cs="Arial" w:eastAsia="Arial" w:hAnsi="Arial"/>
          <w:color w:val="2E2E2E"/>
          <w:sz w:val="20"/>
          <w:szCs w:val="20"/>
        </w:rPr>
        <w:t xml:space="preserve">All law enforcement requests are to be routed through the Legal &amp; Compliance Division; no employee shall provide information directly without authorization</w:t>
      </w:r>
    </w:p>
    <w:p>
      <w:pPr>
        <w:pStyle w:val="ListParagraph"/>
        <w:numPr>
          <w:ilvl w:val="0"/>
          <w:numId w:val="2"/>
        </w:numPr>
        <w:spacing w:before="40" w:after="40"/>
      </w:pPr>
      <w:r>
        <w:rPr>
          <w:rFonts w:ascii="Arial" w:cs="Arial" w:eastAsia="Arial" w:hAnsi="Arial"/>
          <w:color w:val="2E2E2E"/>
          <w:sz w:val="20"/>
          <w:szCs w:val="20"/>
        </w:rPr>
        <w:t xml:space="preserve">Court orders, subpoenas, and production orders are to be reviewed by the Legal team within 24 hours and compliance ensured within the ordered timeframe</w:t>
      </w:r>
    </w:p>
    <w:p>
      <w:pPr>
        <w:pStyle w:val="ListParagraph"/>
        <w:numPr>
          <w:ilvl w:val="0"/>
          <w:numId w:val="2"/>
        </w:numPr>
        <w:spacing w:before="40" w:after="40"/>
      </w:pPr>
      <w:r>
        <w:rPr>
          <w:rFonts w:ascii="Arial" w:cs="Arial" w:eastAsia="Arial" w:hAnsi="Arial"/>
          <w:color w:val="2E2E2E"/>
          <w:sz w:val="20"/>
          <w:szCs w:val="20"/>
        </w:rPr>
        <w:t xml:space="preserve">Production of records in response to legal orders does not constitute tipping-off under the AML Act</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9. NON-COMPLIANCE, BREACHES, AND DISCIPLINARY ACTION</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9.1 Classification of Breaches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Breach Level</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Examples</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Consequence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Minor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Incomplete KYC form; minor delay in periodic review; isolated documentation gap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Written warning; remediation within 30 days; retraining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Moderate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Failure to file CTR within deadline; inadequate EDD for high-risk customer; failure to escalate suspicious activity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Formal written reprimand; HR investigation; targeted supervision; potential salary deferral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Serious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Deliberate circumvention of AML controls; failing to report known suspicious activity; sharing confidential STR information (tipping off)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Suspension pending investigation; probable termination; referral to law enforcement and SBP</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Critical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Assisting in money laundering or terrorist financing; knowingly onboarding a sanctioned party; facilitating structuring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Immediate termination; mandatory regulatory reporting; criminal prosecution referral</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9.2 Whistleblower Protection</w:t>
      </w:r>
    </w:p>
    <w:p>
      <w:pPr>
        <w:spacing w:before="60" w:after="80"/>
      </w:pPr>
      <w:r>
        <w:rPr>
          <w:rFonts w:ascii="Arial" w:cs="Arial" w:eastAsia="Arial" w:hAnsi="Arial"/>
          <w:color w:val="2E2E2E"/>
          <w:sz w:val="20"/>
          <w:szCs w:val="20"/>
        </w:rPr>
        <w:t xml:space="preserve">HBL actively encourages all employees to report suspected AML/CFT violations without fear of retaliation. The following protections are guaranteed:</w:t>
      </w:r>
    </w:p>
    <w:p>
      <w:pPr>
        <w:pStyle w:val="ListParagraph"/>
        <w:numPr>
          <w:ilvl w:val="0"/>
          <w:numId w:val="2"/>
        </w:numPr>
        <w:spacing w:before="40" w:after="40"/>
      </w:pPr>
      <w:r>
        <w:rPr>
          <w:rFonts w:ascii="Arial" w:cs="Arial" w:eastAsia="Arial" w:hAnsi="Arial"/>
          <w:color w:val="2E2E2E"/>
          <w:sz w:val="20"/>
          <w:szCs w:val="20"/>
        </w:rPr>
        <w:t xml:space="preserve">All good-faith reports of suspected violations are treated with strict confidentiality</w:t>
      </w:r>
    </w:p>
    <w:p>
      <w:pPr>
        <w:pStyle w:val="ListParagraph"/>
        <w:numPr>
          <w:ilvl w:val="0"/>
          <w:numId w:val="2"/>
        </w:numPr>
        <w:spacing w:before="40" w:after="40"/>
      </w:pPr>
      <w:r>
        <w:rPr>
          <w:rFonts w:ascii="Arial" w:cs="Arial" w:eastAsia="Arial" w:hAnsi="Arial"/>
          <w:color w:val="2E2E2E"/>
          <w:sz w:val="20"/>
          <w:szCs w:val="20"/>
        </w:rPr>
        <w:t xml:space="preserve">No employee will face adverse employment action, harassment, demotion, or termination as a result of making a good-faith report</w:t>
      </w:r>
    </w:p>
    <w:p>
      <w:pPr>
        <w:pStyle w:val="ListParagraph"/>
        <w:numPr>
          <w:ilvl w:val="0"/>
          <w:numId w:val="2"/>
        </w:numPr>
        <w:spacing w:before="40" w:after="40"/>
      </w:pPr>
      <w:r>
        <w:rPr>
          <w:rFonts w:ascii="Arial" w:cs="Arial" w:eastAsia="Arial" w:hAnsi="Arial"/>
          <w:color w:val="2E2E2E"/>
          <w:sz w:val="20"/>
          <w:szCs w:val="20"/>
        </w:rPr>
        <w:t xml:space="preserve">Reports can be made anonymously via the HBL Ethics Hotline (0800-00024) or compliance@hbl.com</w:t>
      </w:r>
    </w:p>
    <w:p>
      <w:pPr>
        <w:pStyle w:val="ListParagraph"/>
        <w:numPr>
          <w:ilvl w:val="0"/>
          <w:numId w:val="2"/>
        </w:numPr>
        <w:spacing w:before="40" w:after="40"/>
      </w:pPr>
      <w:r>
        <w:rPr>
          <w:rFonts w:ascii="Arial" w:cs="Arial" w:eastAsia="Arial" w:hAnsi="Arial"/>
          <w:color w:val="2E2E2E"/>
          <w:sz w:val="20"/>
          <w:szCs w:val="20"/>
        </w:rPr>
        <w:t xml:space="preserve">Retaliation against a whistleblower is itself a serious disciplinary offence</w:t>
      </w:r>
    </w:p>
    <w:p>
      <w:pPr>
        <w:pStyle w:val="ListParagraph"/>
        <w:numPr>
          <w:ilvl w:val="0"/>
          <w:numId w:val="2"/>
        </w:numPr>
        <w:spacing w:before="40" w:after="40"/>
      </w:pPr>
      <w:r>
        <w:rPr>
          <w:rFonts w:ascii="Arial" w:cs="Arial" w:eastAsia="Arial" w:hAnsi="Arial"/>
          <w:color w:val="2E2E2E"/>
          <w:sz w:val="20"/>
          <w:szCs w:val="20"/>
        </w:rPr>
        <w:t xml:space="preserve">Whistleblower protections are consistent with Pakistan's Whistleblowers Protection Act, 2022</w:t>
      </w:r>
    </w:p>
    <w:p>
      <w:pPr>
        <w:spacing w:before="60" w:after="60"/>
      </w:pPr>
      <w:r>
        <w:t xml:space="preserve"/>
      </w:r>
    </w:p>
    <w:p>
      <w:pPr>
        <w:pStyle w:val="Heading1"/>
        <w:shd w:fill="1B3A6B" w:val="clear"/>
        <w:spacing w:before="360" w:after="120"/>
        <w:ind w:left="180" w:right="180"/>
      </w:pPr>
      <w:r>
        <w:rPr>
          <w:rFonts w:ascii="Arial" w:cs="Arial" w:eastAsia="Arial" w:hAnsi="Arial"/>
          <w:b/>
          <w:bCs/>
          <w:color w:val="FFFFFF"/>
          <w:sz w:val="30"/>
          <w:szCs w:val="30"/>
        </w:rPr>
        <w:t xml:space="preserve">10. POLICY REVIEW AND AMENDMENTS</w:t>
      </w:r>
    </w:p>
    <w:p>
      <w:pPr>
        <w:spacing w:before="60" w:after="60"/>
      </w:pPr>
      <w:r>
        <w:t xml:space="preserve"/>
      </w:r>
    </w:p>
    <w:p>
      <w:pPr>
        <w:spacing w:before="60" w:after="80"/>
      </w:pPr>
      <w:r>
        <w:rPr>
          <w:rFonts w:ascii="Arial" w:cs="Arial" w:eastAsia="Arial" w:hAnsi="Arial"/>
          <w:color w:val="2E2E2E"/>
          <w:sz w:val="20"/>
          <w:szCs w:val="20"/>
        </w:rPr>
        <w:t xml:space="preserve">This policy shall be reviewed at minimum annually by the CCO and approved by the BRCC. Interim reviews shall be triggered by:</w:t>
      </w:r>
    </w:p>
    <w:p>
      <w:pPr>
        <w:pStyle w:val="ListParagraph"/>
        <w:numPr>
          <w:ilvl w:val="0"/>
          <w:numId w:val="2"/>
        </w:numPr>
        <w:spacing w:before="40" w:after="40"/>
      </w:pPr>
      <w:r>
        <w:rPr>
          <w:rFonts w:ascii="Arial" w:cs="Arial" w:eastAsia="Arial" w:hAnsi="Arial"/>
          <w:color w:val="2E2E2E"/>
          <w:sz w:val="20"/>
          <w:szCs w:val="20"/>
        </w:rPr>
        <w:t xml:space="preserve">Material changes to applicable laws or SBP/FMU regulations</w:t>
      </w:r>
    </w:p>
    <w:p>
      <w:pPr>
        <w:pStyle w:val="ListParagraph"/>
        <w:numPr>
          <w:ilvl w:val="0"/>
          <w:numId w:val="2"/>
        </w:numPr>
        <w:spacing w:before="40" w:after="40"/>
      </w:pPr>
      <w:r>
        <w:rPr>
          <w:rFonts w:ascii="Arial" w:cs="Arial" w:eastAsia="Arial" w:hAnsi="Arial"/>
          <w:color w:val="2E2E2E"/>
          <w:sz w:val="20"/>
          <w:szCs w:val="20"/>
        </w:rPr>
        <w:t xml:space="preserve">FATF Mutual Evaluation findings or follow-up reports</w:t>
      </w:r>
    </w:p>
    <w:p>
      <w:pPr>
        <w:pStyle w:val="ListParagraph"/>
        <w:numPr>
          <w:ilvl w:val="0"/>
          <w:numId w:val="2"/>
        </w:numPr>
        <w:spacing w:before="40" w:after="40"/>
      </w:pPr>
      <w:r>
        <w:rPr>
          <w:rFonts w:ascii="Arial" w:cs="Arial" w:eastAsia="Arial" w:hAnsi="Arial"/>
          <w:color w:val="2E2E2E"/>
          <w:sz w:val="20"/>
          <w:szCs w:val="20"/>
        </w:rPr>
        <w:t xml:space="preserve">Material AML/CFT incidents within HBL or the broader banking sector</w:t>
      </w:r>
    </w:p>
    <w:p>
      <w:pPr>
        <w:pStyle w:val="ListParagraph"/>
        <w:numPr>
          <w:ilvl w:val="0"/>
          <w:numId w:val="2"/>
        </w:numPr>
        <w:spacing w:before="40" w:after="40"/>
      </w:pPr>
      <w:r>
        <w:rPr>
          <w:rFonts w:ascii="Arial" w:cs="Arial" w:eastAsia="Arial" w:hAnsi="Arial"/>
          <w:color w:val="2E2E2E"/>
          <w:sz w:val="20"/>
          <w:szCs w:val="20"/>
        </w:rPr>
        <w:t xml:space="preserve">Significant changes to HBL's product offering, customer base, or geographic footprint</w:t>
      </w:r>
    </w:p>
    <w:p>
      <w:pPr>
        <w:pStyle w:val="ListParagraph"/>
        <w:numPr>
          <w:ilvl w:val="0"/>
          <w:numId w:val="2"/>
        </w:numPr>
        <w:spacing w:before="40" w:after="40"/>
      </w:pPr>
      <w:r>
        <w:rPr>
          <w:rFonts w:ascii="Arial" w:cs="Arial" w:eastAsia="Arial" w:hAnsi="Arial"/>
          <w:color w:val="2E2E2E"/>
          <w:sz w:val="20"/>
          <w:szCs w:val="20"/>
        </w:rPr>
        <w:t xml:space="preserve">Recommendations from Internal Audit or external auditors</w:t>
      </w:r>
    </w:p>
    <w:p>
      <w:pPr>
        <w:spacing w:before="60" w:after="60"/>
      </w:pPr>
      <w:r>
        <w:t xml:space="preserve"/>
      </w:r>
    </w:p>
    <w:p>
      <w:pPr>
        <w:spacing w:before="60" w:after="80"/>
      </w:pPr>
      <w:r>
        <w:rPr>
          <w:rFonts w:ascii="Arial" w:cs="Arial" w:eastAsia="Arial" w:hAnsi="Arial"/>
          <w:color w:val="2E2E2E"/>
          <w:sz w:val="20"/>
          <w:szCs w:val="20"/>
        </w:rPr>
        <w:t xml:space="preserve">Policy Owner: Chief Compliance Officer | Last Approved: December 15, 2024 | Approval Reference: BRCC-2024-48</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2"/>
      </w:pBdr>
      <w:spacing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595959"/>
              <w:sz w:val="14"/>
              <w:szCs w:val="14"/>
            </w:rPr>
            <w:t xml:space="preserve">Ver 4.2 | Effective: 01-Jan-2025 | Review: 31-Dec-2025</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r>
            <w:rPr>
              <w:rFonts w:ascii="Arial" w:cs="Arial" w:eastAsia="Arial" w:hAnsi="Arial"/>
              <w:color w:val="595959"/>
              <w:sz w:val="14"/>
              <w:szCs w:val="14"/>
            </w:rPr>
            <w:t xml:space="preserve"> of </w:t>
          </w:r>
          <w:r>
            <w:rPr>
              <w:rFonts w:ascii="Arial" w:cs="Arial" w:eastAsia="Arial" w:hAnsi="Arial"/>
              <w:color w:val="595959"/>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B3A6B"/>
              <w:sz w:val="22"/>
              <w:szCs w:val="22"/>
            </w:rPr>
            <w:t xml:space="preserve">HABIB BANK LIMITED (HBL)</w:t>
          </w:r>
        </w:p>
        <w:p>
          <w:r>
            <w:rPr>
              <w:rFonts w:ascii="Arial" w:cs="Arial" w:eastAsia="Arial" w:hAnsi="Arial"/>
              <w:color w:val="595959"/>
              <w:sz w:val="15"/>
              <w:szCs w:val="15"/>
            </w:rPr>
            <w:t xml:space="preserve">Anti-Money Laundering &amp; Know Your Customer Policy</w:t>
          </w:r>
        </w:p>
      </w:tc>
      <w:tc>
        <w:tcPr>
          <w:tcW w:type="dxa" w:w="3580"/>
          <w:tcBorders>
            <w:top w:val="none" w:color="FFFFFF" w:sz="0"/>
            <w:left w:val="none" w:color="FFFFFF" w:sz="0"/>
            <w:bottom w:val="none" w:color="FFFFFF" w:sz="0"/>
            <w:right w:val="none" w:color="FFFFFF" w:sz="0"/>
          </w:tcBorders>
          <w:tcMar>
            <w:top w:type="dxa" w:w="40"/>
            <w:left w:type="dxa" w:w="120"/>
            <w:bottom w:type="dxa" w:w="40"/>
            <w:right w:type="dxa" w:w="0"/>
          </w:tcMar>
          <w:vAlign w:val="center"/>
        </w:tcPr>
        <w:p>
          <w:pPr>
            <w:jc w:val="right"/>
          </w:pPr>
          <w:r>
            <w:rPr>
              <w:rFonts w:ascii="Arial" w:cs="Arial" w:eastAsia="Arial" w:hAnsi="Arial"/>
              <w:color w:val="595959"/>
              <w:sz w:val="14"/>
              <w:szCs w:val="14"/>
            </w:rPr>
            <w:t xml:space="preserve">CONFIDENTIAL | HBL-CAML-001</w:t>
          </w:r>
        </w:p>
      </w:tc>
    </w:tr>
  </w:tbl>
  <w:p>
    <w:pPr>
      <w:pBdr>
        <w:bottom w:val="single" w:color="1B3A6B" w:sz="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1B3A6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2026-02-10T18:24:44.985Z</dcterms:created>
  <dcterms:modified xsi:type="dcterms:W3CDTF">2026-02-10T18:24:44.986Z</dcterms:modified>
</cp:coreProperties>
</file>

<file path=docProps/custom.xml><?xml version="1.0" encoding="utf-8"?>
<Properties xmlns="http://schemas.openxmlformats.org/officeDocument/2006/custom-properties" xmlns:vt="http://schemas.openxmlformats.org/officeDocument/2006/docPropsVTypes"/>
</file>