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60"/>
        <w:jc w:val="center"/>
      </w:pPr>
      <w:r>
        <w:rPr>
          <w:rFonts w:ascii="Arial" w:cs="Arial" w:eastAsia="Arial" w:hAnsi="Arial"/>
          <w:b/>
          <w:bCs/>
          <w:color w:val="1B3A6B"/>
          <w:sz w:val="56"/>
          <w:szCs w:val="56"/>
        </w:rPr>
        <w:t xml:space="preserve">HABIB BANK LIMITED</w:t>
      </w:r>
    </w:p>
    <w:p>
      <w:pPr>
        <w:spacing w:before="0" w:after="60"/>
        <w:jc w:val="center"/>
      </w:pPr>
      <w:r>
        <w:rPr>
          <w:rFonts w:ascii="Arial" w:cs="Arial" w:eastAsia="Arial" w:hAnsi="Arial"/>
          <w:color w:val="595959"/>
          <w:sz w:val="18"/>
          <w:szCs w:val="18"/>
        </w:rPr>
        <w:t xml:space="preserve">Head Office: Habib Bank Plaza, I.I. Chundrigar Road, Karachi 74200, Pakistan</w:t>
      </w:r>
    </w:p>
    <w:p>
      <w:pPr>
        <w:spacing w:before="60" w:after="60"/>
      </w:pPr>
      <w:r>
        <w:t xml:space="preserve"/>
      </w:r>
    </w:p>
    <w:p>
      <w:pPr>
        <w:shd w:fill="1B3A6B" w:val="clear"/>
        <w:spacing w:before="200" w:after="0"/>
        <w:jc w:val="center"/>
      </w:pPr>
      <w:r>
        <w:rPr>
          <w:rFonts w:ascii="Arial" w:cs="Arial" w:eastAsia="Arial" w:hAnsi="Arial"/>
          <w:b/>
          <w:bCs/>
          <w:color w:val="FFFFFF"/>
          <w:sz w:val="38"/>
          <w:szCs w:val="38"/>
        </w:rPr>
        <w:t xml:space="preserve">  ANNUAL AUDIT &amp;  </w:t>
      </w:r>
    </w:p>
    <w:p>
      <w:pPr>
        <w:shd w:fill="1B3A6B" w:val="clear"/>
        <w:spacing w:before="0" w:after="200"/>
        <w:jc w:val="center"/>
      </w:pPr>
      <w:r>
        <w:rPr>
          <w:rFonts w:ascii="Arial" w:cs="Arial" w:eastAsia="Arial" w:hAnsi="Arial"/>
          <w:color w:val="D6E4F7"/>
          <w:sz w:val="22"/>
          <w:szCs w:val="22"/>
        </w:rPr>
        <w:t xml:space="preserve">  COMPLIANCE CHECKLIST — FY 2025  </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3A6B"/>
                <w:sz w:val="18"/>
                <w:szCs w:val="18"/>
              </w:rPr>
              <w:t xml:space="preserve">Document Number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18"/>
                <w:szCs w:val="18"/>
              </w:rPr>
              <w:t xml:space="preserve">HBL-AUD-CHK-004</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3A6B"/>
                <w:sz w:val="18"/>
                <w:szCs w:val="18"/>
              </w:rPr>
              <w:t xml:space="preserve">Policy Category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2E2E"/>
                <w:sz w:val="18"/>
                <w:szCs w:val="18"/>
              </w:rPr>
              <w:t xml:space="preserve">Internal Audit / Compliance Assurance</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3A6B"/>
                <w:sz w:val="18"/>
                <w:szCs w:val="18"/>
              </w:rPr>
              <w:t xml:space="preserve">Version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18"/>
                <w:szCs w:val="18"/>
              </w:rPr>
              <w:t xml:space="preserve">2.3</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3A6B"/>
                <w:sz w:val="18"/>
                <w:szCs w:val="18"/>
              </w:rPr>
              <w:t xml:space="preserve">Classification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2E2E"/>
                <w:sz w:val="18"/>
                <w:szCs w:val="18"/>
              </w:rPr>
              <w:t xml:space="preserve">CONFIDENTIAL – RESTRICTED: AUDIT &amp; COMPLIANCE USE ONLY</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3A6B"/>
                <w:sz w:val="18"/>
                <w:szCs w:val="18"/>
              </w:rPr>
              <w:t xml:space="preserve">Effective 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18"/>
                <w:szCs w:val="18"/>
              </w:rPr>
              <w:t xml:space="preserve">January 1, 2025</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3A6B"/>
                <w:sz w:val="18"/>
                <w:szCs w:val="18"/>
              </w:rPr>
              <w:t xml:space="preserve">Next Review Date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2E2E"/>
                <w:sz w:val="18"/>
                <w:szCs w:val="18"/>
              </w:rPr>
              <w:t xml:space="preserve">December 31, 2025</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3A6B"/>
                <w:sz w:val="18"/>
                <w:szCs w:val="18"/>
              </w:rPr>
              <w:t xml:space="preserve">Policy Owner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18"/>
                <w:szCs w:val="18"/>
              </w:rPr>
              <w:t xml:space="preserve">Chief Internal Auditor (CIA)</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3A6B"/>
                <w:sz w:val="18"/>
                <w:szCs w:val="18"/>
              </w:rPr>
              <w:t xml:space="preserve">Reviewed By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2E2E"/>
                <w:sz w:val="18"/>
                <w:szCs w:val="18"/>
              </w:rPr>
              <w:t xml:space="preserve">Chief Compliance Officer (CCO), Chief Risk Officer (CRO)</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3A6B"/>
                <w:sz w:val="18"/>
                <w:szCs w:val="18"/>
              </w:rPr>
              <w:t xml:space="preserve">Approved By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18"/>
                <w:szCs w:val="18"/>
              </w:rPr>
              <w:t xml:space="preserve">Board Audit Committee (BAC)</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3A6B"/>
                <w:sz w:val="18"/>
                <w:szCs w:val="18"/>
              </w:rPr>
              <w:t xml:space="preserve">Applicable To</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2E2E"/>
                <w:sz w:val="18"/>
                <w:szCs w:val="18"/>
              </w:rPr>
              <w:t xml:space="preserve">Internal Audit teams, Compliance self-assessment units, external auditors during engagements</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3A6B"/>
                <w:sz w:val="18"/>
                <w:szCs w:val="18"/>
              </w:rPr>
              <w:t xml:space="preserve">Related Documents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18"/>
                <w:szCs w:val="18"/>
              </w:rPr>
              <w:t xml:space="preserve">HBL-CAML-001, HBL-TXN-SOP-002, HBL-COP-003, HBL-IT-001, HBL-CRD-006 (Credit Policy)</w:t>
            </w:r>
          </w:p>
        </w:tc>
      </w:tr>
    </w:tbl>
    <w:p>
      <w:pPr>
        <w:spacing w:before="60" w:after="60"/>
      </w:pPr>
      <w:r>
        <w:t xml:space="preserve"/>
      </w:r>
    </w:p>
    <w:p>
      <w:pPr>
        <w:shd w:fill="FFF2CC" w:val="clear"/>
        <w:spacing w:before="120" w:after="120"/>
        <w:jc w:val="center"/>
      </w:pPr>
      <w:r>
        <w:rPr>
          <w:rFonts w:ascii="Arial" w:cs="Arial" w:eastAsia="Arial" w:hAnsi="Arial"/>
          <w:i/>
          <w:iCs/>
          <w:color w:val="7F4F00"/>
          <w:sz w:val="16"/>
          <w:szCs w:val="16"/>
        </w:rPr>
        <w:t xml:space="preserve">RESTRICTED: This document is for use by authorized Internal Audit and Compliance staff only. Findings and results are privileged audit communications and must not be shared externally without Board Audit Committee approval.</w:t>
      </w:r>
    </w:p>
    <w:p>
      <w:r>
        <w:br w:type="page"/>
      </w:r>
    </w:p>
    <w:p>
      <w:pPr>
        <w:pStyle w:val="Heading1"/>
        <w:shd w:fill="1B3A6B" w:val="clear"/>
        <w:spacing w:before="360" w:after="120"/>
        <w:ind w:left="180" w:right="180"/>
      </w:pPr>
      <w:r>
        <w:rPr>
          <w:rFonts w:ascii="Arial" w:cs="Arial" w:eastAsia="Arial" w:hAnsi="Arial"/>
          <w:b/>
          <w:bCs/>
          <w:color w:val="FFFFFF"/>
          <w:sz w:val="30"/>
          <w:szCs w:val="30"/>
        </w:rPr>
        <w:t xml:space="preserve">1. PURPOSE AND AUDIT FRAMEWORK</w:t>
      </w:r>
    </w:p>
    <w:p>
      <w:pPr>
        <w:spacing w:before="60" w:after="60"/>
      </w:pPr>
      <w:r>
        <w:t xml:space="preserve"/>
      </w:r>
    </w:p>
    <w:p>
      <w:pPr>
        <w:pStyle w:val="Heading2"/>
        <w:pBdr>
          <w:bottom w:val="single" w:color="4472C4" w:sz="2"/>
        </w:pBdr>
        <w:spacing w:before="280" w:after="100"/>
      </w:pPr>
      <w:r>
        <w:rPr>
          <w:rFonts w:ascii="Arial" w:cs="Arial" w:eastAsia="Arial" w:hAnsi="Arial"/>
          <w:b/>
          <w:bCs/>
          <w:color w:val="1B3A6B"/>
          <w:sz w:val="26"/>
          <w:szCs w:val="26"/>
        </w:rPr>
        <w:t xml:space="preserve">1.1 Purpose of This Checklist</w:t>
      </w:r>
    </w:p>
    <w:p>
      <w:pPr>
        <w:spacing w:before="60" w:after="80"/>
      </w:pPr>
      <w:r>
        <w:rPr>
          <w:rFonts w:ascii="Arial" w:cs="Arial" w:eastAsia="Arial" w:hAnsi="Arial"/>
          <w:color w:val="2E2E2E"/>
          <w:sz w:val="20"/>
          <w:szCs w:val="20"/>
        </w:rPr>
        <w:t xml:space="preserve">This Annual Audit &amp; Compliance Checklist provides the Internal Audit function and Compliance self-assessment teams with a structured, comprehensive tool to evaluate HBL's adherence to internal policies, SBP prudential regulations, FBR tax compliance requirements, SECP directives, and FATF AML/CFT standards. This checklist is used as the primary audit workpaper supporting the Annual Compliance Report submitted to the Board Audit Committee (BAC) and the State Bank of Pakistan.</w:t>
      </w:r>
    </w:p>
    <w:p>
      <w:pPr>
        <w:spacing w:before="60" w:after="60"/>
      </w:pPr>
      <w:r>
        <w:t xml:space="preserve"/>
      </w:r>
    </w:p>
    <w:p>
      <w:pPr>
        <w:pStyle w:val="Heading2"/>
        <w:pBdr>
          <w:bottom w:val="single" w:color="4472C4" w:sz="2"/>
        </w:pBdr>
        <w:spacing w:before="280" w:after="100"/>
      </w:pPr>
      <w:r>
        <w:rPr>
          <w:rFonts w:ascii="Arial" w:cs="Arial" w:eastAsia="Arial" w:hAnsi="Arial"/>
          <w:b/>
          <w:bCs/>
          <w:color w:val="1B3A6B"/>
          <w:sz w:val="26"/>
          <w:szCs w:val="26"/>
        </w:rPr>
        <w:t xml:space="preserve">1.2 Audit Methodology</w:t>
      </w:r>
    </w:p>
    <w:p>
      <w:pPr>
        <w:spacing w:before="60" w:after="80"/>
      </w:pPr>
      <w:r>
        <w:rPr>
          <w:rFonts w:ascii="Arial" w:cs="Arial" w:eastAsia="Arial" w:hAnsi="Arial"/>
          <w:color w:val="2E2E2E"/>
          <w:sz w:val="20"/>
          <w:szCs w:val="20"/>
        </w:rPr>
        <w:t xml:space="preserve">The internal audit approach follows the Institute of Internal Auditors (IIA) International Standards for the Professional Practice of Internal Auditing and HBL's Internal Audit Charter. The methodology includes:</w:t>
      </w:r>
    </w:p>
    <w:p>
      <w:pPr>
        <w:pStyle w:val="ListParagraph"/>
        <w:numPr>
          <w:ilvl w:val="0"/>
          <w:numId w:val="2"/>
        </w:numPr>
        <w:spacing w:before="40" w:after="40"/>
      </w:pPr>
      <w:r>
        <w:rPr>
          <w:rFonts w:ascii="Arial" w:cs="Arial" w:eastAsia="Arial" w:hAnsi="Arial"/>
          <w:color w:val="2E2E2E"/>
          <w:sz w:val="20"/>
          <w:szCs w:val="20"/>
        </w:rPr>
        <w:t xml:space="preserve">Risk-based sampling: High-risk areas receive full population testing; medium-risk areas receive 25-50% sample; low-risk areas receive 10-15% sample</w:t>
      </w:r>
    </w:p>
    <w:p>
      <w:pPr>
        <w:pStyle w:val="ListParagraph"/>
        <w:numPr>
          <w:ilvl w:val="0"/>
          <w:numId w:val="2"/>
        </w:numPr>
        <w:spacing w:before="40" w:after="40"/>
      </w:pPr>
      <w:r>
        <w:rPr>
          <w:rFonts w:ascii="Arial" w:cs="Arial" w:eastAsia="Arial" w:hAnsi="Arial"/>
          <w:color w:val="2E2E2E"/>
          <w:sz w:val="20"/>
          <w:szCs w:val="20"/>
        </w:rPr>
        <w:t xml:space="preserve">Documentary evidence review: examination of records, registers, reports, and system outputs</w:t>
      </w:r>
    </w:p>
    <w:p>
      <w:pPr>
        <w:pStyle w:val="ListParagraph"/>
        <w:numPr>
          <w:ilvl w:val="0"/>
          <w:numId w:val="2"/>
        </w:numPr>
        <w:spacing w:before="40" w:after="40"/>
      </w:pPr>
      <w:r>
        <w:rPr>
          <w:rFonts w:ascii="Arial" w:cs="Arial" w:eastAsia="Arial" w:hAnsi="Arial"/>
          <w:color w:val="2E2E2E"/>
          <w:sz w:val="20"/>
          <w:szCs w:val="20"/>
        </w:rPr>
        <w:t xml:space="preserve">Staff interviews: structured interviews with relationship managers, branch staff, compliance officers, and senior management</w:t>
      </w:r>
    </w:p>
    <w:p>
      <w:pPr>
        <w:pStyle w:val="ListParagraph"/>
        <w:numPr>
          <w:ilvl w:val="0"/>
          <w:numId w:val="2"/>
        </w:numPr>
        <w:spacing w:before="40" w:after="40"/>
      </w:pPr>
      <w:r>
        <w:rPr>
          <w:rFonts w:ascii="Arial" w:cs="Arial" w:eastAsia="Arial" w:hAnsi="Arial"/>
          <w:color w:val="2E2E2E"/>
          <w:sz w:val="20"/>
          <w:szCs w:val="20"/>
        </w:rPr>
        <w:t xml:space="preserve">System walk-throughs: live demonstrations of key controls in CBS, TMS, and DMS</w:t>
      </w:r>
    </w:p>
    <w:p>
      <w:pPr>
        <w:pStyle w:val="ListParagraph"/>
        <w:numPr>
          <w:ilvl w:val="0"/>
          <w:numId w:val="2"/>
        </w:numPr>
        <w:spacing w:before="40" w:after="40"/>
      </w:pPr>
      <w:r>
        <w:rPr>
          <w:rFonts w:ascii="Arial" w:cs="Arial" w:eastAsia="Arial" w:hAnsi="Arial"/>
          <w:color w:val="2E2E2E"/>
          <w:sz w:val="20"/>
          <w:szCs w:val="20"/>
        </w:rPr>
        <w:t xml:space="preserve">Transaction testing: end-to-end verification of selected transactions from initiation to completion and reporting</w:t>
      </w:r>
    </w:p>
    <w:p>
      <w:pPr>
        <w:pStyle w:val="ListParagraph"/>
        <w:numPr>
          <w:ilvl w:val="0"/>
          <w:numId w:val="2"/>
        </w:numPr>
        <w:spacing w:before="40" w:after="40"/>
      </w:pPr>
      <w:r>
        <w:rPr>
          <w:rFonts w:ascii="Arial" w:cs="Arial" w:eastAsia="Arial" w:hAnsi="Arial"/>
          <w:color w:val="2E2E2E"/>
          <w:sz w:val="20"/>
          <w:szCs w:val="20"/>
        </w:rPr>
        <w:t xml:space="preserve">Comparative analysis: comparison of current results with prior audit findings and benchmarks</w:t>
      </w:r>
    </w:p>
    <w:p>
      <w:pPr>
        <w:spacing w:before="60" w:after="60"/>
      </w:pPr>
      <w:r>
        <w:t xml:space="preserve"/>
      </w:r>
    </w:p>
    <w:p>
      <w:pPr>
        <w:pStyle w:val="Heading2"/>
        <w:pBdr>
          <w:bottom w:val="single" w:color="4472C4" w:sz="2"/>
        </w:pBdr>
        <w:spacing w:before="280" w:after="100"/>
      </w:pPr>
      <w:r>
        <w:rPr>
          <w:rFonts w:ascii="Arial" w:cs="Arial" w:eastAsia="Arial" w:hAnsi="Arial"/>
          <w:b/>
          <w:bCs/>
          <w:color w:val="1B3A6B"/>
          <w:sz w:val="26"/>
          <w:szCs w:val="26"/>
        </w:rPr>
        <w:t xml:space="preserve">1.3 Finding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60"/>
        <w:gridCol w:w="2800"/>
        <w:gridCol w:w="2600"/>
      </w:tblGrid>
      <w:tr>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Rating</w:t>
            </w:r>
          </w:p>
        </w:tc>
        <w:tc>
          <w:tcPr>
            <w:tcW w:type="dxa" w:w="2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Definition</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Management Action Required</w:t>
            </w:r>
          </w:p>
        </w:tc>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Timeline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Critical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Control is absent or fundamentally ineffective; high probability of significant regulatory breach, financial loss, or reputational damage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Immediate CCO and Board notification; remediation plan within 5 business days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Closure within 30 days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High</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Significant control weakness; regulatory requirement not fully met; material risk exposure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Senior Management notification; documented remediation plan</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Closure within 60 days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Medium</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Moderate control weakness; regulatory compliance risk; process inefficiency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Management action plan with responsible owner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Closure within 90 days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Low</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Minor process gap; documentation weakness; improvement opportunity with no immediate compliance risk</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Management response and action plan</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Closure within 180 days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Observation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Best practice recommendation; no current compliance breach identified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Management consideration and response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As appropriate</w:t>
            </w:r>
          </w:p>
        </w:tc>
      </w:tr>
    </w:tbl>
    <w:p>
      <w:r>
        <w:br w:type="page"/>
      </w:r>
    </w:p>
    <w:p>
      <w:pPr>
        <w:pStyle w:val="Heading1"/>
        <w:shd w:fill="1B3A6B" w:val="clear"/>
        <w:spacing w:before="360" w:after="120"/>
        <w:ind w:left="180" w:right="180"/>
      </w:pPr>
      <w:r>
        <w:rPr>
          <w:rFonts w:ascii="Arial" w:cs="Arial" w:eastAsia="Arial" w:hAnsi="Arial"/>
          <w:b/>
          <w:bCs/>
          <w:color w:val="FFFFFF"/>
          <w:sz w:val="30"/>
          <w:szCs w:val="30"/>
        </w:rPr>
        <w:t xml:space="preserve">2. AML/CFT COMPLIANCE AUDIT CHECKLIST</w:t>
      </w:r>
    </w:p>
    <w:p>
      <w:pPr>
        <w:spacing w:before="60" w:after="60"/>
      </w:pPr>
      <w:r>
        <w:t xml:space="preserve"/>
      </w:r>
    </w:p>
    <w:p>
      <w:pPr>
        <w:pStyle w:val="Heading2"/>
        <w:pBdr>
          <w:bottom w:val="single" w:color="4472C4" w:sz="2"/>
        </w:pBdr>
        <w:spacing w:before="280" w:after="100"/>
      </w:pPr>
      <w:r>
        <w:rPr>
          <w:rFonts w:ascii="Arial" w:cs="Arial" w:eastAsia="Arial" w:hAnsi="Arial"/>
          <w:b/>
          <w:bCs/>
          <w:color w:val="1B3A6B"/>
          <w:sz w:val="26"/>
          <w:szCs w:val="26"/>
        </w:rPr>
        <w:t xml:space="preserve">2.1 Customer Due Diligence (CDD)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200"/>
        <w:gridCol w:w="1560"/>
        <w:gridCol w:w="1400"/>
      </w:tblGrid>
      <w:tr>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Check ID</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Audit Check</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Regulatory Reference</w:t>
            </w:r>
          </w:p>
        </w:tc>
        <w:tc>
          <w:tcPr>
            <w:tcW w:type="dxa" w:w="1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Finding (C/NC/NA)</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Evidence / Notes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AML-CDD-01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Verify that 100% of active accounts have a completed and signed Account Opening Form (AOF) in the DMS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SBP AML/CFT Reg 2020, Reg 10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AML-CDD-02</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Confirm NADRA Verisys biometric verification was completed for all individual accounts opened in the audit period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SBP BPRD Circular 08/2021</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AML-CDD-03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Verify that CNIC copies on file are current (not expired); check all CNICs with expiry in audit period were renewed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SBP AML/CFT Reg 2020, Reg 11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AML-CDD-04</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Confirm all corporate accounts have Beneficial Ownership Declaration (Form BO-CORP-001) with UBOs &gt;= 25% identified and verified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FATF Rec 10, SBP AML/CFT Reg 12</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AML-CDD-05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Verify risk ratings assigned at onboarding are appropriate and approved per the Account Opening Approval Matrix</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HBL-CAML-001 Section 3.2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AML-CDD-06</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Confirm EDD was completed for all accounts rated High Risk at onboarding (PEPs, cash-intensive businesses, NGOs)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SBP AML/CFT Reg 2020, Reg 14</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AML-CDD-07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Review KYC refresh completions: Low Risk accounts reviewed every 3 years, Medium Risk annually, High Risk every 6 months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HBL-CAML-001 Section 3.4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AML-CDD-08</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Verify that accounts overdue for KYC refresh have been identified and action taken (contact, restrict, or close)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SBP AML/CFT Reg 2020, Reg 16</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AML-CDD-09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Confirm NTN verification was completed on FBR IRIS portal for all income-generating customers with annual income &gt; PKR 600,000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FBR SRO 1190 of 2018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AML-CDD-10</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Review PEP register: confirm all PEP accounts were pre-approved by CCO; EDD completed; quarterly transaction reviews conducted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HBL-CAML-001 Section 3.3.1</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r>
    </w:tbl>
    <w:p>
      <w:pPr>
        <w:spacing w:before="60" w:after="60"/>
      </w:pPr>
      <w:r>
        <w:t xml:space="preserve"/>
      </w:r>
    </w:p>
    <w:p>
      <w:pPr>
        <w:pStyle w:val="Heading2"/>
        <w:pBdr>
          <w:bottom w:val="single" w:color="4472C4" w:sz="2"/>
        </w:pBdr>
        <w:spacing w:before="280" w:after="100"/>
      </w:pPr>
      <w:r>
        <w:rPr>
          <w:rFonts w:ascii="Arial" w:cs="Arial" w:eastAsia="Arial" w:hAnsi="Arial"/>
          <w:b/>
          <w:bCs/>
          <w:color w:val="1B3A6B"/>
          <w:sz w:val="26"/>
          <w:szCs w:val="26"/>
        </w:rPr>
        <w:t xml:space="preserve">2.2 Sanctions Screening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200"/>
        <w:gridCol w:w="1560"/>
        <w:gridCol w:w="1400"/>
      </w:tblGrid>
      <w:tr>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Check ID</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Audit Check</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Regulatory Reference</w:t>
            </w:r>
          </w:p>
        </w:tc>
        <w:tc>
          <w:tcPr>
            <w:tcW w:type="dxa" w:w="1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Finding (C/NC/NA)</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Evidence / Notes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AML-SCR-01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Verify sanctions screening system is receiving real-time updates from UNSC, NACTA, FMU, OFAC, and HMTSY lists (check update logs)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SBP AML/CFT Reg 2020, Reg 20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AML-SCR-02</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Confirm daily batch screening is running against the full customer database; review run logs and exception reports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SBP AML/CFT Reg 2020, Reg 20</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AML-SCR-03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Sample 50 sanctions alerts from audit period: verify each was reviewed within 2 business hours and appropriately dispositioned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HBL-CAML-001 Section 4.2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AML-SCR-04</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Verify all confirmed sanctions hits were reported to FMU and SBP within 24 hours; review notification documentation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SBP AML/CFT Reg 2020, Reg 22; AML Act 2010 S.26</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AML-SCR-05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Review false positive documentation: confirm rationale is documented, not generic; check for inappropriate pattern of same-name false positives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FATF Rec 6, HBL-CAML-001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r>
    </w:tbl>
    <w:p>
      <w:pPr>
        <w:spacing w:before="60" w:after="60"/>
      </w:pPr>
      <w:r>
        <w:t xml:space="preserve"/>
      </w:r>
    </w:p>
    <w:p>
      <w:pPr>
        <w:pStyle w:val="Heading2"/>
        <w:pBdr>
          <w:bottom w:val="single" w:color="4472C4" w:sz="2"/>
        </w:pBdr>
        <w:spacing w:before="280" w:after="100"/>
      </w:pPr>
      <w:r>
        <w:rPr>
          <w:rFonts w:ascii="Arial" w:cs="Arial" w:eastAsia="Arial" w:hAnsi="Arial"/>
          <w:b/>
          <w:bCs/>
          <w:color w:val="1B3A6B"/>
          <w:sz w:val="26"/>
          <w:szCs w:val="26"/>
        </w:rPr>
        <w:t xml:space="preserve">2.3 STR / CTR Filing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200"/>
        <w:gridCol w:w="1560"/>
        <w:gridCol w:w="1400"/>
      </w:tblGrid>
      <w:tr>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Check ID</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Audit Check</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Regulatory Reference</w:t>
            </w:r>
          </w:p>
        </w:tc>
        <w:tc>
          <w:tcPr>
            <w:tcW w:type="dxa" w:w="1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Finding (C/NC/NA)</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Evidence / Notes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AML-RPT-01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Verify all STRs filed in audit period were approved by CCO before submission to FMU</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AML Act 2010, S.7; SBP Reg 17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AML-RPT-02</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Confirm STR filing timeliness: all STRs filed within 7 working days of transaction identification; check GoAML confirmation dates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AML Act 2010, S.7</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AML-RPT-03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Assess STR quality: sample 20 STRs; verify complete subject information, clear narrative, supporting evidence attached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FMU Quality Guidelines 2023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AML-RPT-04</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Verify CTR filing register: all cash transactions &gt;= PKR 2,500,000 resulted in CTR filed within 7 working days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AML Act 2010, S.8; SBP Reg 17</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AML-RPT-05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Check for structuring: review accounts with multiple cash transactions just below PKR 2,500,000 threshold; verify TMS alerts generated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AML Act 2010, S.3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AML-RPT-06</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Confirm no evidence of tipping-off: review STR subject accounts for unusual account restrictions or closure activity immediately post-STR that may indicate disclosure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AML Act 2010, S.26</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r>
    </w:tbl>
    <w:p>
      <w:r>
        <w:br w:type="page"/>
      </w:r>
    </w:p>
    <w:p>
      <w:pPr>
        <w:pStyle w:val="Heading1"/>
        <w:shd w:fill="1B3A6B" w:val="clear"/>
        <w:spacing w:before="360" w:after="120"/>
        <w:ind w:left="180" w:right="180"/>
      </w:pPr>
      <w:r>
        <w:rPr>
          <w:rFonts w:ascii="Arial" w:cs="Arial" w:eastAsia="Arial" w:hAnsi="Arial"/>
          <w:b/>
          <w:bCs/>
          <w:color w:val="FFFFFF"/>
          <w:sz w:val="30"/>
          <w:szCs w:val="30"/>
        </w:rPr>
        <w:t xml:space="preserve">3. SBP PRUDENTIAL REGULATIONS COMPLIANCE CHECKLIST</w:t>
      </w:r>
    </w:p>
    <w:p>
      <w:pPr>
        <w:spacing w:before="60" w:after="60"/>
      </w:pPr>
      <w:r>
        <w:t xml:space="preserve"/>
      </w:r>
    </w:p>
    <w:p>
      <w:pPr>
        <w:pStyle w:val="Heading2"/>
        <w:pBdr>
          <w:bottom w:val="single" w:color="4472C4" w:sz="2"/>
        </w:pBdr>
        <w:spacing w:before="280" w:after="100"/>
      </w:pPr>
      <w:r>
        <w:rPr>
          <w:rFonts w:ascii="Arial" w:cs="Arial" w:eastAsia="Arial" w:hAnsi="Arial"/>
          <w:b/>
          <w:bCs/>
          <w:color w:val="1B3A6B"/>
          <w:sz w:val="26"/>
          <w:szCs w:val="26"/>
        </w:rPr>
        <w:t xml:space="preserve">3.1 Capital Adequacy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200"/>
        <w:gridCol w:w="1560"/>
        <w:gridCol w:w="1400"/>
      </w:tblGrid>
      <w:tr>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Check ID</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Audit Check</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Regulatory Reference</w:t>
            </w:r>
          </w:p>
        </w:tc>
        <w:tc>
          <w:tcPr>
            <w:tcW w:type="dxa" w:w="1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Finding (C/NC/NA)</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Evidence / Notes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CAP-01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Verify Capital Adequacy Ratio (CAR): minimum 11.5% (Tier 1 + Tier 2) per SBP Basel III framework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SBP PRs for Banks, PR-1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CAP-02</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Confirm Common Equity Tier 1 (CET1) ratio meets minimum 6% requirement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SBP BPRD Circular No. 6 of 2018</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CAP-03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Verify Capital Conservation Buffer (CCB) of 2.5% is maintained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SBP Basel III Implementation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CAP-04</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Review credit risk-weighted assets calculation for accuracy and completeness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SBP PRs for Banks, PR-1</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CAP-05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Confirm quarterly CAR reporting submitted to SBP Banking Supervision Department on time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SBP BSD Circular 07/2014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r>
    </w:tbl>
    <w:p>
      <w:pPr>
        <w:spacing w:before="60" w:after="60"/>
      </w:pPr>
      <w:r>
        <w:t xml:space="preserve"/>
      </w:r>
    </w:p>
    <w:p>
      <w:pPr>
        <w:pStyle w:val="Heading2"/>
        <w:pBdr>
          <w:bottom w:val="single" w:color="4472C4" w:sz="2"/>
        </w:pBdr>
        <w:spacing w:before="280" w:after="100"/>
      </w:pPr>
      <w:r>
        <w:rPr>
          <w:rFonts w:ascii="Arial" w:cs="Arial" w:eastAsia="Arial" w:hAnsi="Arial"/>
          <w:b/>
          <w:bCs/>
          <w:color w:val="1B3A6B"/>
          <w:sz w:val="26"/>
          <w:szCs w:val="26"/>
        </w:rPr>
        <w:t xml:space="preserve">3.2 Liquidity Risk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200"/>
        <w:gridCol w:w="1560"/>
        <w:gridCol w:w="1400"/>
      </w:tblGrid>
      <w:tr>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Check ID</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Audit Check</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Regulatory Reference</w:t>
            </w:r>
          </w:p>
        </w:tc>
        <w:tc>
          <w:tcPr>
            <w:tcW w:type="dxa" w:w="1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Finding (C/NC/NA)</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Evidence / Notes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LIQ-01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Verify Liquidity Coverage Ratio (LCR) &gt;= 100% at all times; review daily LCR calculations for 90-day sample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SBP BPRD Circular No. 02 of 2017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LIQ-02</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Confirm Net Stable Funding Ratio (NSFR) &gt;= 100%; review monthly NSFR calculations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SBP BPRD Circular No. 02 of 2017</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LIQ-03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Review Statutory Liquidity Requirement (SLR): 19% of Time and Demand Liabilities maintained in SBP-approved assets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SBP PRs for Banks, PR-6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LIQ-04</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Verify Cash Reserve Requirement (CRR): 5% of Time and Demand Liabilities maintained as deposits with SBP</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SBP Monetary Policy directives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LIQ-05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Review liquidity stress test results for last quarter; confirm Board-approved tolerance limits not breached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SBP Risk Management Guidelines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r>
    </w:tbl>
    <w:p>
      <w:pPr>
        <w:spacing w:before="60" w:after="60"/>
      </w:pPr>
      <w:r>
        <w:t xml:space="preserve"/>
      </w:r>
    </w:p>
    <w:p>
      <w:pPr>
        <w:pStyle w:val="Heading2"/>
        <w:pBdr>
          <w:bottom w:val="single" w:color="4472C4" w:sz="2"/>
        </w:pBdr>
        <w:spacing w:before="280" w:after="100"/>
      </w:pPr>
      <w:r>
        <w:rPr>
          <w:rFonts w:ascii="Arial" w:cs="Arial" w:eastAsia="Arial" w:hAnsi="Arial"/>
          <w:b/>
          <w:bCs/>
          <w:color w:val="1B3A6B"/>
          <w:sz w:val="26"/>
          <w:szCs w:val="26"/>
        </w:rPr>
        <w:t xml:space="preserve">3.3 Credit Risk and Non-Performing Loans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200"/>
        <w:gridCol w:w="1560"/>
        <w:gridCol w:w="1400"/>
      </w:tblGrid>
      <w:tr>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Check ID</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Audit Check</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Regulatory Reference</w:t>
            </w:r>
          </w:p>
        </w:tc>
        <w:tc>
          <w:tcPr>
            <w:tcW w:type="dxa" w:w="1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Finding (C/NC/NA)</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Evidence / Notes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CRD-01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Verify all credit facilities have a current Credit Appraisal Report (CAR) approved within the last 12 months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SBP PRs for Banks, PR-3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CRD-02</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Confirm credit classifications are accurate: OAEM, Substandard, Doubtful, Loss categories applied per SBP definitions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SBP PRs for Banks, PR-3, Annexure-II</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CRD-03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Verify provisioning against classified assets meets SBP minimum requirements: 25% (Substandard), 50% (Doubtful), 100% (Loss)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SBP PRs for Banks, PR-3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CRD-04</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Review single borrower exposure: no single borrower or group exceeds 25% of Bank's equity unencumbered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SBP PRs for Banks, PR-3</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CRD-05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Confirm connected lending disclosures: loans to directors, major shareholders, and their associates disclosed in annual report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SBP PRs for Banks, PR-3, Regulation 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CRD-06</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Verify credit committee approvals match approved authority limits; no out-of-authority lending</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HBL Credit Policy HBL-CRD-006</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CRD-07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Review restructured loans register; confirm proper classification maintained post-restructuring per SBP circulars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SBP BPRD Circular 04/2023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r>
    </w:tbl>
    <w:p>
      <w:pPr>
        <w:spacing w:before="60" w:after="60"/>
      </w:pPr>
      <w:r>
        <w:t xml:space="preserve"/>
      </w:r>
    </w:p>
    <w:p>
      <w:pPr>
        <w:pStyle w:val="Heading2"/>
        <w:pBdr>
          <w:bottom w:val="single" w:color="4472C4" w:sz="2"/>
        </w:pBdr>
        <w:spacing w:before="280" w:after="100"/>
      </w:pPr>
      <w:r>
        <w:rPr>
          <w:rFonts w:ascii="Arial" w:cs="Arial" w:eastAsia="Arial" w:hAnsi="Arial"/>
          <w:b/>
          <w:bCs/>
          <w:color w:val="1B3A6B"/>
          <w:sz w:val="26"/>
          <w:szCs w:val="26"/>
        </w:rPr>
        <w:t xml:space="preserve">3.4 Consumer Protection and Fair Treatment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200"/>
        <w:gridCol w:w="1560"/>
        <w:gridCol w:w="1400"/>
      </w:tblGrid>
      <w:tr>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Check ID</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Audit Check</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Regulatory Reference</w:t>
            </w:r>
          </w:p>
        </w:tc>
        <w:tc>
          <w:tcPr>
            <w:tcW w:type="dxa" w:w="1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Finding (C/NC/NA)</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Evidence / Notes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CXP-01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Verify all product terms and conditions are clearly disclosed to customers; mystery shopping results reviewed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SBP Consumer Protection Framework 2022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CXP-02</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Review customer complaints register: all complaints resolved within SBP-mandated 10-working-day timeline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SBP CPC Circular 2023</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CXP-03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Confirm Banking Mohtasib (Ombudsman) escalations were handled within prescribed timelines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Banking Companies Ordinance 1962, S.82A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CXP-04</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Verify interest rate / profit rate disclosures on loans and deposits match actual charged rates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SBP Consumer Protection Framework 2022</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CXP-05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Confirm that accounts are not blocked or frozen without proper legal authority or internal approval process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SBP Consumer Protection Framework 2022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r>
    </w:tbl>
    <w:p>
      <w:r>
        <w:br w:type="page"/>
      </w:r>
    </w:p>
    <w:p>
      <w:pPr>
        <w:pStyle w:val="Heading1"/>
        <w:shd w:fill="1B3A6B" w:val="clear"/>
        <w:spacing w:before="360" w:after="120"/>
        <w:ind w:left="180" w:right="180"/>
      </w:pPr>
      <w:r>
        <w:rPr>
          <w:rFonts w:ascii="Arial" w:cs="Arial" w:eastAsia="Arial" w:hAnsi="Arial"/>
          <w:b/>
          <w:bCs/>
          <w:color w:val="FFFFFF"/>
          <w:sz w:val="30"/>
          <w:szCs w:val="30"/>
        </w:rPr>
        <w:t xml:space="preserve">4. FBR TAX COMPLIANCE CHECKLIST</w:t>
      </w:r>
    </w:p>
    <w:p>
      <w:pPr>
        <w:spacing w:before="60" w:after="60"/>
      </w:pPr>
      <w:r>
        <w:t xml:space="preserve"/>
      </w:r>
    </w:p>
    <w:p>
      <w:pPr>
        <w:pStyle w:val="Heading2"/>
        <w:pBdr>
          <w:bottom w:val="single" w:color="4472C4" w:sz="2"/>
        </w:pBdr>
        <w:spacing w:before="280" w:after="100"/>
      </w:pPr>
      <w:r>
        <w:rPr>
          <w:rFonts w:ascii="Arial" w:cs="Arial" w:eastAsia="Arial" w:hAnsi="Arial"/>
          <w:b/>
          <w:bCs/>
          <w:color w:val="1B3A6B"/>
          <w:sz w:val="26"/>
          <w:szCs w:val="26"/>
        </w:rPr>
        <w:t xml:space="preserve">4.1 Withholding Tax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200"/>
        <w:gridCol w:w="1560"/>
        <w:gridCol w:w="1400"/>
      </w:tblGrid>
      <w:tr>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Check ID</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Audit Check</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Regulatory Reference</w:t>
            </w:r>
          </w:p>
        </w:tc>
        <w:tc>
          <w:tcPr>
            <w:tcW w:type="dxa" w:w="1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Finding (C/NC/NA)</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Evidence / Notes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FBR-WHT-01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Verify WHT deductions on profit on bank accounts (filer: 15%, non-filer: 30%) are correctly calculated and deducted per FBR Active Taxpayer List (ATL) status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Income Tax Ordinance 2001, S.151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FBR-WHT-02</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Confirm WHT on cash withdrawals (filer: 0%, non-filer: 0.6% above PKR 50,000 per day) correctly applied; verify ATL status check log</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Income Tax Ordinance 2001, S.231A</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FBR-WHT-03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Verify WHT on banking transactions / financial transactions tax (0.6% on transactions by non-filers) applied correctly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Finance Act, 2022 / S.231A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FBR-WHT-04</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Review monthly WHT deposit to FBR: all deductions deposited with FBR on or before 15th of following month</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Income Tax Ordinance 2001, S.160</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FBR-WHT-05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Verify Annual Withholding Tax Statement (Form IT-3) filed with FBR by July 31; review filing confirmation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Income Tax Ordinance 2001, S.165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r>
    </w:tbl>
    <w:p>
      <w:pPr>
        <w:spacing w:before="60" w:after="60"/>
      </w:pPr>
      <w:r>
        <w:t xml:space="preserve"/>
      </w:r>
    </w:p>
    <w:p>
      <w:pPr>
        <w:pStyle w:val="Heading2"/>
        <w:pBdr>
          <w:bottom w:val="single" w:color="4472C4" w:sz="2"/>
        </w:pBdr>
        <w:spacing w:before="280" w:after="100"/>
      </w:pPr>
      <w:r>
        <w:rPr>
          <w:rFonts w:ascii="Arial" w:cs="Arial" w:eastAsia="Arial" w:hAnsi="Arial"/>
          <w:b/>
          <w:bCs/>
          <w:color w:val="1B3A6B"/>
          <w:sz w:val="26"/>
          <w:szCs w:val="26"/>
        </w:rPr>
        <w:t xml:space="preserve">4.2 Tax Reporting and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200"/>
        <w:gridCol w:w="1560"/>
        <w:gridCol w:w="1400"/>
      </w:tblGrid>
      <w:tr>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Check ID</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Audit Check</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Regulatory Reference</w:t>
            </w:r>
          </w:p>
        </w:tc>
        <w:tc>
          <w:tcPr>
            <w:tcW w:type="dxa" w:w="1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Finding (C/NC/NA)</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Evidence / Notes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FBR-REP-01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Verify Annual Income Tax Return filed on time; assess completeness and accuracy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Income Tax Ordinance 2001, S.118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FBR-REP-02</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Confirm FBR IRIS registration is active and all required e-filings are up to date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FBR IRIS system</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FBR-REP-03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Review that NTN verification is performed on FBR IRIS for all income-generating customers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FBR / SBP Joint Directive 2022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FBR-REP-04</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Verify Advance Tax deductions on car financing, loans, and other specified transactions are correct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Income Tax Ordinance 2001, S.235</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FBR-REP-05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Confirm CREST (Credit, Reconciliation, Export, Supplies, Taxpayer) data submissions to FBR are complete and on time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FBR CREST System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r>
    </w:tbl>
    <w:p>
      <w:r>
        <w:br w:type="page"/>
      </w:r>
    </w:p>
    <w:p>
      <w:pPr>
        <w:pStyle w:val="Heading1"/>
        <w:shd w:fill="1B3A6B" w:val="clear"/>
        <w:spacing w:before="360" w:after="120"/>
        <w:ind w:left="180" w:right="180"/>
      </w:pPr>
      <w:r>
        <w:rPr>
          <w:rFonts w:ascii="Arial" w:cs="Arial" w:eastAsia="Arial" w:hAnsi="Arial"/>
          <w:b/>
          <w:bCs/>
          <w:color w:val="FFFFFF"/>
          <w:sz w:val="30"/>
          <w:szCs w:val="30"/>
        </w:rPr>
        <w:t xml:space="preserve">5. SECP COMPLIANCE CHECKLIST (FOR HBL SUBSIDIARIES)</w:t>
      </w:r>
    </w:p>
    <w:p>
      <w:pPr>
        <w:spacing w:before="60" w:after="60"/>
      </w:pPr>
      <w:r>
        <w:t xml:space="preserve"/>
      </w:r>
    </w:p>
    <w:p>
      <w:pPr>
        <w:pStyle w:val="Heading2"/>
        <w:pBdr>
          <w:bottom w:val="single" w:color="4472C4" w:sz="2"/>
        </w:pBdr>
        <w:spacing w:before="280" w:after="100"/>
      </w:pPr>
      <w:r>
        <w:rPr>
          <w:rFonts w:ascii="Arial" w:cs="Arial" w:eastAsia="Arial" w:hAnsi="Arial"/>
          <w:b/>
          <w:bCs/>
          <w:color w:val="1B3A6B"/>
          <w:sz w:val="26"/>
          <w:szCs w:val="26"/>
        </w:rPr>
        <w:t xml:space="preserve">5.1 Asset Management and Investment Banking Subsidiaries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200"/>
        <w:gridCol w:w="1560"/>
        <w:gridCol w:w="1400"/>
      </w:tblGrid>
      <w:tr>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Check ID</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Audit Check</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Regulatory Reference</w:t>
            </w:r>
          </w:p>
        </w:tc>
        <w:tc>
          <w:tcPr>
            <w:tcW w:type="dxa" w:w="1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Finding (C/NC/NA)</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Evidence / Notes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SECP-01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Verify SECP license renewals are current for all HBL subsidiary entities (HBL AMC, HBL Microfinance Bank)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Companies Act 2017; SECP Act 1997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SECP-02</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Confirm annual SECP Return filed within 30 days of AGM; audited accounts filed within 30 days of adoption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Companies Act 2017, S.130</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SECP-03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Review beneficial ownership disclosures in SECP filings; confirm HBL shareholding structure accurately disclosed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Companies Act 2017, S.452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SECP-04</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Verify SECP AML/CFT regulations compliance for HBL securities subsidiaries (investment advisors, fund managers)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SECP AML/CFT Regulations 2018</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r>
    </w:tbl>
    <w:p>
      <w:r>
        <w:br w:type="page"/>
      </w:r>
    </w:p>
    <w:p>
      <w:pPr>
        <w:pStyle w:val="Heading1"/>
        <w:shd w:fill="1B3A6B" w:val="clear"/>
        <w:spacing w:before="360" w:after="120"/>
        <w:ind w:left="180" w:right="180"/>
      </w:pPr>
      <w:r>
        <w:rPr>
          <w:rFonts w:ascii="Arial" w:cs="Arial" w:eastAsia="Arial" w:hAnsi="Arial"/>
          <w:b/>
          <w:bCs/>
          <w:color w:val="FFFFFF"/>
          <w:sz w:val="30"/>
          <w:szCs w:val="30"/>
        </w:rPr>
        <w:t xml:space="preserve">6. INTERNAL CONTROLS COMPLIANCE CHECKLIST</w:t>
      </w:r>
    </w:p>
    <w:p>
      <w:pPr>
        <w:spacing w:before="60" w:after="60"/>
      </w:pPr>
      <w:r>
        <w:t xml:space="preserve"/>
      </w:r>
    </w:p>
    <w:p>
      <w:pPr>
        <w:pStyle w:val="Heading2"/>
        <w:pBdr>
          <w:bottom w:val="single" w:color="4472C4" w:sz="2"/>
        </w:pBdr>
        <w:spacing w:before="280" w:after="100"/>
      </w:pPr>
      <w:r>
        <w:rPr>
          <w:rFonts w:ascii="Arial" w:cs="Arial" w:eastAsia="Arial" w:hAnsi="Arial"/>
          <w:b/>
          <w:bCs/>
          <w:color w:val="1B3A6B"/>
          <w:sz w:val="26"/>
          <w:szCs w:val="26"/>
        </w:rPr>
        <w:t xml:space="preserve">6.1 Segregation of Duties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960"/>
        <w:gridCol w:w="2000"/>
        <w:gridCol w:w="2200"/>
      </w:tblGrid>
      <w:tr>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Check ID</w:t>
            </w:r>
          </w:p>
        </w:tc>
        <w:tc>
          <w:tcPr>
            <w:tcW w:type="dxa" w:w="3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Audit Check</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Finding (C/NC/NA)</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Evidence / Notes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SOD-01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Verify that account opening and account activation are performed by different staff (maker-checker control in CBS)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SOD-02</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Confirm that credit approval and credit disbursement are performed by different individuals and departments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SOD-03</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Verify that transaction input and transaction authorization are segregated for amounts above PKR 100,000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SOD-04</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Review IT access rights: no staff member has both system administration and transaction processing access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SOD-05</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Confirm that internal audit staff have no operational responsibilities in the areas they audit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r>
    </w:tbl>
    <w:p>
      <w:pPr>
        <w:spacing w:before="60" w:after="60"/>
      </w:pPr>
      <w:r>
        <w:t xml:space="preserve"/>
      </w:r>
    </w:p>
    <w:p>
      <w:pPr>
        <w:pStyle w:val="Heading2"/>
        <w:pBdr>
          <w:bottom w:val="single" w:color="4472C4" w:sz="2"/>
        </w:pBdr>
        <w:spacing w:before="280" w:after="100"/>
      </w:pPr>
      <w:r>
        <w:rPr>
          <w:rFonts w:ascii="Arial" w:cs="Arial" w:eastAsia="Arial" w:hAnsi="Arial"/>
          <w:b/>
          <w:bCs/>
          <w:color w:val="1B3A6B"/>
          <w:sz w:val="26"/>
          <w:szCs w:val="26"/>
        </w:rPr>
        <w:t xml:space="preserve">6.2 Authorization and Approval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960"/>
        <w:gridCol w:w="2000"/>
        <w:gridCol w:w="2200"/>
      </w:tblGrid>
      <w:tr>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Check ID</w:t>
            </w:r>
          </w:p>
        </w:tc>
        <w:tc>
          <w:tcPr>
            <w:tcW w:type="dxa" w:w="3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Audit Check</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Finding (C/NC/NA)</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Evidence / Notes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AUTH-01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Verify that all transactions above PKR 500,000 have dual authorization in CBS (two signatures/approvals)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AUTH-02</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Confirm that out-of-policy decisions (credit exceptions, KYC exceptions) are documented with appropriate level of approval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AUTH-03</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Review expense claims: all claims above PKR 50,000 approved by appropriate level manager; no self-approval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AUTH-04</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Verify cheque book issuance log: all cheque books issued with customer acknowledgment signature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AUTH-05</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Confirm debit card PIN resets and account credential changes have multi-factor authentication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r>
    </w:tbl>
    <w:p>
      <w:pPr>
        <w:spacing w:before="60" w:after="60"/>
      </w:pPr>
      <w:r>
        <w:t xml:space="preserve"/>
      </w:r>
    </w:p>
    <w:p>
      <w:pPr>
        <w:pStyle w:val="Heading2"/>
        <w:pBdr>
          <w:bottom w:val="single" w:color="4472C4" w:sz="2"/>
        </w:pBdr>
        <w:spacing w:before="280" w:after="100"/>
      </w:pPr>
      <w:r>
        <w:rPr>
          <w:rFonts w:ascii="Arial" w:cs="Arial" w:eastAsia="Arial" w:hAnsi="Arial"/>
          <w:b/>
          <w:bCs/>
          <w:color w:val="1B3A6B"/>
          <w:sz w:val="26"/>
          <w:szCs w:val="26"/>
        </w:rPr>
        <w:t xml:space="preserve">6.3 Physical Security and Cash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960"/>
        <w:gridCol w:w="2000"/>
        <w:gridCol w:w="2200"/>
      </w:tblGrid>
      <w:tr>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Check ID</w:t>
            </w:r>
          </w:p>
        </w:tc>
        <w:tc>
          <w:tcPr>
            <w:tcW w:type="dxa" w:w="3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Audit Check</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Finding (C/NC/NA)</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Evidence / Notes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PHY-01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Verify vault opening and closing follows dual-control (two officers) procedure; vault logs reviewed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PHY-02</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Confirm cash in transit insurance coverage is current and adequate for branch cash volumes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PHY-03</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Review branch cash holding limits: actual holdings not exceeding Board-approved branch limits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PHY-04</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Verify CCTV cameras operational in all banking halls, cash counters, and vault areas; footage retention minimum 90 days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PHY-05</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Confirm branch alarm systems tested monthly; security guard logs reviewed for 3-month sample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PHY-06</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Review branch key management log: keys accounted for and issued only to authorized personnel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r>
    </w:tbl>
    <w:p>
      <w:r>
        <w:br w:type="page"/>
      </w:r>
    </w:p>
    <w:p>
      <w:pPr>
        <w:pStyle w:val="Heading1"/>
        <w:shd w:fill="1B3A6B" w:val="clear"/>
        <w:spacing w:before="360" w:after="120"/>
        <w:ind w:left="180" w:right="180"/>
      </w:pPr>
      <w:r>
        <w:rPr>
          <w:rFonts w:ascii="Arial" w:cs="Arial" w:eastAsia="Arial" w:hAnsi="Arial"/>
          <w:b/>
          <w:bCs/>
          <w:color w:val="FFFFFF"/>
          <w:sz w:val="30"/>
          <w:szCs w:val="30"/>
        </w:rPr>
        <w:t xml:space="preserve">7. HUMAN RESOURCES COMPLIANCE CHECKLIST</w:t>
      </w:r>
    </w:p>
    <w:p>
      <w:pPr>
        <w:spacing w:before="60" w:after="60"/>
      </w:pPr>
      <w:r>
        <w:t xml:space="preserve"/>
      </w:r>
    </w:p>
    <w:p>
      <w:pPr>
        <w:pStyle w:val="Heading2"/>
        <w:pBdr>
          <w:bottom w:val="single" w:color="4472C4" w:sz="2"/>
        </w:pBdr>
        <w:spacing w:before="280" w:after="100"/>
      </w:pPr>
      <w:r>
        <w:rPr>
          <w:rFonts w:ascii="Arial" w:cs="Arial" w:eastAsia="Arial" w:hAnsi="Arial"/>
          <w:b/>
          <w:bCs/>
          <w:color w:val="1B3A6B"/>
          <w:sz w:val="26"/>
          <w:szCs w:val="26"/>
        </w:rPr>
        <w:t xml:space="preserve">7.1 Employee Verification and Conduct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000"/>
        <w:gridCol w:w="1560"/>
        <w:gridCol w:w="1800"/>
      </w:tblGrid>
      <w:tr>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Check ID</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Audit Check</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Regulatory Reference</w:t>
            </w:r>
          </w:p>
        </w:tc>
        <w:tc>
          <w:tcPr>
            <w:tcW w:type="dxa" w:w="1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Finding (C/NC/NA)</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Evidence / Notes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HR-01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Verify pre-employment background checks completed for all new hires: criminal record, credit check, previous employment verification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SBP PRs for Banks, PR-17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HR-02</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Confirm Employee Due Diligence (EDD) for staff in sensitive positions (credit, cash, IT, compliance) includes enhanced background checks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HBL HR Policy</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HR-03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Review training completion rates: AML/CFT mandatory training &gt;= 95% completion for all staff categories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HBL-CAML-001 Section 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HR-04</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Verify code of conduct declarations: all staff signed current-year Code of Conduct and received a copy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HBL HR Policy / SBP PRs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HR-05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Confirm staff personal account monitoring: no unusual transactions in staff accounts inconsistent with their known income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SBP PRs for Banks, PR-17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HR-06</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Review conflict of interest declarations: all Grade 5 and above employees submitted annual declarations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HBL Code of Conduct</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r>
    </w:tbl>
    <w:p>
      <w:r>
        <w:br w:type="page"/>
      </w:r>
    </w:p>
    <w:p>
      <w:pPr>
        <w:pStyle w:val="Heading1"/>
        <w:shd w:fill="1B3A6B" w:val="clear"/>
        <w:spacing w:before="360" w:after="120"/>
        <w:ind w:left="180" w:right="180"/>
      </w:pPr>
      <w:r>
        <w:rPr>
          <w:rFonts w:ascii="Arial" w:cs="Arial" w:eastAsia="Arial" w:hAnsi="Arial"/>
          <w:b/>
          <w:bCs/>
          <w:color w:val="FFFFFF"/>
          <w:sz w:val="30"/>
          <w:szCs w:val="30"/>
        </w:rPr>
        <w:t xml:space="preserve">8. AUDIT FINDINGS SUMMARY AND MANAGEMENT RESPONSES</w:t>
      </w:r>
    </w:p>
    <w:p>
      <w:pPr>
        <w:spacing w:before="60" w:after="60"/>
      </w:pPr>
      <w:r>
        <w:t xml:space="preserve"/>
      </w:r>
    </w:p>
    <w:p>
      <w:pPr>
        <w:pStyle w:val="Heading2"/>
        <w:pBdr>
          <w:bottom w:val="single" w:color="4472C4" w:sz="2"/>
        </w:pBdr>
        <w:spacing w:before="280" w:after="100"/>
      </w:pPr>
      <w:r>
        <w:rPr>
          <w:rFonts w:ascii="Arial" w:cs="Arial" w:eastAsia="Arial" w:hAnsi="Arial"/>
          <w:b/>
          <w:bCs/>
          <w:color w:val="1B3A6B"/>
          <w:sz w:val="26"/>
          <w:szCs w:val="26"/>
        </w:rPr>
        <w:t xml:space="preserve">8.1 Summary of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800"/>
        <w:gridCol w:w="1200"/>
        <w:gridCol w:w="1400"/>
        <w:gridCol w:w="1400"/>
        <w:gridCol w:w="1200"/>
        <w:gridCol w:w="760"/>
      </w:tblGrid>
      <w:tr>
        <w:tc>
          <w:tcPr>
            <w:tcW w:type="dxa" w:w="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Check ID</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Finding Description</w:t>
            </w:r>
          </w:p>
        </w:tc>
        <w:tc>
          <w:tcPr>
            <w:tcW w:type="dxa" w:w="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Rating (C/H/M/L)</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Root Cause</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Recommended Action</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Management Response</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Responsible Owner</w:t>
            </w:r>
          </w:p>
        </w:tc>
        <w:tc>
          <w:tcPr>
            <w:tcW w:type="dxa" w:w="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Target Date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c>
          <w:tcPr>
            <w:tcW w:type="dxa" w:w="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r>
    </w:tbl>
    <w:p>
      <w:pPr>
        <w:spacing w:before="60" w:after="60"/>
      </w:pPr>
      <w:r>
        <w:t xml:space="preserve"/>
      </w:r>
    </w:p>
    <w:p>
      <w:pPr>
        <w:pStyle w:val="Heading2"/>
        <w:pBdr>
          <w:bottom w:val="single" w:color="4472C4" w:sz="2"/>
        </w:pBdr>
        <w:spacing w:before="280" w:after="100"/>
      </w:pPr>
      <w:r>
        <w:rPr>
          <w:rFonts w:ascii="Arial" w:cs="Arial" w:eastAsia="Arial" w:hAnsi="Arial"/>
          <w:b/>
          <w:bCs/>
          <w:color w:val="1B3A6B"/>
          <w:sz w:val="26"/>
          <w:szCs w:val="26"/>
        </w:rPr>
        <w:t xml:space="preserve">8.2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Signature</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Date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Lead Internal Auditor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Chief Internal Auditor</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Chief Compliance Officer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Auditee Representative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
            </w:r>
          </w:p>
        </w:tc>
      </w:tr>
    </w:tbl>
    <w:p>
      <w:pPr>
        <w:spacing w:before="60" w:after="60"/>
      </w:pPr>
      <w:r>
        <w:t xml:space="preserve"/>
      </w:r>
    </w:p>
    <w:p>
      <w:pPr>
        <w:spacing w:before="60" w:after="80"/>
      </w:pPr>
      <w:r>
        <w:rPr>
          <w:rFonts w:ascii="Arial" w:cs="Arial" w:eastAsia="Arial" w:hAnsi="Arial"/>
          <w:color w:val="2E2E2E"/>
          <w:sz w:val="20"/>
          <w:szCs w:val="20"/>
        </w:rPr>
        <w:t xml:space="preserve">Document Owner: Chief Internal Auditor | Board Audit Committee Approval Reference: BAC-2024-37 | Effective: January 2025</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2"/>
      </w:pBdr>
      <w:spacing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595959"/>
              <w:sz w:val="14"/>
              <w:szCs w:val="14"/>
            </w:rPr>
            <w:t xml:space="preserve">Ver 2.3 | Effective: 01-Jan-2025 | Review: 31-Dec-2025</w:t>
          </w:r>
        </w:p>
      </w:tc>
      <w:tc>
        <w:tcPr>
          <w:tcW w:type="dxa" w:w="504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Arial" w:cs="Arial" w:eastAsia="Arial" w:hAnsi="Arial"/>
              <w:color w:val="595959"/>
              <w:sz w:val="14"/>
              <w:szCs w:val="14"/>
            </w:rPr>
            <w:t xml:space="preserve">Page </w:t>
          </w:r>
          <w:r>
            <w:rPr>
              <w:rFonts w:ascii="Arial" w:cs="Arial" w:eastAsia="Arial" w:hAnsi="Arial"/>
              <w:color w:val="595959"/>
              <w:sz w:val="14"/>
              <w:szCs w:val="14"/>
            </w:rPr>
            <w:fldChar w:fldCharType="begin"/>
            <w:instrText xml:space="preserve">PAGE</w:instrText>
            <w:fldChar w:fldCharType="separate"/>
            <w:fldChar w:fldCharType="end"/>
          </w:r>
          <w:r>
            <w:rPr>
              <w:rFonts w:ascii="Arial" w:cs="Arial" w:eastAsia="Arial" w:hAnsi="Arial"/>
              <w:color w:val="595959"/>
              <w:sz w:val="14"/>
              <w:szCs w:val="14"/>
            </w:rPr>
            <w:t xml:space="preserve"> of </w:t>
          </w:r>
          <w:r>
            <w:rPr>
              <w:rFonts w:ascii="Arial" w:cs="Arial" w:eastAsia="Arial" w:hAnsi="Arial"/>
              <w:color w:val="595959"/>
              <w:sz w:val="14"/>
              <w:szCs w:val="14"/>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500"/>
      <w:gridCol w:w="3580"/>
    </w:tblGrid>
    <w:tr>
      <w:tc>
        <w:tcPr>
          <w:tcW w:type="dxa" w:w="65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1B3A6B"/>
              <w:sz w:val="22"/>
              <w:szCs w:val="22"/>
            </w:rPr>
            <w:t xml:space="preserve">HABIB BANK LIMITED (HBL)</w:t>
          </w:r>
        </w:p>
        <w:p>
          <w:r>
            <w:rPr>
              <w:rFonts w:ascii="Arial" w:cs="Arial" w:eastAsia="Arial" w:hAnsi="Arial"/>
              <w:color w:val="595959"/>
              <w:sz w:val="15"/>
              <w:szCs w:val="15"/>
            </w:rPr>
            <w:t xml:space="preserve">Annual Audit &amp; Compliance Checklist</w:t>
          </w:r>
        </w:p>
      </w:tc>
      <w:tc>
        <w:tcPr>
          <w:tcW w:type="dxa" w:w="3580"/>
          <w:tcBorders>
            <w:top w:val="none" w:color="FFFFFF" w:sz="0"/>
            <w:left w:val="none" w:color="FFFFFF" w:sz="0"/>
            <w:bottom w:val="none" w:color="FFFFFF" w:sz="0"/>
            <w:right w:val="none" w:color="FFFFFF" w:sz="0"/>
          </w:tcBorders>
          <w:tcMar>
            <w:top w:type="dxa" w:w="40"/>
            <w:left w:type="dxa" w:w="120"/>
            <w:bottom w:type="dxa" w:w="40"/>
            <w:right w:type="dxa" w:w="0"/>
          </w:tcMar>
          <w:vAlign w:val="center"/>
        </w:tcPr>
        <w:p>
          <w:pPr>
            <w:jc w:val="right"/>
          </w:pPr>
          <w:r>
            <w:rPr>
              <w:rFonts w:ascii="Arial" w:cs="Arial" w:eastAsia="Arial" w:hAnsi="Arial"/>
              <w:color w:val="595959"/>
              <w:sz w:val="14"/>
              <w:szCs w:val="14"/>
            </w:rPr>
            <w:t xml:space="preserve">CONFIDENTIAL | HBL-AUD-CHK-004</w:t>
          </w:r>
        </w:p>
      </w:tc>
    </w:tr>
  </w:tbl>
  <w:p>
    <w:pPr>
      <w:pBdr>
        <w:bottom w:val="single" w:color="1B3A6B" w:sz="2"/>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E2E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FFFFFF"/>
      <w:sz w:val="30"/>
      <w:szCs w:val="30"/>
    </w:rPr>
  </w:style>
  <w:style w:type="paragraph" w:styleId="Heading2">
    <w:name w:val="Heading 2"/>
    <w:basedOn w:val="Normal"/>
    <w:next w:val="Normal"/>
    <w:qFormat/>
    <w:pPr>
      <w:spacing w:before="280" w:after="100"/>
      <w:outlineLvl w:val="1"/>
    </w:pPr>
    <w:rPr>
      <w:rFonts w:ascii="Arial" w:cs="Arial" w:eastAsia="Arial" w:hAnsi="Arial"/>
      <w:b/>
      <w:bCs/>
      <w:color w:val="1B3A6B"/>
      <w:sz w:val="26"/>
      <w:szCs w:val="26"/>
    </w:rPr>
  </w:style>
  <w:style w:type="paragraph" w:styleId="Heading3">
    <w:name w:val="Heading 3"/>
    <w:basedOn w:val="Normal"/>
    <w:next w:val="Normal"/>
    <w:qFormat/>
    <w:pPr>
      <w:spacing w:before="200" w:after="80"/>
      <w:outlineLvl w:val="2"/>
    </w:pPr>
    <w:rPr>
      <w:rFonts w:ascii="Arial" w:cs="Arial" w:eastAsia="Arial" w:hAnsi="Arial"/>
      <w:b/>
      <w:bCs/>
      <w:color w:val="2E2E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2026-02-10T18:24:45.726Z</dcterms:created>
  <dcterms:modified xsi:type="dcterms:W3CDTF">2026-02-10T18:24:45.726Z</dcterms:modified>
</cp:coreProperties>
</file>

<file path=docProps/custom.xml><?xml version="1.0" encoding="utf-8"?>
<Properties xmlns="http://schemas.openxmlformats.org/officeDocument/2006/custom-properties" xmlns:vt="http://schemas.openxmlformats.org/officeDocument/2006/docPropsVTypes"/>
</file>