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56"/>
          <w:szCs w:val="56"/>
        </w:rPr>
        <w:t xml:space="preserve">HABIB BANK LIMITED</w:t>
      </w:r>
    </w:p>
    <w:p>
      <w:pPr>
        <w:spacing w:before="0" w:after="60"/>
        <w:jc w:val="center"/>
      </w:pPr>
      <w:r>
        <w:rPr>
          <w:rFonts w:ascii="Arial" w:cs="Arial" w:eastAsia="Arial" w:hAnsi="Arial"/>
          <w:color w:val="595959"/>
          <w:sz w:val="18"/>
          <w:szCs w:val="18"/>
        </w:rPr>
        <w:t xml:space="preserve">Head Office: Habib Bank Plaza, I.I. Chundrigar Road, Karachi 74200, Pakistan</w:t>
      </w:r>
    </w:p>
    <w:p>
      <w:pPr>
        <w:spacing w:before="60" w:after="60"/>
      </w:pPr>
      <w:r>
        <w:t xml:space="preserve"/>
      </w:r>
    </w:p>
    <w:p>
      <w:pPr>
        <w:shd w:fill="1B3A6B" w:val="clear"/>
        <w:spacing w:before="200" w:after="0"/>
        <w:jc w:val="center"/>
      </w:pPr>
      <w:r>
        <w:rPr>
          <w:rFonts w:ascii="Arial" w:cs="Arial" w:eastAsia="Arial" w:hAnsi="Arial"/>
          <w:b/>
          <w:bCs/>
          <w:color w:val="FFFFFF"/>
          <w:sz w:val="38"/>
          <w:szCs w:val="38"/>
        </w:rPr>
        <w:t xml:space="preserve">  CUSTOMER ONBOARDING POLICY  </w:t>
      </w:r>
    </w:p>
    <w:p>
      <w:pPr>
        <w:shd w:fill="1B3A6B" w:val="clear"/>
        <w:spacing w:before="0" w:after="200"/>
        <w:jc w:val="center"/>
      </w:pPr>
      <w:r>
        <w:rPr>
          <w:rFonts w:ascii="Arial" w:cs="Arial" w:eastAsia="Arial" w:hAnsi="Arial"/>
          <w:color w:val="D6E4F7"/>
          <w:sz w:val="22"/>
          <w:szCs w:val="22"/>
        </w:rPr>
        <w:t xml:space="preserve">  Customer Due Diligence, Account Opening &amp; Relationship Establishment Procedures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Document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HBL-COP-003</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Category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Customer Onboarding / Retail &amp; Corporate Banking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5.0</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January 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Next Review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December 31,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Head of Retail Banking &amp; Head of Corporate Banking (Joint)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Reviewed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Chief Compliance Officer, Head of Risk, Head of Legal</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President &amp; CEO and Board Risk &amp; Compliance Committee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Applicable 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All branches, corporate banking teams, digital onboarding channels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HBL-CAML-001 (AML/KYC Policy), HBL-TXN-SOP-002 (Transaction Monitoring SOP), HBL-IT-001 (IT Security Policy)</w:t>
            </w:r>
          </w:p>
        </w:tc>
      </w:tr>
    </w:tbl>
    <w:p>
      <w:pPr>
        <w:spacing w:before="60" w:after="60"/>
      </w:pPr>
      <w:r>
        <w:t xml:space="preserve"/>
      </w:r>
    </w:p>
    <w:p>
      <w:pPr>
        <w:shd w:fill="FFF2CC" w:val="clear"/>
        <w:spacing w:before="120" w:after="120"/>
        <w:jc w:val="center"/>
      </w:pPr>
      <w:r>
        <w:rPr>
          <w:rFonts w:ascii="Arial" w:cs="Arial" w:eastAsia="Arial" w:hAnsi="Arial"/>
          <w:i/>
          <w:iCs/>
          <w:color w:val="7F4F00"/>
          <w:sz w:val="16"/>
          <w:szCs w:val="16"/>
        </w:rPr>
        <w:t xml:space="preserve">CONFIDENTIAL – INTERNAL USE ONLY. This policy contains sensitive customer and compliance procedures. Unauthorized distribution is strictly prohibited.</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1. PURPOSE, SCOPE, AND PRINCIPLES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1.1 Purpose</w:t>
      </w:r>
    </w:p>
    <w:p>
      <w:pPr>
        <w:spacing w:before="60" w:after="80"/>
      </w:pPr>
      <w:r>
        <w:rPr>
          <w:rFonts w:ascii="Arial" w:cs="Arial" w:eastAsia="Arial" w:hAnsi="Arial"/>
          <w:color w:val="2E2E2E"/>
          <w:sz w:val="20"/>
          <w:szCs w:val="20"/>
        </w:rPr>
        <w:t xml:space="preserve">This policy establishes comprehensive, standardized procedures for onboarding new customers across all segments and channels at Habib Bank Limited (HBL). It ensures that HBL establishes business relationships only with customers whose identity is verified, whose source of funds is understood, and whose risk profile is assessed in accordance with applicable regulatory requirements and HBL's risk appetite. This policy also governs the ongoing maintenance of customer relationships to ensure information remains current and risk ratings remain accurate.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1.2 Core Onboarding Principles</w:t>
      </w:r>
    </w:p>
    <w:p>
      <w:pPr>
        <w:pStyle w:val="ListParagraph"/>
        <w:numPr>
          <w:ilvl w:val="0"/>
          <w:numId w:val="2"/>
        </w:numPr>
        <w:spacing w:before="40" w:after="40"/>
      </w:pPr>
      <w:r>
        <w:rPr>
          <w:rFonts w:ascii="Arial" w:cs="Arial" w:eastAsia="Arial" w:hAnsi="Arial"/>
          <w:color w:val="2E2E2E"/>
          <w:sz w:val="20"/>
          <w:szCs w:val="20"/>
        </w:rPr>
        <w:t xml:space="preserve">Know Your Customer (KYC): HBL must understand who its customers are, what they do, and why they want to conduct business with HBL before any relationship is established</w:t>
      </w:r>
    </w:p>
    <w:p>
      <w:pPr>
        <w:pStyle w:val="ListParagraph"/>
        <w:numPr>
          <w:ilvl w:val="0"/>
          <w:numId w:val="2"/>
        </w:numPr>
        <w:spacing w:before="40" w:after="40"/>
      </w:pPr>
      <w:r>
        <w:rPr>
          <w:rFonts w:ascii="Arial" w:cs="Arial" w:eastAsia="Arial" w:hAnsi="Arial"/>
          <w:color w:val="2E2E2E"/>
          <w:sz w:val="20"/>
          <w:szCs w:val="20"/>
        </w:rPr>
        <w:t xml:space="preserve">Risk-Based Approach: The depth of due diligence is proportional to the risk level of the customer and the products or services they require</w:t>
      </w:r>
    </w:p>
    <w:p>
      <w:pPr>
        <w:pStyle w:val="ListParagraph"/>
        <w:numPr>
          <w:ilvl w:val="0"/>
          <w:numId w:val="2"/>
        </w:numPr>
        <w:spacing w:before="40" w:after="40"/>
      </w:pPr>
      <w:r>
        <w:rPr>
          <w:rFonts w:ascii="Arial" w:cs="Arial" w:eastAsia="Arial" w:hAnsi="Arial"/>
          <w:color w:val="2E2E2E"/>
          <w:sz w:val="20"/>
          <w:szCs w:val="20"/>
        </w:rPr>
        <w:t xml:space="preserve">Customer Experience: Compliance requirements must be met efficiently to minimize customer inconvenience while maintaining full regulatory adherence</w:t>
      </w:r>
    </w:p>
    <w:p>
      <w:pPr>
        <w:pStyle w:val="ListParagraph"/>
        <w:numPr>
          <w:ilvl w:val="0"/>
          <w:numId w:val="2"/>
        </w:numPr>
        <w:spacing w:before="40" w:after="40"/>
      </w:pPr>
      <w:r>
        <w:rPr>
          <w:rFonts w:ascii="Arial" w:cs="Arial" w:eastAsia="Arial" w:hAnsi="Arial"/>
          <w:color w:val="2E2E2E"/>
          <w:sz w:val="20"/>
          <w:szCs w:val="20"/>
        </w:rPr>
        <w:t xml:space="preserve">Consistency: Identical standards apply regardless of whether onboarding is conducted at a branch, through a digital channel, or by a Relationship Manager</w:t>
      </w:r>
    </w:p>
    <w:p>
      <w:pPr>
        <w:pStyle w:val="ListParagraph"/>
        <w:numPr>
          <w:ilvl w:val="0"/>
          <w:numId w:val="2"/>
        </w:numPr>
        <w:spacing w:before="40" w:after="40"/>
      </w:pPr>
      <w:r>
        <w:rPr>
          <w:rFonts w:ascii="Arial" w:cs="Arial" w:eastAsia="Arial" w:hAnsi="Arial"/>
          <w:color w:val="2E2E2E"/>
          <w:sz w:val="20"/>
          <w:szCs w:val="20"/>
        </w:rPr>
        <w:t xml:space="preserve">Non-Discrimination: Onboarding decisions are based solely on risk, legal, and regulatory grounds — never on race, religion, ethnicity, gender, or nationality beyond legally required due diligence distinctions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1.3 Scope</w:t>
      </w:r>
    </w:p>
    <w:p>
      <w:pPr>
        <w:spacing w:before="60" w:after="80"/>
      </w:pPr>
      <w:r>
        <w:rPr>
          <w:rFonts w:ascii="Arial" w:cs="Arial" w:eastAsia="Arial" w:hAnsi="Arial"/>
          <w:color w:val="2E2E2E"/>
          <w:sz w:val="20"/>
          <w:szCs w:val="20"/>
        </w:rPr>
        <w:t xml:space="preserve">This policy applies to all new customer onboarding activities across:</w:t>
      </w:r>
    </w:p>
    <w:p>
      <w:pPr>
        <w:pStyle w:val="ListParagraph"/>
        <w:numPr>
          <w:ilvl w:val="0"/>
          <w:numId w:val="2"/>
        </w:numPr>
        <w:spacing w:before="40" w:after="40"/>
      </w:pPr>
      <w:r>
        <w:rPr>
          <w:rFonts w:ascii="Arial" w:cs="Arial" w:eastAsia="Arial" w:hAnsi="Arial"/>
          <w:color w:val="2E2E2E"/>
          <w:sz w:val="20"/>
          <w:szCs w:val="20"/>
        </w:rPr>
        <w:t xml:space="preserve">Retail banking (savings, current, fixed deposit accounts)</w:t>
      </w:r>
    </w:p>
    <w:p>
      <w:pPr>
        <w:pStyle w:val="ListParagraph"/>
        <w:numPr>
          <w:ilvl w:val="0"/>
          <w:numId w:val="2"/>
        </w:numPr>
        <w:spacing w:before="40" w:after="40"/>
      </w:pPr>
      <w:r>
        <w:rPr>
          <w:rFonts w:ascii="Arial" w:cs="Arial" w:eastAsia="Arial" w:hAnsi="Arial"/>
          <w:color w:val="2E2E2E"/>
          <w:sz w:val="20"/>
          <w:szCs w:val="20"/>
        </w:rPr>
        <w:t xml:space="preserve">Corporate and SME banking (business current, trade finance, credit facilities)</w:t>
      </w:r>
    </w:p>
    <w:p>
      <w:pPr>
        <w:pStyle w:val="ListParagraph"/>
        <w:numPr>
          <w:ilvl w:val="0"/>
          <w:numId w:val="2"/>
        </w:numPr>
        <w:spacing w:before="40" w:after="40"/>
      </w:pPr>
      <w:r>
        <w:rPr>
          <w:rFonts w:ascii="Arial" w:cs="Arial" w:eastAsia="Arial" w:hAnsi="Arial"/>
          <w:color w:val="2E2E2E"/>
          <w:sz w:val="20"/>
          <w:szCs w:val="20"/>
        </w:rPr>
        <w:t xml:space="preserve">Digital banking channel (HBL Mobile, HBL internet banking self-onboarding)</w:t>
      </w:r>
    </w:p>
    <w:p>
      <w:pPr>
        <w:pStyle w:val="ListParagraph"/>
        <w:numPr>
          <w:ilvl w:val="0"/>
          <w:numId w:val="2"/>
        </w:numPr>
        <w:spacing w:before="40" w:after="40"/>
      </w:pPr>
      <w:r>
        <w:rPr>
          <w:rFonts w:ascii="Arial" w:cs="Arial" w:eastAsia="Arial" w:hAnsi="Arial"/>
          <w:color w:val="2E2E2E"/>
          <w:sz w:val="20"/>
          <w:szCs w:val="20"/>
        </w:rPr>
        <w:t xml:space="preserve">Islamic banking window (HBL Nisa, HBL Islamic)</w:t>
      </w:r>
    </w:p>
    <w:p>
      <w:pPr>
        <w:pStyle w:val="ListParagraph"/>
        <w:numPr>
          <w:ilvl w:val="0"/>
          <w:numId w:val="2"/>
        </w:numPr>
        <w:spacing w:before="40" w:after="40"/>
      </w:pPr>
      <w:r>
        <w:rPr>
          <w:rFonts w:ascii="Arial" w:cs="Arial" w:eastAsia="Arial" w:hAnsi="Arial"/>
          <w:color w:val="2E2E2E"/>
          <w:sz w:val="20"/>
          <w:szCs w:val="20"/>
        </w:rPr>
        <w:t xml:space="preserve">HBL Konnect (branchless banking — Level 0, 1, and 2 accounts)</w:t>
      </w:r>
    </w:p>
    <w:p>
      <w:pPr>
        <w:pStyle w:val="ListParagraph"/>
        <w:numPr>
          <w:ilvl w:val="0"/>
          <w:numId w:val="2"/>
        </w:numPr>
        <w:spacing w:before="40" w:after="40"/>
      </w:pPr>
      <w:r>
        <w:rPr>
          <w:rFonts w:ascii="Arial" w:cs="Arial" w:eastAsia="Arial" w:hAnsi="Arial"/>
          <w:color w:val="2E2E2E"/>
          <w:sz w:val="20"/>
          <w:szCs w:val="20"/>
        </w:rPr>
        <w:t xml:space="preserve">International branches and subsidiaries (subject to local law harmonization)</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2. CUSTOMER SEGMENTATION AND ACCOUNT TYPES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2.1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60"/>
        <w:gridCol w:w="22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Customer Segment</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Products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Retail – Salaried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Employees of verified companies and government institutions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Savings, current, salary accounts, consumer loans, credit cards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 to 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Retail – Self-Employed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Sole proprietors, freelancers, professionals (doctors, lawyers, engineers)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Current, savings, SOHO accounts, personal loans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Retail – Students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Students enrolled in recognized institutions, typically supported by parents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Basic savings, mobile-only accounts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Retail – Senior / Pensioners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Government/private sector retirees receiving pension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Savings, fixed deposits, Asaan Remittance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Mass Market / Financial Inclusion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Low-income individuals, previously unbanked, HBL Konnect users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Asaan account, Level 0/1/2 branchless banking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 to 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Small and Medium Enterprises (annual turnover PKR 150M – PKR 800M)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Business current, trade finance, working capital, guarantees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 to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Corporate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Large businesses with annual turnover &gt; PKR 800M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suite corporate products, structured 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 to 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Multinational / International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Foreign companies operating in Pakistan; HBL international branches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Corporate accounts, FX, cross-border transfers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 to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 PSE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Federal/provincial government entities, state-owned enterprises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banking, project 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 (subject to ownership verification)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Financial Institutions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Banks, DFIs, insurance companies, asset managers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Correspondent, custodian, interbank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 to High — FI-specific due diligence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NGO / Non-Profit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Registered charities, INGOs, welfare organizations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NGO current accounts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 mandatory EDD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PEP-Linked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Customers who are PEPs or closely associated with PEPs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product — CCO pre-approval required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 mandatory EDD</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3. ACCOUNT OPENING PROCEDURES — RETAIL CUSTOMERS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3.1 Individual (Personal) Account Opening — In-Branch</w:t>
      </w:r>
    </w:p>
    <w:p>
      <w:pPr>
        <w:pStyle w:val="Heading3"/>
        <w:spacing w:before="200" w:after="80"/>
      </w:pPr>
      <w:r>
        <w:rPr>
          <w:rFonts w:ascii="Arial" w:cs="Arial" w:eastAsia="Arial" w:hAnsi="Arial"/>
          <w:b/>
          <w:bCs/>
          <w:color w:val="2E2E2E"/>
          <w:sz w:val="22"/>
          <w:szCs w:val="22"/>
        </w:rPr>
        <w:t xml:space="preserve">3.1.1 Required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560"/>
        <w:gridCol w:w="224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Pakistani National</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Foreign National / NRP</w:t>
            </w:r>
          </w:p>
        </w:tc>
        <w:tc>
          <w:tcPr>
            <w:tcW w:type="dxa" w:w="2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Primary 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Original CNIC (13-digit, valid and not expired)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Passport (valid) + relevant visa; NICOP for NRPs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Identity verification — mandatory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Biometric Verification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NADRA Verisys (mandatory for all CNICs)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Passport scan + physical verification</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 compliance — identity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Proof of Address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Utility bill (electricity, gas, water — not older than 3 months) OR bank statement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Overseas address on NICOP, OR utility bill of overseas address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Address verification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Photograph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2 recent passport-sized photographs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2 recent passport-sized photographs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Account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Specimen Signature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On prescribed HBL signature card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On prescribed HBL signature card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authorization baseline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Source of Income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Employment letter (salaried) / Business registration (self-employed)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Overseas employment contract / business proof</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 — source of funds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NTN (if applicable)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Required for income-generating customers with annual income &gt; PKR 600,000 per FBR regulations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NTN or overseas equivalent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Tax compliance — FBR IRIS verification</w:t>
            </w:r>
          </w:p>
        </w:tc>
      </w:tr>
    </w:tbl>
    <w:p>
      <w:pPr>
        <w:spacing w:before="60" w:after="60"/>
      </w:pPr>
      <w:r>
        <w:t xml:space="preserve"/>
      </w:r>
    </w:p>
    <w:p>
      <w:pPr>
        <w:pStyle w:val="Heading3"/>
        <w:spacing w:before="200" w:after="80"/>
      </w:pPr>
      <w:r>
        <w:rPr>
          <w:rFonts w:ascii="Arial" w:cs="Arial" w:eastAsia="Arial" w:hAnsi="Arial"/>
          <w:b/>
          <w:bCs/>
          <w:color w:val="2E2E2E"/>
          <w:sz w:val="22"/>
          <w:szCs w:val="22"/>
        </w:rPr>
        <w:t xml:space="preserve">3.1.2 Step-by-Step Branch Onboarding Process</w:t>
      </w:r>
    </w:p>
    <w:p>
      <w:pPr>
        <w:pStyle w:val="ListParagraph"/>
        <w:numPr>
          <w:ilvl w:val="0"/>
          <w:numId w:val="3"/>
        </w:numPr>
        <w:spacing w:before="40" w:after="40"/>
      </w:pPr>
      <w:r>
        <w:rPr>
          <w:rFonts w:ascii="Arial" w:cs="Arial" w:eastAsia="Arial" w:hAnsi="Arial"/>
          <w:color w:val="2E2E2E"/>
          <w:sz w:val="20"/>
          <w:szCs w:val="20"/>
        </w:rPr>
        <w:t xml:space="preserve">Customer approaches branch and expresses wish to open an account; Branch Service Officer (BSO) welcomes and provides Account Opening Form (AOF)</w:t>
      </w:r>
    </w:p>
    <w:p>
      <w:pPr>
        <w:pStyle w:val="ListParagraph"/>
        <w:numPr>
          <w:ilvl w:val="0"/>
          <w:numId w:val="3"/>
        </w:numPr>
        <w:spacing w:before="40" w:after="40"/>
      </w:pPr>
      <w:r>
        <w:rPr>
          <w:rFonts w:ascii="Arial" w:cs="Arial" w:eastAsia="Arial" w:hAnsi="Arial"/>
          <w:color w:val="2E2E2E"/>
          <w:sz w:val="20"/>
          <w:szCs w:val="20"/>
        </w:rPr>
        <w:t xml:space="preserve">Customer completes AOF in full; BSO reviews for completeness before proceeding</w:t>
      </w:r>
    </w:p>
    <w:p>
      <w:pPr>
        <w:pStyle w:val="ListParagraph"/>
        <w:numPr>
          <w:ilvl w:val="0"/>
          <w:numId w:val="3"/>
        </w:numPr>
        <w:spacing w:before="40" w:after="40"/>
      </w:pPr>
      <w:r>
        <w:rPr>
          <w:rFonts w:ascii="Arial" w:cs="Arial" w:eastAsia="Arial" w:hAnsi="Arial"/>
          <w:color w:val="2E2E2E"/>
          <w:sz w:val="20"/>
          <w:szCs w:val="20"/>
        </w:rPr>
        <w:t xml:space="preserve">BSO collects all required original documents; photocopies are taken and certified 'Sighted Original' by BSO</w:t>
      </w:r>
    </w:p>
    <w:p>
      <w:pPr>
        <w:pStyle w:val="ListParagraph"/>
        <w:numPr>
          <w:ilvl w:val="0"/>
          <w:numId w:val="3"/>
        </w:numPr>
        <w:spacing w:before="40" w:after="40"/>
      </w:pPr>
      <w:r>
        <w:rPr>
          <w:rFonts w:ascii="Arial" w:cs="Arial" w:eastAsia="Arial" w:hAnsi="Arial"/>
          <w:color w:val="2E2E2E"/>
          <w:sz w:val="20"/>
          <w:szCs w:val="20"/>
        </w:rPr>
        <w:t xml:space="preserve">BSO performs NADRA Verisys biometric verification using the branch biometric device; result recorded in CBS</w:t>
      </w:r>
    </w:p>
    <w:p>
      <w:pPr>
        <w:pStyle w:val="ListParagraph"/>
        <w:numPr>
          <w:ilvl w:val="0"/>
          <w:numId w:val="3"/>
        </w:numPr>
        <w:spacing w:before="40" w:after="40"/>
      </w:pPr>
      <w:r>
        <w:rPr>
          <w:rFonts w:ascii="Arial" w:cs="Arial" w:eastAsia="Arial" w:hAnsi="Arial"/>
          <w:color w:val="2E2E2E"/>
          <w:sz w:val="20"/>
          <w:szCs w:val="20"/>
        </w:rPr>
        <w:t xml:space="preserve">BSO verifies CNIC against NADRA database via CBS NADRA API integration; checks for expired CNIC, deceased status, or blocked CNIC alerts</w:t>
      </w:r>
    </w:p>
    <w:p>
      <w:pPr>
        <w:pStyle w:val="ListParagraph"/>
        <w:numPr>
          <w:ilvl w:val="0"/>
          <w:numId w:val="3"/>
        </w:numPr>
        <w:spacing w:before="40" w:after="40"/>
      </w:pPr>
      <w:r>
        <w:rPr>
          <w:rFonts w:ascii="Arial" w:cs="Arial" w:eastAsia="Arial" w:hAnsi="Arial"/>
          <w:color w:val="2E2E2E"/>
          <w:sz w:val="20"/>
          <w:szCs w:val="20"/>
        </w:rPr>
        <w:t xml:space="preserve">BSO checks customer name and CNIC against HBL's internal blacklist and the NACTA proscribed persons list via CBS</w:t>
      </w:r>
    </w:p>
    <w:p>
      <w:pPr>
        <w:pStyle w:val="ListParagraph"/>
        <w:numPr>
          <w:ilvl w:val="0"/>
          <w:numId w:val="3"/>
        </w:numPr>
        <w:spacing w:before="40" w:after="40"/>
      </w:pPr>
      <w:r>
        <w:rPr>
          <w:rFonts w:ascii="Arial" w:cs="Arial" w:eastAsia="Arial" w:hAnsi="Arial"/>
          <w:color w:val="2E2E2E"/>
          <w:sz w:val="20"/>
          <w:szCs w:val="20"/>
        </w:rPr>
        <w:t xml:space="preserve">BSO assesses customer risk rating using the standardized Risk Rating Form (RRF-IND-001) and selects Low / Medium / High</w:t>
      </w:r>
    </w:p>
    <w:p>
      <w:pPr>
        <w:pStyle w:val="ListParagraph"/>
        <w:numPr>
          <w:ilvl w:val="0"/>
          <w:numId w:val="3"/>
        </w:numPr>
        <w:spacing w:before="40" w:after="40"/>
      </w:pPr>
      <w:r>
        <w:rPr>
          <w:rFonts w:ascii="Arial" w:cs="Arial" w:eastAsia="Arial" w:hAnsi="Arial"/>
          <w:color w:val="2E2E2E"/>
          <w:sz w:val="20"/>
          <w:szCs w:val="20"/>
        </w:rPr>
        <w:t xml:space="preserve">For Low and Medium risk: BSO submits AOF and documents to Branch Operations Manager (BOM) for review and approval</w:t>
      </w:r>
    </w:p>
    <w:p>
      <w:pPr>
        <w:pStyle w:val="ListParagraph"/>
        <w:numPr>
          <w:ilvl w:val="0"/>
          <w:numId w:val="3"/>
        </w:numPr>
        <w:spacing w:before="40" w:after="40"/>
      </w:pPr>
      <w:r>
        <w:rPr>
          <w:rFonts w:ascii="Arial" w:cs="Arial" w:eastAsia="Arial" w:hAnsi="Arial"/>
          <w:color w:val="2E2E2E"/>
          <w:sz w:val="20"/>
          <w:szCs w:val="20"/>
        </w:rPr>
        <w:t xml:space="preserve">BOM reviews all documents for completeness and accuracy; verifies risk rating assignment</w:t>
      </w:r>
    </w:p>
    <w:p>
      <w:pPr>
        <w:pStyle w:val="ListParagraph"/>
        <w:numPr>
          <w:ilvl w:val="0"/>
          <w:numId w:val="3"/>
        </w:numPr>
        <w:spacing w:before="40" w:after="40"/>
      </w:pPr>
      <w:r>
        <w:rPr>
          <w:rFonts w:ascii="Arial" w:cs="Arial" w:eastAsia="Arial" w:hAnsi="Arial"/>
          <w:color w:val="2E2E2E"/>
          <w:sz w:val="20"/>
          <w:szCs w:val="20"/>
        </w:rPr>
        <w:t xml:space="preserve">BOM activates account in CBS; system assigns unique customer CIF (Customer Information File) number</w:t>
      </w:r>
    </w:p>
    <w:p>
      <w:pPr>
        <w:pStyle w:val="ListParagraph"/>
        <w:numPr>
          <w:ilvl w:val="0"/>
          <w:numId w:val="3"/>
        </w:numPr>
        <w:spacing w:before="40" w:after="40"/>
      </w:pPr>
      <w:r>
        <w:rPr>
          <w:rFonts w:ascii="Arial" w:cs="Arial" w:eastAsia="Arial" w:hAnsi="Arial"/>
          <w:color w:val="2E2E2E"/>
          <w:sz w:val="20"/>
          <w:szCs w:val="20"/>
        </w:rPr>
        <w:t xml:space="preserve">Welcome letter and account details are generated and handed to customer or mailed to registered address</w:t>
      </w:r>
    </w:p>
    <w:p>
      <w:pPr>
        <w:pStyle w:val="ListParagraph"/>
        <w:numPr>
          <w:ilvl w:val="0"/>
          <w:numId w:val="3"/>
        </w:numPr>
        <w:spacing w:before="40" w:after="40"/>
      </w:pPr>
      <w:r>
        <w:rPr>
          <w:rFonts w:ascii="Arial" w:cs="Arial" w:eastAsia="Arial" w:hAnsi="Arial"/>
          <w:color w:val="2E2E2E"/>
          <w:sz w:val="20"/>
          <w:szCs w:val="20"/>
        </w:rPr>
        <w:t xml:space="preserve">Debit card and cheque book requests processed; internet banking activation SMS sent to registered mobile</w:t>
      </w:r>
    </w:p>
    <w:p>
      <w:pPr>
        <w:pStyle w:val="ListParagraph"/>
        <w:numPr>
          <w:ilvl w:val="0"/>
          <w:numId w:val="3"/>
        </w:numPr>
        <w:spacing w:before="40" w:after="40"/>
      </w:pPr>
      <w:r>
        <w:rPr>
          <w:rFonts w:ascii="Arial" w:cs="Arial" w:eastAsia="Arial" w:hAnsi="Arial"/>
          <w:color w:val="2E2E2E"/>
          <w:sz w:val="20"/>
          <w:szCs w:val="20"/>
        </w:rPr>
        <w:t xml:space="preserve">Complete AOF and document scans uploaded to Document Management System (DMS) within same business day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b/>
                <w:bCs/>
                <w:color w:val="7F4F00"/>
                <w:sz w:val="18"/>
                <w:szCs w:val="18"/>
              </w:rPr>
              <w:t xml:space="preserve">BIOMETRIC VERIFICATION — NO EXCEPTIONS</w:t>
            </w:r>
          </w:p>
          <w:p>
            <w:pPr>
              <w:spacing w:before="40"/>
            </w:pPr>
            <w:r>
              <w:rPr>
                <w:rFonts w:ascii="Arial" w:cs="Arial" w:eastAsia="Arial" w:hAnsi="Arial"/>
                <w:color w:val="2E2E2E"/>
                <w:sz w:val="18"/>
                <w:szCs w:val="18"/>
              </w:rPr>
              <w:t xml:space="preserve">IMPORTANT: HBL has implemented a 'No Exceptions' policy for biometric verification. Under NO circumstances may an account be opened without successful NADRA Verisys biometric confirmation. Hardware failure does not exempt this requirement — the customer must return when the biometric device is operational or visit an alternate branch. Incomplete CNIC verification voids the account opening.</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3.2 Digital / Self-Service Account Opening (HBL Mobile Onboarding)</w:t>
      </w:r>
    </w:p>
    <w:p>
      <w:pPr>
        <w:spacing w:before="60" w:after="80"/>
      </w:pPr>
      <w:r>
        <w:rPr>
          <w:rFonts w:ascii="Arial" w:cs="Arial" w:eastAsia="Arial" w:hAnsi="Arial"/>
          <w:color w:val="2E2E2E"/>
          <w:sz w:val="20"/>
          <w:szCs w:val="20"/>
        </w:rPr>
        <w:t xml:space="preserve">HBL offers digital account opening for eligible customers through the HBL Mobile application. The following conditions and procedures apply:</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760"/>
        <w:gridCol w:w="140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 – CNIC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enters CNIC number and full 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NADRA API — name and CNIC matching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CBS/API Gateway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2 – Biometric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performs facial recognition scan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AI-powered liveness detection + NADRA biometric match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NADRA Digital Services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3 – Contact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Mobile number OTP verification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OTP via SMS to provided 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Telecom API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4 – Address Capture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Self-declared address with optional utility bill upload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AI document verification (OCR) + human review queue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DMS / Compliance queue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5 – Source of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Self-declaration + optional document upload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AI classification + human review for &gt;PKR 100K monthly income declarations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queue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6 – Account Activation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Automated approval for verified low-risk profiles; manual review queue for medium/high risk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 engine decision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CBS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7 – Welcome &amp; Activation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Account number, virtual debit card issued immediately; physical card dispatched within 5 working days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CBS / Card Management</w:t>
            </w:r>
          </w:p>
        </w:tc>
      </w:tr>
    </w:tbl>
    <w:p>
      <w:pPr>
        <w:spacing w:before="60" w:after="60"/>
      </w:pPr>
      <w:r>
        <w:t xml:space="preserve"/>
      </w:r>
    </w:p>
    <w:p>
      <w:pPr>
        <w:spacing w:before="60" w:after="80"/>
      </w:pPr>
      <w:r>
        <w:rPr>
          <w:rFonts w:ascii="Arial" w:cs="Arial" w:eastAsia="Arial" w:hAnsi="Arial"/>
          <w:color w:val="2E2E2E"/>
          <w:sz w:val="20"/>
          <w:szCs w:val="20"/>
        </w:rPr>
        <w:t xml:space="preserve">Digital onboarding is restricted to Pakistani nationals with valid CNICs. Foreign nationals, NRPs, high-risk profiles, and corporate entities must complete in-branch onboarding.</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4. ACCOUNT OPENING PROCEDURES — CORPORATE AND SME CUSTOMERS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4.1 Required Documentation — Corporate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Certificate of Incorporation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Original or certified copy — SECP issued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Must match legal name on AOF exactly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Memorandum &amp; Articles of Association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Latest certified copy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for business purpose and authorized activities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Board Resolution for Account Opening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Original — signed by authorized directors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Must specifically name signatories and account type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List of Directors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Latest Form A filed with SECP (not older than 1 year)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Cross-check against SECP online company search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Beneficial Ownership Declaration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Form BO-CORP-001 — all UBOs with &gt;= 25% ownership or effective control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CNIC/Passport copies of each UBO — biometric verify each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NTN Certificate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FBR-issued NTN certificate for the entity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on FBR IRIS portal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Latest Audited Accounts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Most recent 2 years audited financial statements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Assess financial health, turnover, cash flow for product eligibility and risk assessment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Bank Mandate / Specimen Signatures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Authorized signatory CNIC + specimen signatures + confirmation of authority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Minimum 2 authorized signatories required for corporate accounts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Office Address Proof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Utility bill (not older than 3 months) or property lease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Physical site visit may be required for high-value relationships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Business Profile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Company profile, website, trade references, or business description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Understand nature of business for transaction monitoring baseline</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4.2 Beneficial Ownership (BO) Identification</w:t>
      </w:r>
    </w:p>
    <w:p>
      <w:pPr>
        <w:spacing w:before="60" w:after="80"/>
      </w:pPr>
      <w:r>
        <w:rPr>
          <w:rFonts w:ascii="Arial" w:cs="Arial" w:eastAsia="Arial" w:hAnsi="Arial"/>
          <w:color w:val="2E2E2E"/>
          <w:sz w:val="20"/>
          <w:szCs w:val="20"/>
        </w:rPr>
        <w:t xml:space="preserve">Identifying and verifying beneficial owners is a critical AML obligation for all corporate accounts. HBL's BO identification process:</w:t>
      </w:r>
    </w:p>
    <w:p>
      <w:pPr>
        <w:pStyle w:val="ListParagraph"/>
        <w:numPr>
          <w:ilvl w:val="0"/>
          <w:numId w:val="3"/>
        </w:numPr>
        <w:spacing w:before="40" w:after="40"/>
      </w:pPr>
      <w:r>
        <w:rPr>
          <w:rFonts w:ascii="Arial" w:cs="Arial" w:eastAsia="Arial" w:hAnsi="Arial"/>
          <w:color w:val="2E2E2E"/>
          <w:sz w:val="20"/>
          <w:szCs w:val="20"/>
        </w:rPr>
        <w:t xml:space="preserve">Map the complete ownership structure: identify all direct and indirect shareholders</w:t>
      </w:r>
    </w:p>
    <w:p>
      <w:pPr>
        <w:pStyle w:val="ListParagraph"/>
        <w:numPr>
          <w:ilvl w:val="0"/>
          <w:numId w:val="3"/>
        </w:numPr>
        <w:spacing w:before="40" w:after="40"/>
      </w:pPr>
      <w:r>
        <w:rPr>
          <w:rFonts w:ascii="Arial" w:cs="Arial" w:eastAsia="Arial" w:hAnsi="Arial"/>
          <w:color w:val="2E2E2E"/>
          <w:sz w:val="20"/>
          <w:szCs w:val="20"/>
        </w:rPr>
        <w:t xml:space="preserve">Identify all natural persons who own or control &gt;= 25% of shares, voting rights, or profits</w:t>
      </w:r>
    </w:p>
    <w:p>
      <w:pPr>
        <w:pStyle w:val="ListParagraph"/>
        <w:numPr>
          <w:ilvl w:val="0"/>
          <w:numId w:val="3"/>
        </w:numPr>
        <w:spacing w:before="40" w:after="40"/>
      </w:pPr>
      <w:r>
        <w:rPr>
          <w:rFonts w:ascii="Arial" w:cs="Arial" w:eastAsia="Arial" w:hAnsi="Arial"/>
          <w:color w:val="2E2E2E"/>
          <w:sz w:val="20"/>
          <w:szCs w:val="20"/>
        </w:rPr>
        <w:t xml:space="preserve">If no natural person meets the 25% threshold, identify the natural person(s) who exercise effective control through other means (e.g., through a Board, trust arrangement, or senior management authority)</w:t>
      </w:r>
    </w:p>
    <w:p>
      <w:pPr>
        <w:pStyle w:val="ListParagraph"/>
        <w:numPr>
          <w:ilvl w:val="0"/>
          <w:numId w:val="3"/>
        </w:numPr>
        <w:spacing w:before="40" w:after="40"/>
      </w:pPr>
      <w:r>
        <w:rPr>
          <w:rFonts w:ascii="Arial" w:cs="Arial" w:eastAsia="Arial" w:hAnsi="Arial"/>
          <w:color w:val="2E2E2E"/>
          <w:sz w:val="20"/>
          <w:szCs w:val="20"/>
        </w:rPr>
        <w:t xml:space="preserve">As a last resort, identify the most senior managing official (CEO / Managing Director) as a proxy BO</w:t>
      </w:r>
    </w:p>
    <w:p>
      <w:pPr>
        <w:pStyle w:val="ListParagraph"/>
        <w:numPr>
          <w:ilvl w:val="0"/>
          <w:numId w:val="3"/>
        </w:numPr>
        <w:spacing w:before="40" w:after="40"/>
      </w:pPr>
      <w:r>
        <w:rPr>
          <w:rFonts w:ascii="Arial" w:cs="Arial" w:eastAsia="Arial" w:hAnsi="Arial"/>
          <w:color w:val="2E2E2E"/>
          <w:sz w:val="20"/>
          <w:szCs w:val="20"/>
        </w:rPr>
        <w:t xml:space="preserve">Obtain CNIC / Passport of each BO; verify biometrically or through certified document verification</w:t>
      </w:r>
    </w:p>
    <w:p>
      <w:pPr>
        <w:pStyle w:val="ListParagraph"/>
        <w:numPr>
          <w:ilvl w:val="0"/>
          <w:numId w:val="3"/>
        </w:numPr>
        <w:spacing w:before="40" w:after="40"/>
      </w:pPr>
      <w:r>
        <w:rPr>
          <w:rFonts w:ascii="Arial" w:cs="Arial" w:eastAsia="Arial" w:hAnsi="Arial"/>
          <w:color w:val="2E2E2E"/>
          <w:sz w:val="20"/>
          <w:szCs w:val="20"/>
        </w:rPr>
        <w:t xml:space="preserve">Record all BO information in CBS under the corporate customer CIF</w:t>
      </w:r>
    </w:p>
    <w:p>
      <w:pPr>
        <w:pStyle w:val="ListParagraph"/>
        <w:numPr>
          <w:ilvl w:val="0"/>
          <w:numId w:val="3"/>
        </w:numPr>
        <w:spacing w:before="40" w:after="40"/>
      </w:pPr>
      <w:r>
        <w:rPr>
          <w:rFonts w:ascii="Arial" w:cs="Arial" w:eastAsia="Arial" w:hAnsi="Arial"/>
          <w:color w:val="2E2E2E"/>
          <w:sz w:val="20"/>
          <w:szCs w:val="20"/>
        </w:rPr>
        <w:t xml:space="preserve">BO information must be refreshed annually or upon any change in ownership notified to or discovered by HBL</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4.3 Corporate Account Opening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Customer Risk Rating</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Annual Relationship Value</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 Approvals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 Risk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Up to PKR 50 million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Branch Manager + Compliance Officer (branch-level)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 Risk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PKR 50M – PKR 500M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Regional Head + Regional Compliance + Corporate Credit (if facilities involved)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Risk (Standard)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value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Head of Corporate Banking + CCO written approval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Risk – PEP-Linked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value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 President &amp; CEO written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Risk – NGO/NPO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value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written approval + SBP sector-specific checklist completed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Financial Institution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value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 Head of Treasury / FI + SBP FI Correspondent checklist</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5. ASAAN ACCOUNT AND FINANCIAL INCLUSION ONBOARDING</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5.1 Asaan Savings / Current Account</w:t>
      </w:r>
    </w:p>
    <w:p>
      <w:pPr>
        <w:spacing w:before="60" w:after="80"/>
      </w:pPr>
      <w:r>
        <w:rPr>
          <w:rFonts w:ascii="Arial" w:cs="Arial" w:eastAsia="Arial" w:hAnsi="Arial"/>
          <w:color w:val="2E2E2E"/>
          <w:sz w:val="20"/>
          <w:szCs w:val="20"/>
        </w:rPr>
        <w:t xml:space="preserve">HBL's Asaan (Easy) Account is designed to bring unbanked and underbanked Pakistanis into the formal financial system in compliance with SBP's Financial Inclusion program and BPRD Circular No. 2 of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Asaan Account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Eligibility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Pakistani nationals aged 18+ with valid CNIC; special provisions for NICOP holders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Documentation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 biometric verification only — no additional documentation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Account Limits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Maximum balance: PKR 500,000; Maximum monthly debit transactions: PKR 500,000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Available Services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 deposit/withdrawal, funds transfer (domestic), debit card, mobile banking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Excluded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International transfers, foreign currency transactions, overdraft, trade finance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Upgrade Path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may upgrade to full KYC account by providing address proof, income documentation, and completing full risk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Periodic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 review; account automatically escalated for full KYC if transactions approach limits</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5.2 HBL Konnect Branchless Banking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200"/>
        <w:gridCol w:w="32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Account Level</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Monthly Limit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Services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Level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biometric only — immediate activation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PKR 25,000 balance; PKR 25,000 transactions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Mobile wallet, utility bills, mobile top-up</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Level 1</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 address (self-declared)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PKR 100,000 balance; PKR 100,000 transactions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Level 0 services + domestic transfers, salary credit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Level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 address proof (documented) + source of 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PKR 500,000 balance; PKR 500,000 transactions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Level 1 services + merchant payments, insurance premium, micro-loans</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6. PROHIBITED ACCOUNTS AND RESTRICTED CUSTOMERS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6.1 Accounts HBL Will NOT Open</w:t>
      </w:r>
    </w:p>
    <w:p>
      <w:pPr>
        <w:spacing w:before="60" w:after="80"/>
      </w:pPr>
      <w:r>
        <w:rPr>
          <w:rFonts w:ascii="Arial" w:cs="Arial" w:eastAsia="Arial" w:hAnsi="Arial"/>
          <w:color w:val="2E2E2E"/>
          <w:sz w:val="20"/>
          <w:szCs w:val="20"/>
        </w:rPr>
        <w:t xml:space="preserve">HBL shall refuse to open an account and must not establish a business relationship with any of the following:</w:t>
      </w:r>
    </w:p>
    <w:p>
      <w:pPr>
        <w:pStyle w:val="ListParagraph"/>
        <w:numPr>
          <w:ilvl w:val="0"/>
          <w:numId w:val="2"/>
        </w:numPr>
        <w:spacing w:before="40" w:after="40"/>
      </w:pPr>
      <w:r>
        <w:rPr>
          <w:rFonts w:ascii="Arial" w:cs="Arial" w:eastAsia="Arial" w:hAnsi="Arial"/>
          <w:color w:val="2E2E2E"/>
          <w:sz w:val="20"/>
          <w:szCs w:val="20"/>
        </w:rPr>
        <w:t xml:space="preserve">Any individual or entity appearing on the UNSC, NACTA, FMU, OFAC, or HM Treasury sanctions/proscribed persons lists</w:t>
      </w:r>
    </w:p>
    <w:p>
      <w:pPr>
        <w:pStyle w:val="ListParagraph"/>
        <w:numPr>
          <w:ilvl w:val="0"/>
          <w:numId w:val="2"/>
        </w:numPr>
        <w:spacing w:before="40" w:after="40"/>
      </w:pPr>
      <w:r>
        <w:rPr>
          <w:rFonts w:ascii="Arial" w:cs="Arial" w:eastAsia="Arial" w:hAnsi="Arial"/>
          <w:color w:val="2E2E2E"/>
          <w:sz w:val="20"/>
          <w:szCs w:val="20"/>
        </w:rPr>
        <w:t xml:space="preserve">Anonymous accounts or accounts in fictitious names — any customer account must be in a verified legal name</w:t>
      </w:r>
    </w:p>
    <w:p>
      <w:pPr>
        <w:pStyle w:val="ListParagraph"/>
        <w:numPr>
          <w:ilvl w:val="0"/>
          <w:numId w:val="2"/>
        </w:numPr>
        <w:spacing w:before="40" w:after="40"/>
      </w:pPr>
      <w:r>
        <w:rPr>
          <w:rFonts w:ascii="Arial" w:cs="Arial" w:eastAsia="Arial" w:hAnsi="Arial"/>
          <w:color w:val="2E2E2E"/>
          <w:sz w:val="20"/>
          <w:szCs w:val="20"/>
        </w:rPr>
        <w:t xml:space="preserve">Shell banks — banks that have no physical presence in any jurisdiction (no staff, no premises, no management in any jurisdiction)</w:t>
      </w:r>
    </w:p>
    <w:p>
      <w:pPr>
        <w:pStyle w:val="ListParagraph"/>
        <w:numPr>
          <w:ilvl w:val="0"/>
          <w:numId w:val="2"/>
        </w:numPr>
        <w:spacing w:before="40" w:after="40"/>
      </w:pPr>
      <w:r>
        <w:rPr>
          <w:rFonts w:ascii="Arial" w:cs="Arial" w:eastAsia="Arial" w:hAnsi="Arial"/>
          <w:color w:val="2E2E2E"/>
          <w:sz w:val="20"/>
          <w:szCs w:val="20"/>
        </w:rPr>
        <w:t xml:space="preserve">Customers who refuse to provide required KYC documentation without valid legal justification</w:t>
      </w:r>
    </w:p>
    <w:p>
      <w:pPr>
        <w:pStyle w:val="ListParagraph"/>
        <w:numPr>
          <w:ilvl w:val="0"/>
          <w:numId w:val="2"/>
        </w:numPr>
        <w:spacing w:before="40" w:after="40"/>
      </w:pPr>
      <w:r>
        <w:rPr>
          <w:rFonts w:ascii="Arial" w:cs="Arial" w:eastAsia="Arial" w:hAnsi="Arial"/>
          <w:color w:val="2E2E2E"/>
          <w:sz w:val="20"/>
          <w:szCs w:val="20"/>
        </w:rPr>
        <w:t xml:space="preserve">Customers who provide documentation that is forged, altered, or misrepresenting their identity</w:t>
      </w:r>
    </w:p>
    <w:p>
      <w:pPr>
        <w:pStyle w:val="ListParagraph"/>
        <w:numPr>
          <w:ilvl w:val="0"/>
          <w:numId w:val="2"/>
        </w:numPr>
        <w:spacing w:before="40" w:after="40"/>
      </w:pPr>
      <w:r>
        <w:rPr>
          <w:rFonts w:ascii="Arial" w:cs="Arial" w:eastAsia="Arial" w:hAnsi="Arial"/>
          <w:color w:val="2E2E2E"/>
          <w:sz w:val="20"/>
          <w:szCs w:val="20"/>
        </w:rPr>
        <w:t xml:space="preserve">Individuals or entities subject to SBP directions prohibiting them from maintaining bank accounts</w:t>
      </w:r>
    </w:p>
    <w:p>
      <w:pPr>
        <w:pStyle w:val="ListParagraph"/>
        <w:numPr>
          <w:ilvl w:val="0"/>
          <w:numId w:val="2"/>
        </w:numPr>
        <w:spacing w:before="40" w:after="40"/>
      </w:pPr>
      <w:r>
        <w:rPr>
          <w:rFonts w:ascii="Arial" w:cs="Arial" w:eastAsia="Arial" w:hAnsi="Arial"/>
          <w:color w:val="2E2E2E"/>
          <w:sz w:val="20"/>
          <w:szCs w:val="20"/>
        </w:rPr>
        <w:t xml:space="preserve">Customers from FATF blacklisted countries (Iran, North Korea) except with specific CCO and SBP pre-approval for humanitarian or exceptional cases</w:t>
      </w:r>
    </w:p>
    <w:p>
      <w:pPr>
        <w:pStyle w:val="ListParagraph"/>
        <w:numPr>
          <w:ilvl w:val="0"/>
          <w:numId w:val="2"/>
        </w:numPr>
        <w:spacing w:before="40" w:after="40"/>
      </w:pPr>
      <w:r>
        <w:rPr>
          <w:rFonts w:ascii="Arial" w:cs="Arial" w:eastAsia="Arial" w:hAnsi="Arial"/>
          <w:color w:val="2E2E2E"/>
          <w:sz w:val="20"/>
          <w:szCs w:val="20"/>
        </w:rPr>
        <w:t xml:space="preserve">Minor customers (under 18 years) without a guardian co-signatory and appropriate minor account structure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6.2 Restricted Customers — Enhanced Conditions</w:t>
      </w:r>
    </w:p>
    <w:p>
      <w:pPr>
        <w:spacing w:before="60" w:after="80"/>
      </w:pPr>
      <w:r>
        <w:rPr>
          <w:rFonts w:ascii="Arial" w:cs="Arial" w:eastAsia="Arial" w:hAnsi="Arial"/>
          <w:color w:val="2E2E2E"/>
          <w:sz w:val="20"/>
          <w:szCs w:val="20"/>
        </w:rPr>
        <w:t xml:space="preserve">The following customer categories may be onboarded but only with the additional conditions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Restricted Category</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Additional Conditions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NGOs / Non-Profit Organizations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NGO registration; SECP/FBR registration; list of trustees/board; source of funds documentation; CCO pre-approval; quarterly transaction review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Money Service Businesses (MSBs) / Exchange Companies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Exchange License; physical office verification; list of principals; source of funds; EDD mandatory; CCO pre-approval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 Estate Developers / Agents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RERA/provincial registration; proof of legitimate projects; source of funds; property transaction monitoring alerts activated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Cryptocurrency / Virtual Asset Related Businesses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Only if licensed by SECP as VASP; CCO pre-approval; enhanced transaction monitoring; SBP no-objection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Arms Dealers / Defense Contractors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authorization / defense contract; CCO + Head of Corporate approval; SBP notification may be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Politically Exposed Persons (PEPs)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EDD per AML Policy Section 3.3.1; CCO written pre-approval; senior management approval (foreign PEPs require President &amp; CEO approval)</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7. RELATIONSHIP MAINTENANCE AND ONGOING DUE DILIGENCE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7.1 KYC Refresh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Customer Risk Rating</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KYC Refresh Frequency</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 for Immediate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 Risk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Every 3 years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Change of address, change of employment, adverse media hit, dormancy activation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 Risk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Same as Low Risk plus significant change in transaction volume or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Risk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Every 6 months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Same as Medium Risk plus any STR or compliance alert; PEP status change; sanctions list match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PEP Accounts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Quarterly review of transactions; full KYC every 6 months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adverse event; change in political status; significant transaction</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7.2 Change of Circumstances</w:t>
      </w:r>
    </w:p>
    <w:p>
      <w:pPr>
        <w:spacing w:before="60" w:after="80"/>
      </w:pPr>
      <w:r>
        <w:rPr>
          <w:rFonts w:ascii="Arial" w:cs="Arial" w:eastAsia="Arial" w:hAnsi="Arial"/>
          <w:color w:val="2E2E2E"/>
          <w:sz w:val="20"/>
          <w:szCs w:val="20"/>
        </w:rPr>
        <w:t xml:space="preserve">Customers must be required to notify HBL of, and HBL staff must proactively identify, the following changes that require immediate KYC update:</w:t>
      </w:r>
    </w:p>
    <w:p>
      <w:pPr>
        <w:pStyle w:val="ListParagraph"/>
        <w:numPr>
          <w:ilvl w:val="0"/>
          <w:numId w:val="2"/>
        </w:numPr>
        <w:spacing w:before="40" w:after="40"/>
      </w:pPr>
      <w:r>
        <w:rPr>
          <w:rFonts w:ascii="Arial" w:cs="Arial" w:eastAsia="Arial" w:hAnsi="Arial"/>
          <w:color w:val="2E2E2E"/>
          <w:sz w:val="20"/>
          <w:szCs w:val="20"/>
        </w:rPr>
        <w:t xml:space="preserve">Change of name (marriage, legal change) — updated CNIC required</w:t>
      </w:r>
    </w:p>
    <w:p>
      <w:pPr>
        <w:pStyle w:val="ListParagraph"/>
        <w:numPr>
          <w:ilvl w:val="0"/>
          <w:numId w:val="2"/>
        </w:numPr>
        <w:spacing w:before="40" w:after="40"/>
      </w:pPr>
      <w:r>
        <w:rPr>
          <w:rFonts w:ascii="Arial" w:cs="Arial" w:eastAsia="Arial" w:hAnsi="Arial"/>
          <w:color w:val="2E2E2E"/>
          <w:sz w:val="20"/>
          <w:szCs w:val="20"/>
        </w:rPr>
        <w:t xml:space="preserve">Change of residential address — updated proof of address required</w:t>
      </w:r>
    </w:p>
    <w:p>
      <w:pPr>
        <w:pStyle w:val="ListParagraph"/>
        <w:numPr>
          <w:ilvl w:val="0"/>
          <w:numId w:val="2"/>
        </w:numPr>
        <w:spacing w:before="40" w:after="40"/>
      </w:pPr>
      <w:r>
        <w:rPr>
          <w:rFonts w:ascii="Arial" w:cs="Arial" w:eastAsia="Arial" w:hAnsi="Arial"/>
          <w:color w:val="2E2E2E"/>
          <w:sz w:val="20"/>
          <w:szCs w:val="20"/>
        </w:rPr>
        <w:t xml:space="preserve">Change of employer or business — updated documentation required</w:t>
      </w:r>
    </w:p>
    <w:p>
      <w:pPr>
        <w:pStyle w:val="ListParagraph"/>
        <w:numPr>
          <w:ilvl w:val="0"/>
          <w:numId w:val="2"/>
        </w:numPr>
        <w:spacing w:before="40" w:after="40"/>
      </w:pPr>
      <w:r>
        <w:rPr>
          <w:rFonts w:ascii="Arial" w:cs="Arial" w:eastAsia="Arial" w:hAnsi="Arial"/>
          <w:color w:val="2E2E2E"/>
          <w:sz w:val="20"/>
          <w:szCs w:val="20"/>
        </w:rPr>
        <w:t xml:space="preserve">Change in beneficial ownership (corporate) — updated BO declaration and ID verification required</w:t>
      </w:r>
    </w:p>
    <w:p>
      <w:pPr>
        <w:pStyle w:val="ListParagraph"/>
        <w:numPr>
          <w:ilvl w:val="0"/>
          <w:numId w:val="2"/>
        </w:numPr>
        <w:spacing w:before="40" w:after="40"/>
      </w:pPr>
      <w:r>
        <w:rPr>
          <w:rFonts w:ascii="Arial" w:cs="Arial" w:eastAsia="Arial" w:hAnsi="Arial"/>
          <w:color w:val="2E2E2E"/>
          <w:sz w:val="20"/>
          <w:szCs w:val="20"/>
        </w:rPr>
        <w:t xml:space="preserve">Change in business activity or business purpose — risk re-assessment required</w:t>
      </w:r>
    </w:p>
    <w:p>
      <w:pPr>
        <w:pStyle w:val="ListParagraph"/>
        <w:numPr>
          <w:ilvl w:val="0"/>
          <w:numId w:val="2"/>
        </w:numPr>
        <w:spacing w:before="40" w:after="40"/>
      </w:pPr>
      <w:r>
        <w:rPr>
          <w:rFonts w:ascii="Arial" w:cs="Arial" w:eastAsia="Arial" w:hAnsi="Arial"/>
          <w:color w:val="2E2E2E"/>
          <w:sz w:val="20"/>
          <w:szCs w:val="20"/>
        </w:rPr>
        <w:t xml:space="preserve">Customer acquisition of public office or government role — PEP assessment required</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7.3 Account Closure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Closure Reason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 Process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Approval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request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Standard closure form; final statement; recover debit card and cheque book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Branch Manager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Dormancy (&gt;2 years retail, &gt;1 year corporate)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notification attempt (3 attempts); compliance review; funds transfer to unclaimed deposits if uncontacted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BOM +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Risk-based de-marketing (AML grounds)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written decision; legal review; 30 days notice to customer unless STR filed (no notice if STR active)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 Head of Business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Regulatory direction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Immediate freeze and closure per SBP/court order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 Legal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Confirmed sanctions match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Immediate freeze; FMU notification; legal hold — may NOT close until cleared by authority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 Legal + SBP notification</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8. DIGITAL CHANNEL CONTROLS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8.1 HBL Mobile and Internet Banking Onboarding</w:t>
      </w:r>
    </w:p>
    <w:p>
      <w:pPr>
        <w:spacing w:before="60" w:after="80"/>
      </w:pPr>
      <w:r>
        <w:rPr>
          <w:rFonts w:ascii="Arial" w:cs="Arial" w:eastAsia="Arial" w:hAnsi="Arial"/>
          <w:color w:val="2E2E2E"/>
          <w:sz w:val="20"/>
          <w:szCs w:val="20"/>
        </w:rPr>
        <w:t xml:space="preserve">Digital channel onboarding is subject to the same KYC standards as in-branch onboarding. Additional digital-specific controls include:</w:t>
      </w:r>
    </w:p>
    <w:p>
      <w:pPr>
        <w:pStyle w:val="ListParagraph"/>
        <w:numPr>
          <w:ilvl w:val="0"/>
          <w:numId w:val="2"/>
        </w:numPr>
        <w:spacing w:before="40" w:after="40"/>
      </w:pPr>
      <w:r>
        <w:rPr>
          <w:rFonts w:ascii="Arial" w:cs="Arial" w:eastAsia="Arial" w:hAnsi="Arial"/>
          <w:color w:val="2E2E2E"/>
          <w:sz w:val="20"/>
          <w:szCs w:val="20"/>
        </w:rPr>
        <w:t xml:space="preserve">All digital onboarding uses the NADRA Digital Services API for real-time CNIC and biometric verification; no account can be activated without a successful biometric match</w:t>
      </w:r>
    </w:p>
    <w:p>
      <w:pPr>
        <w:pStyle w:val="ListParagraph"/>
        <w:numPr>
          <w:ilvl w:val="0"/>
          <w:numId w:val="2"/>
        </w:numPr>
        <w:spacing w:before="40" w:after="40"/>
      </w:pPr>
      <w:r>
        <w:rPr>
          <w:rFonts w:ascii="Arial" w:cs="Arial" w:eastAsia="Arial" w:hAnsi="Arial"/>
          <w:color w:val="2E2E2E"/>
          <w:sz w:val="20"/>
          <w:szCs w:val="20"/>
        </w:rPr>
        <w:t xml:space="preserve">AI-powered document authenticity checks are applied to uploaded documents (utility bills, income proof) — suspected forgeries are quarantined and referred to Compliance</w:t>
      </w:r>
    </w:p>
    <w:p>
      <w:pPr>
        <w:pStyle w:val="ListParagraph"/>
        <w:numPr>
          <w:ilvl w:val="0"/>
          <w:numId w:val="2"/>
        </w:numPr>
        <w:spacing w:before="40" w:after="40"/>
      </w:pPr>
      <w:r>
        <w:rPr>
          <w:rFonts w:ascii="Arial" w:cs="Arial" w:eastAsia="Arial" w:hAnsi="Arial"/>
          <w:color w:val="2E2E2E"/>
          <w:sz w:val="20"/>
          <w:szCs w:val="20"/>
        </w:rPr>
        <w:t xml:space="preserve">IP address and device fingerprinting are applied at onboarding; high-risk IP addresses (known VPNs, Tor networks) trigger enhanced review</w:t>
      </w:r>
    </w:p>
    <w:p>
      <w:pPr>
        <w:pStyle w:val="ListParagraph"/>
        <w:numPr>
          <w:ilvl w:val="0"/>
          <w:numId w:val="2"/>
        </w:numPr>
        <w:spacing w:before="40" w:after="40"/>
      </w:pPr>
      <w:r>
        <w:rPr>
          <w:rFonts w:ascii="Arial" w:cs="Arial" w:eastAsia="Arial" w:hAnsi="Arial"/>
          <w:color w:val="2E2E2E"/>
          <w:sz w:val="20"/>
          <w:szCs w:val="20"/>
        </w:rPr>
        <w:t xml:space="preserve">Customers attempting onboarding from overseas IP addresses are flagged for NRP verification</w:t>
      </w:r>
    </w:p>
    <w:p>
      <w:pPr>
        <w:pStyle w:val="ListParagraph"/>
        <w:numPr>
          <w:ilvl w:val="0"/>
          <w:numId w:val="2"/>
        </w:numPr>
        <w:spacing w:before="40" w:after="40"/>
      </w:pPr>
      <w:r>
        <w:rPr>
          <w:rFonts w:ascii="Arial" w:cs="Arial" w:eastAsia="Arial" w:hAnsi="Arial"/>
          <w:color w:val="2E2E2E"/>
          <w:sz w:val="20"/>
          <w:szCs w:val="20"/>
        </w:rPr>
        <w:t xml:space="preserve">Daily digital onboarding volume is reviewed by Compliance for unusual patterns suggesting identity fraud rings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8.2 Customer Onboarding Fraud Prevention</w:t>
      </w:r>
    </w:p>
    <w:p>
      <w:pPr>
        <w:pStyle w:val="ListParagraph"/>
        <w:numPr>
          <w:ilvl w:val="0"/>
          <w:numId w:val="2"/>
        </w:numPr>
        <w:spacing w:before="40" w:after="40"/>
      </w:pPr>
      <w:r>
        <w:rPr>
          <w:rFonts w:ascii="Arial" w:cs="Arial" w:eastAsia="Arial" w:hAnsi="Arial"/>
          <w:color w:val="2E2E2E"/>
          <w:sz w:val="20"/>
          <w:szCs w:val="20"/>
        </w:rPr>
        <w:t xml:space="preserve">CNIC duplication check: system prevents creation of a second account for the same CNIC without Compliance approval for legitimate reasons (e.g., joint account, minor account, business account)</w:t>
      </w:r>
    </w:p>
    <w:p>
      <w:pPr>
        <w:pStyle w:val="ListParagraph"/>
        <w:numPr>
          <w:ilvl w:val="0"/>
          <w:numId w:val="2"/>
        </w:numPr>
        <w:spacing w:before="40" w:after="40"/>
      </w:pPr>
      <w:r>
        <w:rPr>
          <w:rFonts w:ascii="Arial" w:cs="Arial" w:eastAsia="Arial" w:hAnsi="Arial"/>
          <w:color w:val="2E2E2E"/>
          <w:sz w:val="20"/>
          <w:szCs w:val="20"/>
        </w:rPr>
        <w:t xml:space="preserve">Address duplication check: multiple accounts registered to the same address that are unrelated trigger a review</w:t>
      </w:r>
    </w:p>
    <w:p>
      <w:pPr>
        <w:pStyle w:val="ListParagraph"/>
        <w:numPr>
          <w:ilvl w:val="0"/>
          <w:numId w:val="2"/>
        </w:numPr>
        <w:spacing w:before="40" w:after="40"/>
      </w:pPr>
      <w:r>
        <w:rPr>
          <w:rFonts w:ascii="Arial" w:cs="Arial" w:eastAsia="Arial" w:hAnsi="Arial"/>
          <w:color w:val="2E2E2E"/>
          <w:sz w:val="20"/>
          <w:szCs w:val="20"/>
        </w:rPr>
        <w:t xml:space="preserve">Velocity check: more than 5 new accounts opened via digital channel from the same device within 24 hours triggers a fraud alert</w:t>
      </w:r>
    </w:p>
    <w:p>
      <w:pPr>
        <w:pStyle w:val="ListParagraph"/>
        <w:numPr>
          <w:ilvl w:val="0"/>
          <w:numId w:val="2"/>
        </w:numPr>
        <w:spacing w:before="40" w:after="40"/>
      </w:pPr>
      <w:r>
        <w:rPr>
          <w:rFonts w:ascii="Arial" w:cs="Arial" w:eastAsia="Arial" w:hAnsi="Arial"/>
          <w:color w:val="2E2E2E"/>
          <w:sz w:val="20"/>
          <w:szCs w:val="20"/>
        </w:rPr>
        <w:t xml:space="preserve">Third-party identity verification services are used to cross-reference customer data against telco records and credit bureau data for additional confidence</w:t>
      </w:r>
    </w:p>
    <w:p>
      <w:pPr>
        <w:spacing w:before="60" w:after="60"/>
      </w:pPr>
      <w:r>
        <w:t xml:space="preserve"/>
      </w:r>
    </w:p>
    <w:p>
      <w:pPr>
        <w:spacing w:before="60" w:after="80"/>
      </w:pPr>
      <w:r>
        <w:rPr>
          <w:rFonts w:ascii="Arial" w:cs="Arial" w:eastAsia="Arial" w:hAnsi="Arial"/>
          <w:color w:val="2E2E2E"/>
          <w:sz w:val="20"/>
          <w:szCs w:val="20"/>
        </w:rPr>
        <w:t xml:space="preserve">Policy Owner: Head of Retail Banking &amp; Head of Corporate Banking (Joint) | Approved: December 2024 | Reference: BRCC-2024-50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pBd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595959"/>
              <w:sz w:val="14"/>
              <w:szCs w:val="14"/>
            </w:rPr>
            <w:t xml:space="preserve">Ver 5.0 | Effective: 01-Jan-2025 | Review: 31-Dec-2025</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B3A6B"/>
              <w:sz w:val="22"/>
              <w:szCs w:val="22"/>
            </w:rPr>
            <w:t xml:space="preserve">HABIB BANK LIMITED (HBL)</w:t>
          </w:r>
        </w:p>
        <w:p>
          <w:r>
            <w:rPr>
              <w:rFonts w:ascii="Arial" w:cs="Arial" w:eastAsia="Arial" w:hAnsi="Arial"/>
              <w:color w:val="595959"/>
              <w:sz w:val="15"/>
              <w:szCs w:val="15"/>
            </w:rPr>
            <w:t xml:space="preserve">Customer Onboarding Policy &amp; Procedures</w:t>
          </w:r>
        </w:p>
      </w:tc>
      <w:tc>
        <w:tcPr>
          <w:tcW w:type="dxa" w:w="3580"/>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jc w:val="right"/>
          </w:pPr>
          <w:r>
            <w:rPr>
              <w:rFonts w:ascii="Arial" w:cs="Arial" w:eastAsia="Arial" w:hAnsi="Arial"/>
              <w:color w:val="595959"/>
              <w:sz w:val="14"/>
              <w:szCs w:val="14"/>
            </w:rPr>
            <w:t xml:space="preserve">CONFIDENTIAL | HBL-COP-003</w:t>
          </w:r>
        </w:p>
      </w:tc>
    </w:tr>
  </w:tbl>
  <w:p>
    <w:pPr>
      <w:pBdr>
        <w:bottom w:val="single" w:color="1B3A6B" w:sz="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2026-02-10T18:24:45.487Z</dcterms:created>
  <dcterms:modified xsi:type="dcterms:W3CDTF">2026-02-10T18:24:45.488Z</dcterms:modified>
</cp:coreProperties>
</file>

<file path=docProps/custom.xml><?xml version="1.0" encoding="utf-8"?>
<Properties xmlns="http://schemas.openxmlformats.org/officeDocument/2006/custom-properties" xmlns:vt="http://schemas.openxmlformats.org/officeDocument/2006/docPropsVTypes"/>
</file>