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56"/>
          <w:szCs w:val="56"/>
        </w:rPr>
        <w:t xml:space="preserve">HABIB BANK LIMITED</w:t>
      </w:r>
    </w:p>
    <w:p>
      <w:pPr>
        <w:spacing w:before="0" w:after="60"/>
        <w:jc w:val="center"/>
      </w:pPr>
      <w:r>
        <w:rPr>
          <w:rFonts w:ascii="Arial" w:cs="Arial" w:eastAsia="Arial" w:hAnsi="Arial"/>
          <w:color w:val="595959"/>
          <w:sz w:val="18"/>
          <w:szCs w:val="18"/>
        </w:rPr>
        <w:t xml:space="preserve">Head Office: Habib Bank Plaza, I.I. Chundrigar Road, Karachi 74200, Pakistan</w:t>
      </w:r>
    </w:p>
    <w:p>
      <w:pPr>
        <w:spacing w:before="60" w:after="60"/>
      </w:pPr>
      <w:r>
        <w:t xml:space="preserve"/>
      </w:r>
    </w:p>
    <w:p>
      <w:pPr>
        <w:shd w:fill="1B3A6B" w:val="clear"/>
        <w:spacing w:before="200" w:after="0"/>
        <w:jc w:val="center"/>
      </w:pPr>
      <w:r>
        <w:rPr>
          <w:rFonts w:ascii="Arial" w:cs="Arial" w:eastAsia="Arial" w:hAnsi="Arial"/>
          <w:b/>
          <w:bCs/>
          <w:color w:val="FFFFFF"/>
          <w:sz w:val="38"/>
          <w:szCs w:val="38"/>
        </w:rPr>
        <w:t xml:space="preserve">  IT SECURITY, DATA PROTECTION  </w:t>
      </w:r>
    </w:p>
    <w:p>
      <w:pPr>
        <w:shd w:fill="1B3A6B" w:val="clear"/>
        <w:spacing w:before="0" w:after="200"/>
        <w:jc w:val="center"/>
      </w:pPr>
      <w:r>
        <w:rPr>
          <w:rFonts w:ascii="Arial" w:cs="Arial" w:eastAsia="Arial" w:hAnsi="Arial"/>
          <w:color w:val="D6E4F7"/>
          <w:sz w:val="22"/>
          <w:szCs w:val="22"/>
        </w:rPr>
        <w:t xml:space="preserve">  &amp; CYBERSECURITY POLICY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Document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HBL-IT-001</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Category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Information Technology &amp; Cybersecurity / Data Protection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6.1</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January 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Next Review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December 31,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Chief Information Security Officer (CISO)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Reviewed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Chief Technology Officer (CTO), Chief Compliance Officer (CCO), Chief Risk Officer (CRO)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Board Risk &amp; Compliance Committee (BRCC)</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Applicable 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All HBL employees, contractors, vendors, and third parties with access to HBL systems and data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Regulatory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SBP Cybersecurity Guidelines 2024, PTA Personal Data Protection Act 2023, SBP Internet Banking Policy 2021, PCI DSS v4.0, SWIFT Customer Security Programme</w:t>
            </w:r>
          </w:p>
        </w:tc>
      </w:tr>
    </w:tbl>
    <w:p>
      <w:pPr>
        <w:spacing w:before="60" w:after="60"/>
      </w:pPr>
      <w:r>
        <w:t xml:space="preserve"/>
      </w:r>
    </w:p>
    <w:p>
      <w:pPr>
        <w:shd w:fill="FFF2CC" w:val="clear"/>
        <w:spacing w:before="120" w:after="120"/>
        <w:jc w:val="center"/>
      </w:pPr>
      <w:r>
        <w:rPr>
          <w:rFonts w:ascii="Arial" w:cs="Arial" w:eastAsia="Arial" w:hAnsi="Arial"/>
          <w:i/>
          <w:iCs/>
          <w:color w:val="7F4F00"/>
          <w:sz w:val="16"/>
          <w:szCs w:val="16"/>
        </w:rPr>
        <w:t xml:space="preserve">CONFIDENTIAL: This policy contains sensitive security controls and procedures. Distribution is restricted to authorized personnel only. Unauthorized disclosure may compromise HBL's security posture.</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1. INTRODUCTION AND PURPOSE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1.1 Policy Statement</w:t>
      </w:r>
    </w:p>
    <w:p>
      <w:pPr>
        <w:spacing w:before="60" w:after="80"/>
      </w:pPr>
      <w:r>
        <w:rPr>
          <w:rFonts w:ascii="Arial" w:cs="Arial" w:eastAsia="Arial" w:hAnsi="Arial"/>
          <w:color w:val="2E2E2E"/>
          <w:sz w:val="20"/>
          <w:szCs w:val="20"/>
        </w:rPr>
        <w:t xml:space="preserve">Habib Bank Limited (HBL) recognizes that information technology assets, customer data, and digital banking infrastructure are critical to the bank's operations, reputation, and regulatory compliance. This policy establishes the mandatory requirements for protecting HBL's information assets from unauthorized access, modification, disclosure, disruption, and destruction. Every individual with access to HBL systems bears personal responsibility for upholding these standards.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1.2 Scope</w:t>
      </w:r>
    </w:p>
    <w:p>
      <w:pPr>
        <w:spacing w:before="60" w:after="80"/>
      </w:pPr>
      <w:r>
        <w:rPr>
          <w:rFonts w:ascii="Arial" w:cs="Arial" w:eastAsia="Arial" w:hAnsi="Arial"/>
          <w:color w:val="2E2E2E"/>
          <w:sz w:val="20"/>
          <w:szCs w:val="20"/>
        </w:rPr>
        <w:t xml:space="preserve">This policy applies to:</w:t>
      </w:r>
    </w:p>
    <w:p>
      <w:pPr>
        <w:pStyle w:val="ListParagraph"/>
        <w:numPr>
          <w:ilvl w:val="0"/>
          <w:numId w:val="2"/>
        </w:numPr>
        <w:spacing w:before="40" w:after="40"/>
      </w:pPr>
      <w:r>
        <w:rPr>
          <w:rFonts w:ascii="Arial" w:cs="Arial" w:eastAsia="Arial" w:hAnsi="Arial"/>
          <w:color w:val="2E2E2E"/>
          <w:sz w:val="20"/>
          <w:szCs w:val="20"/>
        </w:rPr>
        <w:t xml:space="preserve">All HBL-owned and managed IT systems, networks, databases, applications, and cloud services</w:t>
      </w:r>
    </w:p>
    <w:p>
      <w:pPr>
        <w:pStyle w:val="ListParagraph"/>
        <w:numPr>
          <w:ilvl w:val="0"/>
          <w:numId w:val="2"/>
        </w:numPr>
        <w:spacing w:before="40" w:after="40"/>
      </w:pPr>
      <w:r>
        <w:rPr>
          <w:rFonts w:ascii="Arial" w:cs="Arial" w:eastAsia="Arial" w:hAnsi="Arial"/>
          <w:color w:val="2E2E2E"/>
          <w:sz w:val="20"/>
          <w:szCs w:val="20"/>
        </w:rPr>
        <w:t xml:space="preserve">All end-user devices (laptops, desktops, mobile devices) used for HBL business</w:t>
      </w:r>
    </w:p>
    <w:p>
      <w:pPr>
        <w:pStyle w:val="ListParagraph"/>
        <w:numPr>
          <w:ilvl w:val="0"/>
          <w:numId w:val="2"/>
        </w:numPr>
        <w:spacing w:before="40" w:after="40"/>
      </w:pPr>
      <w:r>
        <w:rPr>
          <w:rFonts w:ascii="Arial" w:cs="Arial" w:eastAsia="Arial" w:hAnsi="Arial"/>
          <w:color w:val="2E2E2E"/>
          <w:sz w:val="20"/>
          <w:szCs w:val="20"/>
        </w:rPr>
        <w:t xml:space="preserve">All HBL employees, temporary staff, interns, and contractors accessing HBL systems</w:t>
      </w:r>
    </w:p>
    <w:p>
      <w:pPr>
        <w:pStyle w:val="ListParagraph"/>
        <w:numPr>
          <w:ilvl w:val="0"/>
          <w:numId w:val="2"/>
        </w:numPr>
        <w:spacing w:before="40" w:after="40"/>
      </w:pPr>
      <w:r>
        <w:rPr>
          <w:rFonts w:ascii="Arial" w:cs="Arial" w:eastAsia="Arial" w:hAnsi="Arial"/>
          <w:color w:val="2E2E2E"/>
          <w:sz w:val="20"/>
          <w:szCs w:val="20"/>
        </w:rPr>
        <w:t xml:space="preserve">All third-party vendors and service providers with access to HBL data or systems — governed by contractual security requirements aligned with this policy</w:t>
      </w:r>
    </w:p>
    <w:p>
      <w:pPr>
        <w:pStyle w:val="ListParagraph"/>
        <w:numPr>
          <w:ilvl w:val="0"/>
          <w:numId w:val="2"/>
        </w:numPr>
        <w:spacing w:before="40" w:after="40"/>
      </w:pPr>
      <w:r>
        <w:rPr>
          <w:rFonts w:ascii="Arial" w:cs="Arial" w:eastAsia="Arial" w:hAnsi="Arial"/>
          <w:color w:val="2E2E2E"/>
          <w:sz w:val="20"/>
          <w:szCs w:val="20"/>
        </w:rPr>
        <w:t xml:space="preserve">All customer-facing digital channels including HBL Mobile, HBL Internet Banking, ATM network, and HBL Konnect</w:t>
      </w:r>
    </w:p>
    <w:p>
      <w:pPr>
        <w:pStyle w:val="ListParagraph"/>
        <w:numPr>
          <w:ilvl w:val="0"/>
          <w:numId w:val="2"/>
        </w:numPr>
        <w:spacing w:before="40" w:after="40"/>
      </w:pPr>
      <w:r>
        <w:rPr>
          <w:rFonts w:ascii="Arial" w:cs="Arial" w:eastAsia="Arial" w:hAnsi="Arial"/>
          <w:color w:val="2E2E2E"/>
          <w:sz w:val="20"/>
          <w:szCs w:val="20"/>
        </w:rPr>
        <w:t xml:space="preserve">All data centers, server rooms, and communication rooms at HBL premises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1.3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Regulation</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Cybersecurity Guidelines, 2024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State Bank of Pakistan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Comprehensive cybersecurity framework for banks; mandatory security controls; incident reporting within 6 hours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Internet Banking Policy, 2021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State Bank of Pakistan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Security requirements for online and mobile banking channels; multi-factor authentication; fraud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Personal Data Protection Act (PDPA), 2023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 of Pakistan / PTA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 privacy rights; lawful processing; breach notification within 72 hours; data localization for personal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Payment Card Industry Data Security Standard (PCI DSS v4.0)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PCI Security Standards Council</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Protection of cardholder data; network security; access control; monitoring; annual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 Customer Security Programme (CSP)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Mandatory controls for SWIFT network participants; annual attestation; independent assessment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Electronic Money Institutions (EMI) Regulations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State Bank of Pakistan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Security for payment systems and digital wallets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Prevention of Electronic Crimes Act (PECA), 2016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 of Pakistan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Cybercrime offences; digital evidence; law enforcement cooperation</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2. INFORMATION CLASSIFICATION AND DATA GOVERNANCE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2.1 Information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Classification Level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Handling 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Top 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Disclosure would cause severe damage to HBL, customers, or national security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Board deliberations, regulatory enforcement correspondence, pending M&amp;A, system security architecture diagrams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Encrypted storage + transmission; distribution list approved by CEO; no email transmission; access logged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Confidential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Disclosure could cause significant harm to HBL or customers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account data, credit files, STR records, AML investigation files, employee performance reviews, financial forecasts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Encrypted storage and transmission; need-to-know access only; no printing without approval; DLP controls 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Intended for HBL internal use only; limited external impact if disclosed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Internal policies, procedures, project plans, meeting minutes, operational reports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Password-protected systems; not for external distribution; basic access controls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Public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Intended for public distribution; no harm from external disclosure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 report, press releases, product brochures, job postings, public website content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No special handling required; standard web security applies</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2.2 Customer Data Protection</w:t>
      </w:r>
    </w:p>
    <w:p>
      <w:pPr>
        <w:spacing w:before="60" w:after="80"/>
      </w:pPr>
      <w:r>
        <w:rPr>
          <w:rFonts w:ascii="Arial" w:cs="Arial" w:eastAsia="Arial" w:hAnsi="Arial"/>
          <w:color w:val="2E2E2E"/>
          <w:sz w:val="20"/>
          <w:szCs w:val="20"/>
        </w:rPr>
        <w:t xml:space="preserve">Customer personal and financial data is classified as Confidential minimum. The following controls are mandatory for all customer data:</w:t>
      </w:r>
    </w:p>
    <w:p>
      <w:pPr>
        <w:pStyle w:val="ListParagraph"/>
        <w:numPr>
          <w:ilvl w:val="0"/>
          <w:numId w:val="2"/>
        </w:numPr>
        <w:spacing w:before="40" w:after="40"/>
      </w:pPr>
      <w:r>
        <w:rPr>
          <w:rFonts w:ascii="Arial" w:cs="Arial" w:eastAsia="Arial" w:hAnsi="Arial"/>
          <w:color w:val="2E2E2E"/>
          <w:sz w:val="20"/>
          <w:szCs w:val="20"/>
        </w:rPr>
        <w:t xml:space="preserve">Customer data must be processed only for the specific purpose for which it was collected, consistent with PDPA 2023 requirements</w:t>
      </w:r>
    </w:p>
    <w:p>
      <w:pPr>
        <w:pStyle w:val="ListParagraph"/>
        <w:numPr>
          <w:ilvl w:val="0"/>
          <w:numId w:val="2"/>
        </w:numPr>
        <w:spacing w:before="40" w:after="40"/>
      </w:pPr>
      <w:r>
        <w:rPr>
          <w:rFonts w:ascii="Arial" w:cs="Arial" w:eastAsia="Arial" w:hAnsi="Arial"/>
          <w:color w:val="2E2E2E"/>
          <w:sz w:val="20"/>
          <w:szCs w:val="20"/>
        </w:rPr>
        <w:t xml:space="preserve">Customer consent must be obtained before using data for marketing or sharing with third parties beyond operational necessity</w:t>
      </w:r>
    </w:p>
    <w:p>
      <w:pPr>
        <w:pStyle w:val="ListParagraph"/>
        <w:numPr>
          <w:ilvl w:val="0"/>
          <w:numId w:val="2"/>
        </w:numPr>
        <w:spacing w:before="40" w:after="40"/>
      </w:pPr>
      <w:r>
        <w:rPr>
          <w:rFonts w:ascii="Arial" w:cs="Arial" w:eastAsia="Arial" w:hAnsi="Arial"/>
          <w:color w:val="2E2E2E"/>
          <w:sz w:val="20"/>
          <w:szCs w:val="20"/>
        </w:rPr>
        <w:t xml:space="preserve">Customer data must not be transferred outside Pakistan without explicit customer consent and PDPA compliance assessment, except for regulatory reporting or SWIFT transactions</w:t>
      </w:r>
    </w:p>
    <w:p>
      <w:pPr>
        <w:pStyle w:val="ListParagraph"/>
        <w:numPr>
          <w:ilvl w:val="0"/>
          <w:numId w:val="2"/>
        </w:numPr>
        <w:spacing w:before="40" w:after="40"/>
      </w:pPr>
      <w:r>
        <w:rPr>
          <w:rFonts w:ascii="Arial" w:cs="Arial" w:eastAsia="Arial" w:hAnsi="Arial"/>
          <w:color w:val="2E2E2E"/>
          <w:sz w:val="20"/>
          <w:szCs w:val="20"/>
        </w:rPr>
        <w:t xml:space="preserve">Data retention: customer data must be retained for minimum 5 years after relationship ends per SBP requirements; financial transaction records for 7 years per FBR requirements</w:t>
      </w:r>
    </w:p>
    <w:p>
      <w:pPr>
        <w:pStyle w:val="ListParagraph"/>
        <w:numPr>
          <w:ilvl w:val="0"/>
          <w:numId w:val="2"/>
        </w:numPr>
        <w:spacing w:before="40" w:after="40"/>
      </w:pPr>
      <w:r>
        <w:rPr>
          <w:rFonts w:ascii="Arial" w:cs="Arial" w:eastAsia="Arial" w:hAnsi="Arial"/>
          <w:color w:val="2E2E2E"/>
          <w:sz w:val="20"/>
          <w:szCs w:val="20"/>
        </w:rPr>
        <w:t xml:space="preserve">Right to access: customers have the right to request a copy of their personal data held by HBL under PDPA 2023 — requests must be fulfilled within 14 working days</w:t>
      </w:r>
    </w:p>
    <w:p>
      <w:pPr>
        <w:pStyle w:val="ListParagraph"/>
        <w:numPr>
          <w:ilvl w:val="0"/>
          <w:numId w:val="2"/>
        </w:numPr>
        <w:spacing w:before="40" w:after="40"/>
      </w:pPr>
      <w:r>
        <w:rPr>
          <w:rFonts w:ascii="Arial" w:cs="Arial" w:eastAsia="Arial" w:hAnsi="Arial"/>
          <w:color w:val="2E2E2E"/>
          <w:sz w:val="20"/>
          <w:szCs w:val="20"/>
        </w:rPr>
        <w:t xml:space="preserve">Right to erasure: subject to legal and regulatory retention requirements, customers may request deletion of personal data — assessed case by case by the Data Protection Officer (DPO)</w:t>
      </w:r>
    </w:p>
    <w:p>
      <w:pPr>
        <w:pStyle w:val="ListParagraph"/>
        <w:numPr>
          <w:ilvl w:val="0"/>
          <w:numId w:val="2"/>
        </w:numPr>
        <w:spacing w:before="40" w:after="40"/>
      </w:pPr>
      <w:r>
        <w:rPr>
          <w:rFonts w:ascii="Arial" w:cs="Arial" w:eastAsia="Arial" w:hAnsi="Arial"/>
          <w:color w:val="2E2E2E"/>
          <w:sz w:val="20"/>
          <w:szCs w:val="20"/>
        </w:rPr>
        <w:t xml:space="preserve">Data minimization: HBL shall collect only the minimum customer data necessary for the stated purpose; excessive data collection is prohibited</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3. ACCESS CONTROL AND IDENTITY MANAGEMENT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3.1 User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Responsible Party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Account provisioning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New user accounts created only upon receipt of approved IT Access Request Form (ITARF) signed by line manager and HR; access provisioned within same business day of approval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IT Service Desk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Principle of least privilege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Each user granted only the minimum access required for their role; no broad or blanket access permissions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IT Security + Line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Account de-provisioning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User access revoked within 4 hours of HR notification of resignation, termination, or long-term absence; accounts disabled and reviewed within 1 business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IT Service Desk + HR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Privileged access management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system administrator, DBA, and privileged accounts governed by PAM solution; no shared privileged accounts; privileged sessions recorded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IT Security / CISO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Access reviews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Quarterly access reviews for all critical systems (CBS, TMS, DMS); semi-annual review for general systems; results reported to CISO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IT Security + Business Unit Managers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Service accounts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service/application accounts documented in service account register; no human users accessing service accounts; passwords rotated every 90 days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IT Security</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3.2 Password and Authentication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System / Application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Minimum Password Requirements</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Authentication 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Session Timeout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Core Banking System (CBS)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16 characters; uppercase, lowercase, numbers, special chars; no dictionary words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Password + RSA SecurID (TOTP) hardware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15 minutes idle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Monitoring System (TMS)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14 characters; mixed case + numbers + special chars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Password + SMS OTP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10 minutes idle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Email (Microsoft 365)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12 characters; complexity required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Password + Microsoft Authenticator (MFA)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8 hours (re-auth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Internet Banking (Customer)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10 characters; alphanumeric + special char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Password + OTP via registered mobile + Device registration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10 minutes idle; session max 30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Mobile Banking (Customer)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6-digit PIN OR biometric (fingerprint/Face 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PIN + biometric + device binding; OTP for high-value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5 minutes background; 1 transaction validity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Admin Portal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16 characters; complexity required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Password + hardware token + IP allowlist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5 minutes idle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16 characters; complexity required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Password + hardware token; 4-eyes principle for SWIFT 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Session per transaction</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3.3 Multi-Factor Authentication (MFA)</w:t>
      </w:r>
    </w:p>
    <w:p>
      <w:pPr>
        <w:spacing w:before="60" w:after="80"/>
      </w:pPr>
      <w:r>
        <w:rPr>
          <w:rFonts w:ascii="Arial" w:cs="Arial" w:eastAsia="Arial" w:hAnsi="Arial"/>
          <w:color w:val="2E2E2E"/>
          <w:sz w:val="20"/>
          <w:szCs w:val="20"/>
        </w:rPr>
        <w:t xml:space="preserve">MFA is mandatory for all of the following:</w:t>
      </w:r>
    </w:p>
    <w:p>
      <w:pPr>
        <w:pStyle w:val="ListParagraph"/>
        <w:numPr>
          <w:ilvl w:val="0"/>
          <w:numId w:val="2"/>
        </w:numPr>
        <w:spacing w:before="40" w:after="40"/>
      </w:pPr>
      <w:r>
        <w:rPr>
          <w:rFonts w:ascii="Arial" w:cs="Arial" w:eastAsia="Arial" w:hAnsi="Arial"/>
          <w:color w:val="2E2E2E"/>
          <w:sz w:val="20"/>
          <w:szCs w:val="20"/>
        </w:rPr>
        <w:t xml:space="preserve">All remote access to HBL systems (VPN, remote desktop)</w:t>
      </w:r>
    </w:p>
    <w:p>
      <w:pPr>
        <w:pStyle w:val="ListParagraph"/>
        <w:numPr>
          <w:ilvl w:val="0"/>
          <w:numId w:val="2"/>
        </w:numPr>
        <w:spacing w:before="40" w:after="40"/>
      </w:pPr>
      <w:r>
        <w:rPr>
          <w:rFonts w:ascii="Arial" w:cs="Arial" w:eastAsia="Arial" w:hAnsi="Arial"/>
          <w:color w:val="2E2E2E"/>
          <w:sz w:val="20"/>
          <w:szCs w:val="20"/>
        </w:rPr>
        <w:t xml:space="preserve">All privileged and administrative accounts</w:t>
      </w:r>
    </w:p>
    <w:p>
      <w:pPr>
        <w:pStyle w:val="ListParagraph"/>
        <w:numPr>
          <w:ilvl w:val="0"/>
          <w:numId w:val="2"/>
        </w:numPr>
        <w:spacing w:before="40" w:after="40"/>
      </w:pPr>
      <w:r>
        <w:rPr>
          <w:rFonts w:ascii="Arial" w:cs="Arial" w:eastAsia="Arial" w:hAnsi="Arial"/>
          <w:color w:val="2E2E2E"/>
          <w:sz w:val="20"/>
          <w:szCs w:val="20"/>
        </w:rPr>
        <w:t xml:space="preserve">All access to classified or confidential data repositories</w:t>
      </w:r>
    </w:p>
    <w:p>
      <w:pPr>
        <w:pStyle w:val="ListParagraph"/>
        <w:numPr>
          <w:ilvl w:val="0"/>
          <w:numId w:val="2"/>
        </w:numPr>
        <w:spacing w:before="40" w:after="40"/>
      </w:pPr>
      <w:r>
        <w:rPr>
          <w:rFonts w:ascii="Arial" w:cs="Arial" w:eastAsia="Arial" w:hAnsi="Arial"/>
          <w:color w:val="2E2E2E"/>
          <w:sz w:val="20"/>
          <w:szCs w:val="20"/>
        </w:rPr>
        <w:t xml:space="preserve">Customer-facing digital banking channels for transactions above PKR 25,000</w:t>
      </w:r>
    </w:p>
    <w:p>
      <w:pPr>
        <w:pStyle w:val="ListParagraph"/>
        <w:numPr>
          <w:ilvl w:val="0"/>
          <w:numId w:val="2"/>
        </w:numPr>
        <w:spacing w:before="40" w:after="40"/>
      </w:pPr>
      <w:r>
        <w:rPr>
          <w:rFonts w:ascii="Arial" w:cs="Arial" w:eastAsia="Arial" w:hAnsi="Arial"/>
          <w:color w:val="2E2E2E"/>
          <w:sz w:val="20"/>
          <w:szCs w:val="20"/>
        </w:rPr>
        <w:t xml:space="preserve">Email access from outside the HBL corporate network</w:t>
      </w:r>
    </w:p>
    <w:p>
      <w:pPr>
        <w:pStyle w:val="ListParagraph"/>
        <w:numPr>
          <w:ilvl w:val="0"/>
          <w:numId w:val="2"/>
        </w:numPr>
        <w:spacing w:before="40" w:after="40"/>
      </w:pPr>
      <w:r>
        <w:rPr>
          <w:rFonts w:ascii="Arial" w:cs="Arial" w:eastAsia="Arial" w:hAnsi="Arial"/>
          <w:color w:val="2E2E2E"/>
          <w:sz w:val="20"/>
          <w:szCs w:val="20"/>
        </w:rPr>
        <w:t xml:space="preserve">Access to cloud-hosted services and SaaS applications</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4. NETWORK AND INFRASTRUCTURE SECURITY</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4.1 Network Architecture and Segmentation</w:t>
      </w:r>
    </w:p>
    <w:p>
      <w:pPr>
        <w:spacing w:before="60" w:after="80"/>
      </w:pPr>
      <w:r>
        <w:rPr>
          <w:rFonts w:ascii="Arial" w:cs="Arial" w:eastAsia="Arial" w:hAnsi="Arial"/>
          <w:color w:val="2E2E2E"/>
          <w:sz w:val="20"/>
          <w:szCs w:val="20"/>
        </w:rPr>
        <w:t xml:space="preserve">HBL's network is segregated into security zones to contain breaches and limit lateral movement by threat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44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Security Zone</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Access Policy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Demilitarized Zone (DMZ)</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Public-facing servers: internet banking, mobile banking API gateways, public website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Internet-accessible; web application firewall (WAF); no direct internal network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Core Banking Zone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CBS servers, mainframe, databases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Restricted to CBS operations team; no direct internet access; all traffic logged; IDS/IPS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Management Zone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Network management, PAM servers, SIEM, backup systems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Restricted to IT admins with PAM-controlled access only; separate VLAN; network-based MFA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Office LAN Zone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Employee workstations, printers, meeting room systems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staff with role-based access; guest WiFi completely segregated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 Zone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 messaging infrastructure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Completely air-gapped from internet; access via dedicated terminals with hardware tokens; 4-eyes mandatory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ATM Network Zone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ATM terminals and ATM host systems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Encrypted private network; no internet access; separate from all other zones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Branch Network Zone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Branch teller stations, CBS terminals at branches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VPN-connected to HBL data center; branch-level firewall; local traffic inspection</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4.2 Firewall and Perimeter Security</w:t>
      </w:r>
    </w:p>
    <w:p>
      <w:pPr>
        <w:pStyle w:val="ListParagraph"/>
        <w:numPr>
          <w:ilvl w:val="0"/>
          <w:numId w:val="2"/>
        </w:numPr>
        <w:spacing w:before="40" w:after="40"/>
      </w:pPr>
      <w:r>
        <w:rPr>
          <w:rFonts w:ascii="Arial" w:cs="Arial" w:eastAsia="Arial" w:hAnsi="Arial"/>
          <w:color w:val="2E2E2E"/>
          <w:sz w:val="20"/>
          <w:szCs w:val="20"/>
        </w:rPr>
        <w:t xml:space="preserve">Next-generation firewalls (NGFW) deployed at all network perimeters with application-layer inspection</w:t>
      </w:r>
    </w:p>
    <w:p>
      <w:pPr>
        <w:pStyle w:val="ListParagraph"/>
        <w:numPr>
          <w:ilvl w:val="0"/>
          <w:numId w:val="2"/>
        </w:numPr>
        <w:spacing w:before="40" w:after="40"/>
      </w:pPr>
      <w:r>
        <w:rPr>
          <w:rFonts w:ascii="Arial" w:cs="Arial" w:eastAsia="Arial" w:hAnsi="Arial"/>
          <w:color w:val="2E2E2E"/>
          <w:sz w:val="20"/>
          <w:szCs w:val="20"/>
        </w:rPr>
        <w:t xml:space="preserve">Web Application Firewall (WAF) protecting all internet-facing applications — updated ruleset reviewed weekly</w:t>
      </w:r>
    </w:p>
    <w:p>
      <w:pPr>
        <w:pStyle w:val="ListParagraph"/>
        <w:numPr>
          <w:ilvl w:val="0"/>
          <w:numId w:val="2"/>
        </w:numPr>
        <w:spacing w:before="40" w:after="40"/>
      </w:pPr>
      <w:r>
        <w:rPr>
          <w:rFonts w:ascii="Arial" w:cs="Arial" w:eastAsia="Arial" w:hAnsi="Arial"/>
          <w:color w:val="2E2E2E"/>
          <w:sz w:val="20"/>
          <w:szCs w:val="20"/>
        </w:rPr>
        <w:t xml:space="preserve">Intrusion Detection and Prevention System (IDS/IPS) deployed across all critical network segments</w:t>
      </w:r>
    </w:p>
    <w:p>
      <w:pPr>
        <w:pStyle w:val="ListParagraph"/>
        <w:numPr>
          <w:ilvl w:val="0"/>
          <w:numId w:val="2"/>
        </w:numPr>
        <w:spacing w:before="40" w:after="40"/>
      </w:pPr>
      <w:r>
        <w:rPr>
          <w:rFonts w:ascii="Arial" w:cs="Arial" w:eastAsia="Arial" w:hAnsi="Arial"/>
          <w:color w:val="2E2E2E"/>
          <w:sz w:val="20"/>
          <w:szCs w:val="20"/>
        </w:rPr>
        <w:t xml:space="preserve">All inbound and outbound traffic is logged; logs forwarded to SIEM in real-time</w:t>
      </w:r>
    </w:p>
    <w:p>
      <w:pPr>
        <w:pStyle w:val="ListParagraph"/>
        <w:numPr>
          <w:ilvl w:val="0"/>
          <w:numId w:val="2"/>
        </w:numPr>
        <w:spacing w:before="40" w:after="40"/>
      </w:pPr>
      <w:r>
        <w:rPr>
          <w:rFonts w:ascii="Arial" w:cs="Arial" w:eastAsia="Arial" w:hAnsi="Arial"/>
          <w:color w:val="2E2E2E"/>
          <w:sz w:val="20"/>
          <w:szCs w:val="20"/>
        </w:rPr>
        <w:t xml:space="preserve">Firewall rule reviews conducted quarterly; unused rules removed; all changes require Change Advisory Board (CAB) approval</w:t>
      </w:r>
    </w:p>
    <w:p>
      <w:pPr>
        <w:pStyle w:val="ListParagraph"/>
        <w:numPr>
          <w:ilvl w:val="0"/>
          <w:numId w:val="2"/>
        </w:numPr>
        <w:spacing w:before="40" w:after="40"/>
      </w:pPr>
      <w:r>
        <w:rPr>
          <w:rFonts w:ascii="Arial" w:cs="Arial" w:eastAsia="Arial" w:hAnsi="Arial"/>
          <w:color w:val="2E2E2E"/>
          <w:sz w:val="20"/>
          <w:szCs w:val="20"/>
        </w:rPr>
        <w:t xml:space="preserve">DDoS protection service active on all internet-facing assets; capacity threshold alerts configured</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4.3 Endpoint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Antivirus/EDR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Endpoint Detection and Response (EDR) solution deployed on 100% of HBL-managed endpoints; definitions updated daily; real-time threat monitoring to SOC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Disk Encryption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disk encryption mandatory on all laptops, portable devices; unencrypted laptops must not contain HBL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Patch Management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Critical OS and application patches applied within 72 hours of release; high-severity within 7 days; others within 30 days; automated deployment via SCCM/Intune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USB / Removable Media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USB storage devices disabled by Group Policy on all HBL devices; exceptions require CISO pre-approval; encrypted CISO-approved USB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BYOD Policy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Personal devices may not access HBL corporate systems except through HBL-approved MDM-enrolled mobile devices; HBL data must not be stored on personal devices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Screen lock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Automatic screen lock after 5 minutes of inactivity; mandatory before leaving workstation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 Loss Prevention (DLP)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DLP solution monitors and controls transfer of confidential data via email, USB, cloud storage, and printing; alerts sent to SOC in real-time</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5. CYBERSECURITY INCIDENT MANAGEMENT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5.1 Incident Classification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760"/>
        <w:gridCol w:w="14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Severity Level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Initial Response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P1 –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Active security breach; systems compromised; customer data exfiltrated; business operations severely disrupted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Ransomware attack, core banking system breach, customer data breach, DDoS taking down digital banking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15 minutes — 24/7 SOC response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P2 – 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Significant security event; potential breach; multiple systems affected; customer-facing systems at risk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Malware detected on critical system, unauthorized admin access, phishing campaign targeting staff, ATM skimming discovered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30 minutes — 24/7 SOC response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P3 –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Security violation; isolated system affected; no confirmed data loss; business impact limited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Single endpoint compromise, failed external attack attempt, internal policy violation (unauthorized USB), vulnerable unpatched system discovered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4 business hours — SOC + IT Security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P4 – 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Minor security event; no systems compromised; precautionary investigation required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Phishing email received and reported, suspicious login attempt (failed), expired certificate detected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24 business hours — IT Security team</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5.2 Incident Response Procedure</w:t>
      </w:r>
    </w:p>
    <w:p>
      <w:pPr>
        <w:pStyle w:val="ListParagraph"/>
        <w:numPr>
          <w:ilvl w:val="0"/>
          <w:numId w:val="3"/>
        </w:numPr>
        <w:spacing w:before="40" w:after="40"/>
      </w:pPr>
      <w:r>
        <w:rPr>
          <w:rFonts w:ascii="Arial" w:cs="Arial" w:eastAsia="Arial" w:hAnsi="Arial"/>
          <w:color w:val="2E2E2E"/>
          <w:sz w:val="20"/>
          <w:szCs w:val="20"/>
        </w:rPr>
        <w:t xml:space="preserve">DETECT: SOC analyst identifies security event from SIEM alerts, IDS/IPS, EDR, threat intel feeds, or staff/customer report</w:t>
      </w:r>
    </w:p>
    <w:p>
      <w:pPr>
        <w:pStyle w:val="ListParagraph"/>
        <w:numPr>
          <w:ilvl w:val="0"/>
          <w:numId w:val="3"/>
        </w:numPr>
        <w:spacing w:before="40" w:after="40"/>
      </w:pPr>
      <w:r>
        <w:rPr>
          <w:rFonts w:ascii="Arial" w:cs="Arial" w:eastAsia="Arial" w:hAnsi="Arial"/>
          <w:color w:val="2E2E2E"/>
          <w:sz w:val="20"/>
          <w:szCs w:val="20"/>
        </w:rPr>
        <w:t xml:space="preserve">TRIAGE: SOC Analyst classifies severity within 15 minutes for P1/P2, 30 minutes for P3/P4</w:t>
      </w:r>
    </w:p>
    <w:p>
      <w:pPr>
        <w:pStyle w:val="ListParagraph"/>
        <w:numPr>
          <w:ilvl w:val="0"/>
          <w:numId w:val="3"/>
        </w:numPr>
        <w:spacing w:before="40" w:after="40"/>
      </w:pPr>
      <w:r>
        <w:rPr>
          <w:rFonts w:ascii="Arial" w:cs="Arial" w:eastAsia="Arial" w:hAnsi="Arial"/>
          <w:color w:val="2E2E2E"/>
          <w:sz w:val="20"/>
          <w:szCs w:val="20"/>
        </w:rPr>
        <w:t xml:space="preserve">CONTAIN: Incident Response team executes containment actions appropriate to severity — network isolation, account suspension, system shutdown</w:t>
      </w:r>
    </w:p>
    <w:p>
      <w:pPr>
        <w:pStyle w:val="ListParagraph"/>
        <w:numPr>
          <w:ilvl w:val="0"/>
          <w:numId w:val="3"/>
        </w:numPr>
        <w:spacing w:before="40" w:after="40"/>
      </w:pPr>
      <w:r>
        <w:rPr>
          <w:rFonts w:ascii="Arial" w:cs="Arial" w:eastAsia="Arial" w:hAnsi="Arial"/>
          <w:color w:val="2E2E2E"/>
          <w:sz w:val="20"/>
          <w:szCs w:val="20"/>
        </w:rPr>
        <w:t xml:space="preserve">ESCALATE: For P1 and P2: CISO notified within 15 minutes; for P1 additionally: CTO and CEO notified within 30 minutes; Incident Response Team assembled</w:t>
      </w:r>
    </w:p>
    <w:p>
      <w:pPr>
        <w:pStyle w:val="ListParagraph"/>
        <w:numPr>
          <w:ilvl w:val="0"/>
          <w:numId w:val="3"/>
        </w:numPr>
        <w:spacing w:before="40" w:after="40"/>
      </w:pPr>
      <w:r>
        <w:rPr>
          <w:rFonts w:ascii="Arial" w:cs="Arial" w:eastAsia="Arial" w:hAnsi="Arial"/>
          <w:color w:val="2E2E2E"/>
          <w:sz w:val="20"/>
          <w:szCs w:val="20"/>
        </w:rPr>
        <w:t xml:space="preserve">INVESTIGATE: Forensic investigation commenced; evidence preserved; root cause analysis initiated — preserve all logs before any remediation</w:t>
      </w:r>
    </w:p>
    <w:p>
      <w:pPr>
        <w:pStyle w:val="ListParagraph"/>
        <w:numPr>
          <w:ilvl w:val="0"/>
          <w:numId w:val="3"/>
        </w:numPr>
        <w:spacing w:before="40" w:after="40"/>
      </w:pPr>
      <w:r>
        <w:rPr>
          <w:rFonts w:ascii="Arial" w:cs="Arial" w:eastAsia="Arial" w:hAnsi="Arial"/>
          <w:color w:val="2E2E2E"/>
          <w:sz w:val="20"/>
          <w:szCs w:val="20"/>
        </w:rPr>
        <w:t xml:space="preserve">NOTIFY (Regulatory): For confirmed data breaches involving customer personal data: SBP notified within 6 hours (SBP Cybersecurity Guidelines 2024); FIA notified if criminal activity suspected; PDPA breach notification to PTA within 72 hours if personal data of &gt;= 100 customers affected</w:t>
      </w:r>
    </w:p>
    <w:p>
      <w:pPr>
        <w:pStyle w:val="ListParagraph"/>
        <w:numPr>
          <w:ilvl w:val="0"/>
          <w:numId w:val="3"/>
        </w:numPr>
        <w:spacing w:before="40" w:after="40"/>
      </w:pPr>
      <w:r>
        <w:rPr>
          <w:rFonts w:ascii="Arial" w:cs="Arial" w:eastAsia="Arial" w:hAnsi="Arial"/>
          <w:color w:val="2E2E2E"/>
          <w:sz w:val="20"/>
          <w:szCs w:val="20"/>
        </w:rPr>
        <w:t xml:space="preserve">NOTIFY (Customers): Where customer data is confirmed compromised, affected customers notified within 72 hours per PDPA 2023 — coordinated by Legal, Compliance, and Communications teams</w:t>
      </w:r>
    </w:p>
    <w:p>
      <w:pPr>
        <w:pStyle w:val="ListParagraph"/>
        <w:numPr>
          <w:ilvl w:val="0"/>
          <w:numId w:val="3"/>
        </w:numPr>
        <w:spacing w:before="40" w:after="40"/>
      </w:pPr>
      <w:r>
        <w:rPr>
          <w:rFonts w:ascii="Arial" w:cs="Arial" w:eastAsia="Arial" w:hAnsi="Arial"/>
          <w:color w:val="2E2E2E"/>
          <w:sz w:val="20"/>
          <w:szCs w:val="20"/>
        </w:rPr>
        <w:t xml:space="preserve">REMEDIATE: Root cause addressed; systems restored from clean backups; security controls strengthened</w:t>
      </w:r>
    </w:p>
    <w:p>
      <w:pPr>
        <w:pStyle w:val="ListParagraph"/>
        <w:numPr>
          <w:ilvl w:val="0"/>
          <w:numId w:val="3"/>
        </w:numPr>
        <w:spacing w:before="40" w:after="40"/>
      </w:pPr>
      <w:r>
        <w:rPr>
          <w:rFonts w:ascii="Arial" w:cs="Arial" w:eastAsia="Arial" w:hAnsi="Arial"/>
          <w:color w:val="2E2E2E"/>
          <w:sz w:val="20"/>
          <w:szCs w:val="20"/>
        </w:rPr>
        <w:t xml:space="preserve">REVIEW: Post-Incident Review (PIR) conducted within 5 business days; lessons learned documented; controls updated; BRCC briefed for P1/P2 incidents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b/>
                <w:bCs/>
                <w:color w:val="C00000"/>
                <w:sz w:val="18"/>
                <w:szCs w:val="18"/>
              </w:rPr>
              <w:t xml:space="preserve">SBP INCIDENT REPORTING — 6-HOUR MANDATORY NOTIFICATION</w:t>
            </w:r>
          </w:p>
          <w:p>
            <w:pPr>
              <w:spacing w:before="40"/>
            </w:pPr>
            <w:r>
              <w:rPr>
                <w:rFonts w:ascii="Arial" w:cs="Arial" w:eastAsia="Arial" w:hAnsi="Arial"/>
                <w:color w:val="2E2E2E"/>
                <w:sz w:val="18"/>
                <w:szCs w:val="18"/>
              </w:rPr>
              <w:t xml:space="preserve">SBP REPORTING REQUIREMENT: Per SBP Cybersecurity Guidelines 2024, HBL must notify SBP's Technology Division of any significant cyber incident (P1 or P2 severity) within 6 hours of detection, regardless of business hours. Notification is mandatory even if the incident is not yet fully investigated or confirmed. A full incident report must follow within 72 hours. CISO is personally responsible for ensuring timely regulatory notification. Failure to notify SBP is a regulatory breach subject to enforcement action.</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6. DATA BACKUP, RECOVERY, AND BUSINESS CONTINUITY</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6.1 Backup Policy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800"/>
        <w:gridCol w:w="16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Backup Frequency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Recovery Point Objective (RPO)</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Recovery Time Objective (RTO)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Core Banking System (CBS) — 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Real-time replication to DR site + daily full backup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7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15 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 hour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CBS — non-transactional (master data, configuration)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Daily full + hourly incremental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5 years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 hour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4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Monitoring System (TMS)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Daily full backup; 6-hourly incremental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10 years (STR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 hour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4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Document Management System (DMS) — KYC records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Daily full backup; real-time sync to DR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Per document retention policy (5-10 years)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4 hours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8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Email (Microsoft 365)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Microsoft managed + daily export to HBL archive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5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4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8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 system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Real-time replication; daily backup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10 years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15 minutes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2 hours</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6.2 Disaster Recovery and Business Continuity</w:t>
      </w:r>
    </w:p>
    <w:p>
      <w:pPr>
        <w:pStyle w:val="ListParagraph"/>
        <w:numPr>
          <w:ilvl w:val="0"/>
          <w:numId w:val="2"/>
        </w:numPr>
        <w:spacing w:before="40" w:after="40"/>
      </w:pPr>
      <w:r>
        <w:rPr>
          <w:rFonts w:ascii="Arial" w:cs="Arial" w:eastAsia="Arial" w:hAnsi="Arial"/>
          <w:color w:val="2E2E2E"/>
          <w:sz w:val="20"/>
          <w:szCs w:val="20"/>
        </w:rPr>
        <w:t xml:space="preserve">HBL maintains a hot Disaster Recovery (DR) site at a geographically separate location (minimum 50km from primary data center) with 100% infrastructure mirroring</w:t>
      </w:r>
    </w:p>
    <w:p>
      <w:pPr>
        <w:pStyle w:val="ListParagraph"/>
        <w:numPr>
          <w:ilvl w:val="0"/>
          <w:numId w:val="2"/>
        </w:numPr>
        <w:spacing w:before="40" w:after="40"/>
      </w:pPr>
      <w:r>
        <w:rPr>
          <w:rFonts w:ascii="Arial" w:cs="Arial" w:eastAsia="Arial" w:hAnsi="Arial"/>
          <w:color w:val="2E2E2E"/>
          <w:sz w:val="20"/>
          <w:szCs w:val="20"/>
        </w:rPr>
        <w:t xml:space="preserve">DR failover is tested with a full live simulation quarterly; DR test results reviewed by CISO and CTO and reported to BRCC</w:t>
      </w:r>
    </w:p>
    <w:p>
      <w:pPr>
        <w:pStyle w:val="ListParagraph"/>
        <w:numPr>
          <w:ilvl w:val="0"/>
          <w:numId w:val="2"/>
        </w:numPr>
        <w:spacing w:before="40" w:after="40"/>
      </w:pPr>
      <w:r>
        <w:rPr>
          <w:rFonts w:ascii="Arial" w:cs="Arial" w:eastAsia="Arial" w:hAnsi="Arial"/>
          <w:color w:val="2E2E2E"/>
          <w:sz w:val="20"/>
          <w:szCs w:val="20"/>
        </w:rPr>
        <w:t xml:space="preserve">Business Continuity Plan (BCP) for all critical business functions reviewed and tested annually</w:t>
      </w:r>
    </w:p>
    <w:p>
      <w:pPr>
        <w:pStyle w:val="ListParagraph"/>
        <w:numPr>
          <w:ilvl w:val="0"/>
          <w:numId w:val="2"/>
        </w:numPr>
        <w:spacing w:before="40" w:after="40"/>
      </w:pPr>
      <w:r>
        <w:rPr>
          <w:rFonts w:ascii="Arial" w:cs="Arial" w:eastAsia="Arial" w:hAnsi="Arial"/>
          <w:color w:val="2E2E2E"/>
          <w:sz w:val="20"/>
          <w:szCs w:val="20"/>
        </w:rPr>
        <w:t xml:space="preserve">Recovery time objectives (RTOs) and Recovery point objectives (RPOs) are formally agreed with business owners and documented in Service Level Agreements (SLAs)</w:t>
      </w:r>
    </w:p>
    <w:p>
      <w:pPr>
        <w:pStyle w:val="ListParagraph"/>
        <w:numPr>
          <w:ilvl w:val="0"/>
          <w:numId w:val="2"/>
        </w:numPr>
        <w:spacing w:before="40" w:after="40"/>
      </w:pPr>
      <w:r>
        <w:rPr>
          <w:rFonts w:ascii="Arial" w:cs="Arial" w:eastAsia="Arial" w:hAnsi="Arial"/>
          <w:color w:val="2E2E2E"/>
          <w:sz w:val="20"/>
          <w:szCs w:val="20"/>
        </w:rPr>
        <w:t xml:space="preserve">Manual fallback procedures are documented for all critical processes in the event of prolonged system unavailability</w:t>
      </w:r>
    </w:p>
    <w:p>
      <w:pPr>
        <w:pStyle w:val="ListParagraph"/>
        <w:numPr>
          <w:ilvl w:val="0"/>
          <w:numId w:val="2"/>
        </w:numPr>
        <w:spacing w:before="40" w:after="40"/>
      </w:pPr>
      <w:r>
        <w:rPr>
          <w:rFonts w:ascii="Arial" w:cs="Arial" w:eastAsia="Arial" w:hAnsi="Arial"/>
          <w:color w:val="2E2E2E"/>
          <w:sz w:val="20"/>
          <w:szCs w:val="20"/>
        </w:rPr>
        <w:t xml:space="preserve">SWIFT manual fallback procedures comply with SWIFT's Business Continuity requirements</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7. VENDOR AND THIRD-PARTY SECURITY</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7.1 Third-Party Security Requirements</w:t>
      </w:r>
    </w:p>
    <w:p>
      <w:pPr>
        <w:spacing w:before="60" w:after="80"/>
      </w:pPr>
      <w:r>
        <w:rPr>
          <w:rFonts w:ascii="Arial" w:cs="Arial" w:eastAsia="Arial" w:hAnsi="Arial"/>
          <w:color w:val="2E2E2E"/>
          <w:sz w:val="20"/>
          <w:szCs w:val="20"/>
        </w:rPr>
        <w:t xml:space="preserve">All vendors, contractors, and third parties with access to HBL systems or data must comply with HBL's security standards. The following controls are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Security Assessment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Pre-engagement security assessment required for all vendors with access to confidential data or critical systems; ISO 27001 certification preferred; penetration test results reviewed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CISO-led vendor security review; score &gt;= 75/100 required to proceed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Contractual Security Clauses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vendor contracts must include: data protection obligations, security incident notification (within 24 hours), right-to-audit clause, breach liability, NDA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Legal + CISO contract review before signing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Access Control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Vendors granted only the minimum access required for contracted services; all vendor access time-limited; vendor accounts terminated immediately upon contract 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IT Security manages vendor access; quarterly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 Handling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Vendors must not store HBL customer data on their own systems unless contractually authorized; no data transfer to subcontractors without HBL approval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 Processing Agreement (DPA) mandatory; PDPA compliant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Penetration Testing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vendor product or service accessing HBL networks must undergo annual penetration testing; results shared with HBL CISO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 security test by HBL-approved third party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Incident Response Coordination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Vendors must notify HBL Security Operations Centre (SOC) within 4 hours of discovering any security incident that may affect HBL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Contractual obligation; tested in annual vendor security review</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7.2 Cloud Security</w:t>
      </w:r>
    </w:p>
    <w:p>
      <w:pPr>
        <w:spacing w:before="60" w:after="80"/>
      </w:pPr>
      <w:r>
        <w:rPr>
          <w:rFonts w:ascii="Arial" w:cs="Arial" w:eastAsia="Arial" w:hAnsi="Arial"/>
          <w:color w:val="2E2E2E"/>
          <w:sz w:val="20"/>
          <w:szCs w:val="20"/>
        </w:rPr>
        <w:t xml:space="preserve">HBL's use of cloud services is governed by the following requirements in addition to SBP approval requirements for cloud adoption:</w:t>
      </w:r>
    </w:p>
    <w:p>
      <w:pPr>
        <w:pStyle w:val="ListParagraph"/>
        <w:numPr>
          <w:ilvl w:val="0"/>
          <w:numId w:val="2"/>
        </w:numPr>
        <w:spacing w:before="40" w:after="40"/>
      </w:pPr>
      <w:r>
        <w:rPr>
          <w:rFonts w:ascii="Arial" w:cs="Arial" w:eastAsia="Arial" w:hAnsi="Arial"/>
          <w:color w:val="2E2E2E"/>
          <w:sz w:val="20"/>
          <w:szCs w:val="20"/>
        </w:rPr>
        <w:t xml:space="preserve">SBP prior approval required before migrating any critical systems or sensitive customer data to cloud providers</w:t>
      </w:r>
    </w:p>
    <w:p>
      <w:pPr>
        <w:pStyle w:val="ListParagraph"/>
        <w:numPr>
          <w:ilvl w:val="0"/>
          <w:numId w:val="2"/>
        </w:numPr>
        <w:spacing w:before="40" w:after="40"/>
      </w:pPr>
      <w:r>
        <w:rPr>
          <w:rFonts w:ascii="Arial" w:cs="Arial" w:eastAsia="Arial" w:hAnsi="Arial"/>
          <w:color w:val="2E2E2E"/>
          <w:sz w:val="20"/>
          <w:szCs w:val="20"/>
        </w:rPr>
        <w:t xml:space="preserve">Only SBP-approved cloud service providers may host HBL banking data; all data must reside in Pakistan-based data centers unless SBP exemption granted</w:t>
      </w:r>
    </w:p>
    <w:p>
      <w:pPr>
        <w:pStyle w:val="ListParagraph"/>
        <w:numPr>
          <w:ilvl w:val="0"/>
          <w:numId w:val="2"/>
        </w:numPr>
        <w:spacing w:before="40" w:after="40"/>
      </w:pPr>
      <w:r>
        <w:rPr>
          <w:rFonts w:ascii="Arial" w:cs="Arial" w:eastAsia="Arial" w:hAnsi="Arial"/>
          <w:color w:val="2E2E2E"/>
          <w:sz w:val="20"/>
          <w:szCs w:val="20"/>
        </w:rPr>
        <w:t xml:space="preserve">Cloud-hosted data must be encrypted at rest using AES-256 and in transit using TLS 1.3 minimum</w:t>
      </w:r>
    </w:p>
    <w:p>
      <w:pPr>
        <w:pStyle w:val="ListParagraph"/>
        <w:numPr>
          <w:ilvl w:val="0"/>
          <w:numId w:val="2"/>
        </w:numPr>
        <w:spacing w:before="40" w:after="40"/>
      </w:pPr>
      <w:r>
        <w:rPr>
          <w:rFonts w:ascii="Arial" w:cs="Arial" w:eastAsia="Arial" w:hAnsi="Arial"/>
          <w:color w:val="2E2E2E"/>
          <w:sz w:val="20"/>
          <w:szCs w:val="20"/>
        </w:rPr>
        <w:t xml:space="preserve">Cloud access controls must meet or exceed on-premises standards: MFA, privileged access management, activity logging</w:t>
      </w:r>
    </w:p>
    <w:p>
      <w:pPr>
        <w:pStyle w:val="ListParagraph"/>
        <w:numPr>
          <w:ilvl w:val="0"/>
          <w:numId w:val="2"/>
        </w:numPr>
        <w:spacing w:before="40" w:after="40"/>
      </w:pPr>
      <w:r>
        <w:rPr>
          <w:rFonts w:ascii="Arial" w:cs="Arial" w:eastAsia="Arial" w:hAnsi="Arial"/>
          <w:color w:val="2E2E2E"/>
          <w:sz w:val="20"/>
          <w:szCs w:val="20"/>
        </w:rPr>
        <w:t xml:space="preserve">Cloud configuration review performed quarterly using automated Cloud Security Posture Management (CSPM) tools</w:t>
      </w:r>
    </w:p>
    <w:p>
      <w:pPr>
        <w:pStyle w:val="ListParagraph"/>
        <w:numPr>
          <w:ilvl w:val="0"/>
          <w:numId w:val="2"/>
        </w:numPr>
        <w:spacing w:before="40" w:after="40"/>
      </w:pPr>
      <w:r>
        <w:rPr>
          <w:rFonts w:ascii="Arial" w:cs="Arial" w:eastAsia="Arial" w:hAnsi="Arial"/>
          <w:color w:val="2E2E2E"/>
          <w:sz w:val="20"/>
          <w:szCs w:val="20"/>
        </w:rPr>
        <w:t xml:space="preserve">Cloud provider's security and compliance certifications (ISO 27001, SOC 2 Type II) must be current and reviewed annually</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8. DIGITAL BANKING SECURITY</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8.1 HBL Mobile and Internet Banking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Control Area</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Security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Multi-factor authentication mandatory for all logins; biometric authentication supported; session token expiry: 30 minutes maximum; device binding for mobile app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Authorization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transactions above PKR 25,000 require OTP confirmation via registered mobile; high-value transactions (&gt; PKR 500,000) require additional authorization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Fraud Detection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Real-time behavioral analytics monitoring for unusual digital banking activity; automated blocking of suspicious transactions; customer alert within 30 seconds of flagged transaction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API Security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APIs secured with OAuth 2.0 and API gateway; rate limiting applied; API keys rotated every 90 days; all API calls logged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Encryption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digital banking traffic encrypted with TLS 1.3 or higher; certificate pinning on mobile app; no deprecated cipher suites (TLS 1.0/1.1, RC4, DES prohibited)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App Security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Mobile app undergoes annual third-party penetration test; OWASP Mobile Top 10 controls implemented; obfuscation and anti-tampering controls active; jailbreak/root device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Vulnerability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Monthly automated vulnerability scans of all internet-facing systems; critical vulnerabilities patched within 72 hours; bug bounty program for responsible disclosure</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8.2 ATM Security</w:t>
      </w:r>
    </w:p>
    <w:p>
      <w:pPr>
        <w:pStyle w:val="ListParagraph"/>
        <w:numPr>
          <w:ilvl w:val="0"/>
          <w:numId w:val="2"/>
        </w:numPr>
        <w:spacing w:before="40" w:after="40"/>
      </w:pPr>
      <w:r>
        <w:rPr>
          <w:rFonts w:ascii="Arial" w:cs="Arial" w:eastAsia="Arial" w:hAnsi="Arial"/>
          <w:color w:val="2E2E2E"/>
          <w:sz w:val="20"/>
          <w:szCs w:val="20"/>
        </w:rPr>
        <w:t xml:space="preserve">ATM physical security: all ATMs equipped with anti-skimming devices; ATM screens reviewed monthly for physical tampering</w:t>
      </w:r>
    </w:p>
    <w:p>
      <w:pPr>
        <w:pStyle w:val="ListParagraph"/>
        <w:numPr>
          <w:ilvl w:val="0"/>
          <w:numId w:val="2"/>
        </w:numPr>
        <w:spacing w:before="40" w:after="40"/>
      </w:pPr>
      <w:r>
        <w:rPr>
          <w:rFonts w:ascii="Arial" w:cs="Arial" w:eastAsia="Arial" w:hAnsi="Arial"/>
          <w:color w:val="2E2E2E"/>
          <w:sz w:val="20"/>
          <w:szCs w:val="20"/>
        </w:rPr>
        <w:t xml:space="preserve">ATM software: only SBP-approved ATM software versions; no obsolete operating systems (Windows XP/7 prohibited); all ATMs on XFS middleware with current security patches</w:t>
      </w:r>
    </w:p>
    <w:p>
      <w:pPr>
        <w:pStyle w:val="ListParagraph"/>
        <w:numPr>
          <w:ilvl w:val="0"/>
          <w:numId w:val="2"/>
        </w:numPr>
        <w:spacing w:before="40" w:after="40"/>
      </w:pPr>
      <w:r>
        <w:rPr>
          <w:rFonts w:ascii="Arial" w:cs="Arial" w:eastAsia="Arial" w:hAnsi="Arial"/>
          <w:color w:val="2E2E2E"/>
          <w:sz w:val="20"/>
          <w:szCs w:val="20"/>
        </w:rPr>
        <w:t xml:space="preserve">ATM network: ATMs connected via encrypted, dedicated private network; no direct internet connectivity</w:t>
      </w:r>
    </w:p>
    <w:p>
      <w:pPr>
        <w:pStyle w:val="ListParagraph"/>
        <w:numPr>
          <w:ilvl w:val="0"/>
          <w:numId w:val="2"/>
        </w:numPr>
        <w:spacing w:before="40" w:after="40"/>
      </w:pPr>
      <w:r>
        <w:rPr>
          <w:rFonts w:ascii="Arial" w:cs="Arial" w:eastAsia="Arial" w:hAnsi="Arial"/>
          <w:color w:val="2E2E2E"/>
          <w:sz w:val="20"/>
          <w:szCs w:val="20"/>
        </w:rPr>
        <w:t xml:space="preserve">ATM cash management: dual-control for ATM cash loading; cash cassettes sealed and logged; real-time cash-out alerts</w:t>
      </w:r>
    </w:p>
    <w:p>
      <w:pPr>
        <w:pStyle w:val="ListParagraph"/>
        <w:numPr>
          <w:ilvl w:val="0"/>
          <w:numId w:val="2"/>
        </w:numPr>
        <w:spacing w:before="40" w:after="40"/>
      </w:pPr>
      <w:r>
        <w:rPr>
          <w:rFonts w:ascii="Arial" w:cs="Arial" w:eastAsia="Arial" w:hAnsi="Arial"/>
          <w:color w:val="2E2E2E"/>
          <w:sz w:val="20"/>
          <w:szCs w:val="20"/>
        </w:rPr>
        <w:t xml:space="preserve">ATM fraud monitoring: card skimming, PIN compromise, and card trapping alerts monitored by Fraud Operations team 24/7</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9. SECURITY AWARENESS AND TRAINING</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9.1 Mandatory Security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Cybersecurity Awareness Essentials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 (mandatory) + quarterly phishing simulations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Phishing recognition, password hygiene, social engineering, data handling, incident reporting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 Protection and PDPA Compliance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staff handling customer data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Personal data rights, lawful processing, breach notification, PDPA obligations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Privileged User Security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IT admins, DBA, privileged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Bi-annually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Secure administration practices, PAM usage, insider threat awareness, forensic evidence preservation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Security Champion Program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One designated Security Champion per department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Quarterly workshops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Advanced threat awareness, security control implementation, reporting to CISO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Executive Cyber Risk Briefing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Board, BRCC members, C-Suite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Cyber threat landscape, regulatory developments, strategic risk decisions, board cyber governance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New Employee Security Induction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new joiners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first 7 days of employment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Security policies, acceptable use, password setup, incident reporting procedure, data classification</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9.2 Phishing Simulation Program</w:t>
      </w:r>
    </w:p>
    <w:p>
      <w:pPr>
        <w:pStyle w:val="ListParagraph"/>
        <w:numPr>
          <w:ilvl w:val="0"/>
          <w:numId w:val="2"/>
        </w:numPr>
        <w:spacing w:before="40" w:after="40"/>
      </w:pPr>
      <w:r>
        <w:rPr>
          <w:rFonts w:ascii="Arial" w:cs="Arial" w:eastAsia="Arial" w:hAnsi="Arial"/>
          <w:color w:val="2E2E2E"/>
          <w:sz w:val="20"/>
          <w:szCs w:val="20"/>
        </w:rPr>
        <w:t xml:space="preserve">HBL runs quarterly simulated phishing exercises targeting all staff using the HBL Phishing Simulation Platform</w:t>
      </w:r>
    </w:p>
    <w:p>
      <w:pPr>
        <w:pStyle w:val="ListParagraph"/>
        <w:numPr>
          <w:ilvl w:val="0"/>
          <w:numId w:val="2"/>
        </w:numPr>
        <w:spacing w:before="40" w:after="40"/>
      </w:pPr>
      <w:r>
        <w:rPr>
          <w:rFonts w:ascii="Arial" w:cs="Arial" w:eastAsia="Arial" w:hAnsi="Arial"/>
          <w:color w:val="2E2E2E"/>
          <w:sz w:val="20"/>
          <w:szCs w:val="20"/>
        </w:rPr>
        <w:t xml:space="preserve">Employees who click phishing simulation links are automatically enrolled in mandatory remedial security training to be completed within 5 business days</w:t>
      </w:r>
    </w:p>
    <w:p>
      <w:pPr>
        <w:pStyle w:val="ListParagraph"/>
        <w:numPr>
          <w:ilvl w:val="0"/>
          <w:numId w:val="2"/>
        </w:numPr>
        <w:spacing w:before="40" w:after="40"/>
      </w:pPr>
      <w:r>
        <w:rPr>
          <w:rFonts w:ascii="Arial" w:cs="Arial" w:eastAsia="Arial" w:hAnsi="Arial"/>
          <w:color w:val="2E2E2E"/>
          <w:sz w:val="20"/>
          <w:szCs w:val="20"/>
        </w:rPr>
        <w:t xml:space="preserve">Phishing simulation click rates are tracked by department and reported to department heads monthly; rates above 15% trigger departmental security workshops</w:t>
      </w:r>
    </w:p>
    <w:p>
      <w:pPr>
        <w:pStyle w:val="ListParagraph"/>
        <w:numPr>
          <w:ilvl w:val="0"/>
          <w:numId w:val="2"/>
        </w:numPr>
        <w:spacing w:before="40" w:after="40"/>
      </w:pPr>
      <w:r>
        <w:rPr>
          <w:rFonts w:ascii="Arial" w:cs="Arial" w:eastAsia="Arial" w:hAnsi="Arial"/>
          <w:color w:val="2E2E2E"/>
          <w:sz w:val="20"/>
          <w:szCs w:val="20"/>
        </w:rPr>
        <w:t xml:space="preserve">Staff who proactively report phishing simulation emails to the SOC are recognized in the monthly security communications</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10. SWIFT SECURITY PROGRAMME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10.1 SWIFT Customer Security Programme (CSP) Compliance</w:t>
      </w:r>
    </w:p>
    <w:p>
      <w:pPr>
        <w:spacing w:before="60" w:after="80"/>
      </w:pPr>
      <w:r>
        <w:rPr>
          <w:rFonts w:ascii="Arial" w:cs="Arial" w:eastAsia="Arial" w:hAnsi="Arial"/>
          <w:color w:val="2E2E2E"/>
          <w:sz w:val="20"/>
          <w:szCs w:val="20"/>
        </w:rPr>
        <w:t xml:space="preserve">As a participant in the SWIFT network, HBL is required to comply with SWIFT's Customer Security Programme (CSP) and attest compliance annually. The following mandatory controls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SWIFT CSP Control</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Implementation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Restrict Internet Access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 environment completely isolated from internet; no browsing or email from SWIFT terminals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implemented — air-gapped SWIFT zone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Separate SWIFT Environment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Dedicated, segregated infrastructure for SWIFT; no sharing with general IT environment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implemented — physical separation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Reduce Attack Surface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Unnecessary services and ports disabled on SWIFT servers; OS hardening per SWIFT recommendations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implemented — quarterly review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Physical Security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 terminals in locked, access-controlled room; access logged; CCTV coverage 24/7</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implemented — access log reviewed 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Prevent Compromise of Credentials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Hardware tokens for all SWIFT operator accounts; 4-eyes principle for payment release; no shared accounts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implemented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Manage Identities and Segregate Privileges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 operator and administrator roles separated; minimum 2 operators required for payment submission and release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implemented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Detect Anomalous Activity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24/7 monitoring of SWIFT transaction activity; automated alerts for unusual payment patterns, off-hours transactions, new beneficiaries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implemented — integrated with SOC SIEM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Plan for Incident Response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SWIFT-specific incident response procedure documented; annual tabletop exercise; SWIFT ISAC membership active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implemented</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10.2 SWIFT Annual Attestation</w:t>
      </w:r>
    </w:p>
    <w:p>
      <w:pPr>
        <w:pStyle w:val="ListParagraph"/>
        <w:numPr>
          <w:ilvl w:val="0"/>
          <w:numId w:val="2"/>
        </w:numPr>
        <w:spacing w:before="40" w:after="40"/>
      </w:pPr>
      <w:r>
        <w:rPr>
          <w:rFonts w:ascii="Arial" w:cs="Arial" w:eastAsia="Arial" w:hAnsi="Arial"/>
          <w:color w:val="2E2E2E"/>
          <w:sz w:val="20"/>
          <w:szCs w:val="20"/>
        </w:rPr>
        <w:t xml:space="preserve">HBL's SWIFT CSP attestation is completed annually by December 31 for the following year</w:t>
      </w:r>
    </w:p>
    <w:p>
      <w:pPr>
        <w:pStyle w:val="ListParagraph"/>
        <w:numPr>
          <w:ilvl w:val="0"/>
          <w:numId w:val="2"/>
        </w:numPr>
        <w:spacing w:before="40" w:after="40"/>
      </w:pPr>
      <w:r>
        <w:rPr>
          <w:rFonts w:ascii="Arial" w:cs="Arial" w:eastAsia="Arial" w:hAnsi="Arial"/>
          <w:color w:val="2E2E2E"/>
          <w:sz w:val="20"/>
          <w:szCs w:val="20"/>
        </w:rPr>
        <w:t xml:space="preserve">Independent third-party assessment of SWIFT controls is conducted every 2 years</w:t>
      </w:r>
    </w:p>
    <w:p>
      <w:pPr>
        <w:pStyle w:val="ListParagraph"/>
        <w:numPr>
          <w:ilvl w:val="0"/>
          <w:numId w:val="2"/>
        </w:numPr>
        <w:spacing w:before="40" w:after="40"/>
      </w:pPr>
      <w:r>
        <w:rPr>
          <w:rFonts w:ascii="Arial" w:cs="Arial" w:eastAsia="Arial" w:hAnsi="Arial"/>
          <w:color w:val="2E2E2E"/>
          <w:sz w:val="20"/>
          <w:szCs w:val="20"/>
        </w:rPr>
        <w:t xml:space="preserve">Attestation is reviewed and signed by the CISO and approved by the Board prior to submission</w:t>
      </w:r>
    </w:p>
    <w:p>
      <w:pPr>
        <w:pStyle w:val="ListParagraph"/>
        <w:numPr>
          <w:ilvl w:val="0"/>
          <w:numId w:val="2"/>
        </w:numPr>
        <w:spacing w:before="40" w:after="40"/>
      </w:pPr>
      <w:r>
        <w:rPr>
          <w:rFonts w:ascii="Arial" w:cs="Arial" w:eastAsia="Arial" w:hAnsi="Arial"/>
          <w:color w:val="2E2E2E"/>
          <w:sz w:val="20"/>
          <w:szCs w:val="20"/>
        </w:rPr>
        <w:t xml:space="preserve">Any mandatory control failures identified must be remediated within 90 days of attestation deadline; SWIFT and SBP notified of any extended remediation timeline</w:t>
      </w:r>
    </w:p>
    <w:p>
      <w:pPr>
        <w:spacing w:before="60" w:after="60"/>
      </w:pPr>
      <w:r>
        <w:t xml:space="preserve"/>
      </w:r>
    </w:p>
    <w:p>
      <w:pPr>
        <w:spacing w:before="60" w:after="80"/>
      </w:pPr>
      <w:r>
        <w:rPr>
          <w:rFonts w:ascii="Arial" w:cs="Arial" w:eastAsia="Arial" w:hAnsi="Arial"/>
          <w:color w:val="2E2E2E"/>
          <w:sz w:val="20"/>
          <w:szCs w:val="20"/>
        </w:rPr>
        <w:t xml:space="preserve">Policy Owner: Chief Information Security Officer (CISO) | BRCC Approval Reference: BRCC-2024-51 | Effective: January 1,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pBd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595959"/>
              <w:sz w:val="14"/>
              <w:szCs w:val="14"/>
            </w:rPr>
            <w:t xml:space="preserve">Ver 6.1 | Effective: 01-Jan-2025 | Review: 31-Dec-2025</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B3A6B"/>
              <w:sz w:val="22"/>
              <w:szCs w:val="22"/>
            </w:rPr>
            <w:t xml:space="preserve">HABIB BANK LIMITED (HBL)</w:t>
          </w:r>
        </w:p>
        <w:p>
          <w:r>
            <w:rPr>
              <w:rFonts w:ascii="Arial" w:cs="Arial" w:eastAsia="Arial" w:hAnsi="Arial"/>
              <w:color w:val="595959"/>
              <w:sz w:val="15"/>
              <w:szCs w:val="15"/>
            </w:rPr>
            <w:t xml:space="preserve">IT Security, Data Protection &amp; Cybersecurity Policy</w:t>
          </w:r>
        </w:p>
      </w:tc>
      <w:tc>
        <w:tcPr>
          <w:tcW w:type="dxa" w:w="3580"/>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jc w:val="right"/>
          </w:pPr>
          <w:r>
            <w:rPr>
              <w:rFonts w:ascii="Arial" w:cs="Arial" w:eastAsia="Arial" w:hAnsi="Arial"/>
              <w:color w:val="595959"/>
              <w:sz w:val="14"/>
              <w:szCs w:val="14"/>
            </w:rPr>
            <w:t xml:space="preserve">CONFIDENTIAL | HBL-IT-001</w:t>
          </w:r>
        </w:p>
      </w:tc>
    </w:tr>
  </w:tbl>
  <w:p>
    <w:pPr>
      <w:pBdr>
        <w:bottom w:val="single" w:color="1B3A6B" w:sz="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2026-02-10T18:24:45.997Z</dcterms:created>
  <dcterms:modified xsi:type="dcterms:W3CDTF">2026-02-10T18:24:45.997Z</dcterms:modified>
</cp:coreProperties>
</file>

<file path=docProps/custom.xml><?xml version="1.0" encoding="utf-8"?>
<Properties xmlns="http://schemas.openxmlformats.org/officeDocument/2006/custom-properties" xmlns:vt="http://schemas.openxmlformats.org/officeDocument/2006/docPropsVTypes"/>
</file>