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56"/>
          <w:szCs w:val="56"/>
        </w:rPr>
        <w:t xml:space="preserve">HABIB BANK LIMITED</w:t>
      </w:r>
    </w:p>
    <w:p>
      <w:pPr>
        <w:spacing w:before="0" w:after="60"/>
        <w:jc w:val="center"/>
      </w:pPr>
      <w:r>
        <w:rPr>
          <w:rFonts w:ascii="Arial" w:cs="Arial" w:eastAsia="Arial" w:hAnsi="Arial"/>
          <w:color w:val="595959"/>
          <w:sz w:val="18"/>
          <w:szCs w:val="18"/>
        </w:rPr>
        <w:t xml:space="preserve">Head Office: Habib Bank Plaza, I.I. Chundrigar Road, Karachi 74200, Pakistan</w:t>
      </w:r>
    </w:p>
    <w:p>
      <w:pPr>
        <w:spacing w:before="60" w:after="60"/>
      </w:pPr>
      <w:r>
        <w:t xml:space="preserve"/>
      </w:r>
    </w:p>
    <w:p>
      <w:pPr>
        <w:shd w:fill="1B3A6B" w:val="clear"/>
        <w:spacing w:before="200" w:after="0"/>
        <w:jc w:val="center"/>
      </w:pPr>
      <w:r>
        <w:rPr>
          <w:rFonts w:ascii="Arial" w:cs="Arial" w:eastAsia="Arial" w:hAnsi="Arial"/>
          <w:b/>
          <w:bCs/>
          <w:color w:val="FFFFFF"/>
          <w:sz w:val="38"/>
          <w:szCs w:val="38"/>
        </w:rPr>
        <w:t xml:space="preserve">  TRANSACTION MONITORING &amp;  </w:t>
      </w:r>
    </w:p>
    <w:p>
      <w:pPr>
        <w:shd w:fill="1B3A6B" w:val="clear"/>
        <w:spacing w:before="0" w:after="200"/>
        <w:jc w:val="center"/>
      </w:pPr>
      <w:r>
        <w:rPr>
          <w:rFonts w:ascii="Arial" w:cs="Arial" w:eastAsia="Arial" w:hAnsi="Arial"/>
          <w:color w:val="D6E4F7"/>
          <w:sz w:val="22"/>
          <w:szCs w:val="22"/>
        </w:rPr>
        <w:t xml:space="preserve">  CASH TRANSACTION REPORTING SOP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HBL-TXN-SOP-002</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Compliance / Transaction Monitoring &amp; Financial Crime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3.1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January 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Next Review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December 31, 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Policy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Head, Transaction Monitoring Unit (TMU)</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Reviewed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Chief Compliance Officer (CCO)</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Board Risk &amp; Compliance Committee (BRCC)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Applicable 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2E2E"/>
                <w:sz w:val="18"/>
                <w:szCs w:val="18"/>
              </w:rPr>
              <w:t xml:space="preserve">All branches, operations, digital banking, and compliance staff</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8"/>
                <w:szCs w:val="18"/>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18"/>
                <w:szCs w:val="18"/>
              </w:rPr>
              <w:t xml:space="preserve">HBL-CAML-001 (AML/KYC Policy), HBL-OPS-005 (Cash Handling SOP), HBL-IT-001 (IT Security Policy)</w:t>
            </w:r>
          </w:p>
        </w:tc>
      </w:tr>
    </w:tbl>
    <w:p>
      <w:pPr>
        <w:spacing w:before="60" w:after="60"/>
      </w:pPr>
      <w:r>
        <w:t xml:space="preserve"/>
      </w:r>
    </w:p>
    <w:p>
      <w:pPr>
        <w:shd w:fill="FFF2CC" w:val="clear"/>
        <w:spacing w:before="120" w:after="120"/>
        <w:jc w:val="center"/>
      </w:pPr>
      <w:r>
        <w:rPr>
          <w:rFonts w:ascii="Arial" w:cs="Arial" w:eastAsia="Arial" w:hAnsi="Arial"/>
          <w:i/>
          <w:iCs/>
          <w:color w:val="7F4F00"/>
          <w:sz w:val="16"/>
          <w:szCs w:val="16"/>
        </w:rPr>
        <w:t xml:space="preserve">CONFIDENTIAL: This Standard Operating Procedure contains sensitive compliance protocols. Unauthorized access or disclosure is prohibited and may constitute a regulatory breach.</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1. PURPOSE AND OVERVIEW</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1.1 Purpose</w:t>
      </w:r>
    </w:p>
    <w:p>
      <w:pPr>
        <w:spacing w:before="60" w:after="80"/>
      </w:pPr>
      <w:r>
        <w:rPr>
          <w:rFonts w:ascii="Arial" w:cs="Arial" w:eastAsia="Arial" w:hAnsi="Arial"/>
          <w:color w:val="2E2E2E"/>
          <w:sz w:val="20"/>
          <w:szCs w:val="20"/>
        </w:rPr>
        <w:t xml:space="preserve">This Standard Operating Procedure (SOP) establishes the framework and step-by-step procedures for monitoring customer transactions, identifying suspicious activity, managing transaction monitoring alerts, and fulfilling HBL's mandatory reporting obligations to the Financial Monitoring Unit (FMU) and the State Bank of Pakistan (SBP). This SOP operationalizes the requirements of the HBL AML/KYC Policy (HBL-CAML-001) at the transaction level.</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1.2 Regulatory Basis</w:t>
      </w:r>
    </w:p>
    <w:p>
      <w:pPr>
        <w:pStyle w:val="ListParagraph"/>
        <w:numPr>
          <w:ilvl w:val="0"/>
          <w:numId w:val="2"/>
        </w:numPr>
        <w:spacing w:before="40" w:after="40"/>
      </w:pPr>
      <w:r>
        <w:rPr>
          <w:rFonts w:ascii="Arial" w:cs="Arial" w:eastAsia="Arial" w:hAnsi="Arial"/>
          <w:color w:val="2E2E2E"/>
          <w:sz w:val="20"/>
          <w:szCs w:val="20"/>
        </w:rPr>
        <w:t xml:space="preserve">Anti-Money Laundering Act, 2010 (as amended 2020) — Sections 7, 8, and 26</w:t>
      </w:r>
    </w:p>
    <w:p>
      <w:pPr>
        <w:pStyle w:val="ListParagraph"/>
        <w:numPr>
          <w:ilvl w:val="0"/>
          <w:numId w:val="2"/>
        </w:numPr>
        <w:spacing w:before="40" w:after="40"/>
      </w:pPr>
      <w:r>
        <w:rPr>
          <w:rFonts w:ascii="Arial" w:cs="Arial" w:eastAsia="Arial" w:hAnsi="Arial"/>
          <w:color w:val="2E2E2E"/>
          <w:sz w:val="20"/>
          <w:szCs w:val="20"/>
        </w:rPr>
        <w:t xml:space="preserve">SBP AML/CFT Regulations 2020 — Regulation 16 (Transaction Monitoring) and Regulation 17 (Reporting Obligations)</w:t>
      </w:r>
    </w:p>
    <w:p>
      <w:pPr>
        <w:pStyle w:val="ListParagraph"/>
        <w:numPr>
          <w:ilvl w:val="0"/>
          <w:numId w:val="2"/>
        </w:numPr>
        <w:spacing w:before="40" w:after="40"/>
      </w:pPr>
      <w:r>
        <w:rPr>
          <w:rFonts w:ascii="Arial" w:cs="Arial" w:eastAsia="Arial" w:hAnsi="Arial"/>
          <w:color w:val="2E2E2E"/>
          <w:sz w:val="20"/>
          <w:szCs w:val="20"/>
        </w:rPr>
        <w:t xml:space="preserve">FMU Guidance on STR/CTR Filing, 2023</w:t>
      </w:r>
    </w:p>
    <w:p>
      <w:pPr>
        <w:pStyle w:val="ListParagraph"/>
        <w:numPr>
          <w:ilvl w:val="0"/>
          <w:numId w:val="2"/>
        </w:numPr>
        <w:spacing w:before="40" w:after="40"/>
      </w:pPr>
      <w:r>
        <w:rPr>
          <w:rFonts w:ascii="Arial" w:cs="Arial" w:eastAsia="Arial" w:hAnsi="Arial"/>
          <w:color w:val="2E2E2E"/>
          <w:sz w:val="20"/>
          <w:szCs w:val="20"/>
        </w:rPr>
        <w:t xml:space="preserve">FATF Recommendation 20 (Suspicious Transaction Reporting) and Recommendation 29 (FIU Functions)</w:t>
      </w:r>
    </w:p>
    <w:p>
      <w:pPr>
        <w:pStyle w:val="ListParagraph"/>
        <w:numPr>
          <w:ilvl w:val="0"/>
          <w:numId w:val="2"/>
        </w:numPr>
        <w:spacing w:before="40" w:after="40"/>
      </w:pPr>
      <w:r>
        <w:rPr>
          <w:rFonts w:ascii="Arial" w:cs="Arial" w:eastAsia="Arial" w:hAnsi="Arial"/>
          <w:color w:val="2E2E2E"/>
          <w:sz w:val="20"/>
          <w:szCs w:val="20"/>
        </w:rPr>
        <w:t xml:space="preserve">SBP BPRD Circular Letter No. 15 of 2023 — Updated CTR Filing Thresholds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1.3 Scope</w:t>
      </w:r>
    </w:p>
    <w:p>
      <w:pPr>
        <w:spacing w:before="60" w:after="80"/>
      </w:pPr>
      <w:r>
        <w:rPr>
          <w:rFonts w:ascii="Arial" w:cs="Arial" w:eastAsia="Arial" w:hAnsi="Arial"/>
          <w:color w:val="2E2E2E"/>
          <w:sz w:val="20"/>
          <w:szCs w:val="20"/>
        </w:rPr>
        <w:t xml:space="preserve">This SOP applies to all transaction monitoring activities across:</w:t>
      </w:r>
    </w:p>
    <w:p>
      <w:pPr>
        <w:pStyle w:val="ListParagraph"/>
        <w:numPr>
          <w:ilvl w:val="0"/>
          <w:numId w:val="2"/>
        </w:numPr>
        <w:spacing w:before="40" w:after="40"/>
      </w:pPr>
      <w:r>
        <w:rPr>
          <w:rFonts w:ascii="Arial" w:cs="Arial" w:eastAsia="Arial" w:hAnsi="Arial"/>
          <w:color w:val="2E2E2E"/>
          <w:sz w:val="20"/>
          <w:szCs w:val="20"/>
        </w:rPr>
        <w:t xml:space="preserve">All HBL branches and sub-branches (domestic)</w:t>
      </w:r>
    </w:p>
    <w:p>
      <w:pPr>
        <w:pStyle w:val="ListParagraph"/>
        <w:numPr>
          <w:ilvl w:val="0"/>
          <w:numId w:val="2"/>
        </w:numPr>
        <w:spacing w:before="40" w:after="40"/>
      </w:pPr>
      <w:r>
        <w:rPr>
          <w:rFonts w:ascii="Arial" w:cs="Arial" w:eastAsia="Arial" w:hAnsi="Arial"/>
          <w:color w:val="2E2E2E"/>
          <w:sz w:val="20"/>
          <w:szCs w:val="20"/>
        </w:rPr>
        <w:t xml:space="preserve">HBL Digital banking platform (HBL Mobile, HBL internet banking)</w:t>
      </w:r>
    </w:p>
    <w:p>
      <w:pPr>
        <w:pStyle w:val="ListParagraph"/>
        <w:numPr>
          <w:ilvl w:val="0"/>
          <w:numId w:val="2"/>
        </w:numPr>
        <w:spacing w:before="40" w:after="40"/>
      </w:pPr>
      <w:r>
        <w:rPr>
          <w:rFonts w:ascii="Arial" w:cs="Arial" w:eastAsia="Arial" w:hAnsi="Arial"/>
          <w:color w:val="2E2E2E"/>
          <w:sz w:val="20"/>
          <w:szCs w:val="20"/>
        </w:rPr>
        <w:t xml:space="preserve">HBL ATM network cash transactions</w:t>
      </w:r>
    </w:p>
    <w:p>
      <w:pPr>
        <w:pStyle w:val="ListParagraph"/>
        <w:numPr>
          <w:ilvl w:val="0"/>
          <w:numId w:val="2"/>
        </w:numPr>
        <w:spacing w:before="40" w:after="40"/>
      </w:pPr>
      <w:r>
        <w:rPr>
          <w:rFonts w:ascii="Arial" w:cs="Arial" w:eastAsia="Arial" w:hAnsi="Arial"/>
          <w:color w:val="2E2E2E"/>
          <w:sz w:val="20"/>
          <w:szCs w:val="20"/>
        </w:rPr>
        <w:t xml:space="preserve">Trade Finance operations (Letters of Credit, Guarantees, Documentary Collections)</w:t>
      </w:r>
    </w:p>
    <w:p>
      <w:pPr>
        <w:pStyle w:val="ListParagraph"/>
        <w:numPr>
          <w:ilvl w:val="0"/>
          <w:numId w:val="2"/>
        </w:numPr>
        <w:spacing w:before="40" w:after="40"/>
      </w:pPr>
      <w:r>
        <w:rPr>
          <w:rFonts w:ascii="Arial" w:cs="Arial" w:eastAsia="Arial" w:hAnsi="Arial"/>
          <w:color w:val="2E2E2E"/>
          <w:sz w:val="20"/>
          <w:szCs w:val="20"/>
        </w:rPr>
        <w:t xml:space="preserve">Treasury operations and correspondent banking transactions</w:t>
      </w:r>
    </w:p>
    <w:p>
      <w:pPr>
        <w:pStyle w:val="ListParagraph"/>
        <w:numPr>
          <w:ilvl w:val="0"/>
          <w:numId w:val="2"/>
        </w:numPr>
        <w:spacing w:before="40" w:after="40"/>
      </w:pPr>
      <w:r>
        <w:rPr>
          <w:rFonts w:ascii="Arial" w:cs="Arial" w:eastAsia="Arial" w:hAnsi="Arial"/>
          <w:color w:val="2E2E2E"/>
          <w:sz w:val="20"/>
          <w:szCs w:val="20"/>
        </w:rPr>
        <w:t xml:space="preserve">HBL Konnect (branchless banking) network</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2. TRANSACTION MONITORING SYSTEM (TMS)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2.1 System Overview</w:t>
      </w:r>
    </w:p>
    <w:p>
      <w:pPr>
        <w:spacing w:before="60" w:after="80"/>
      </w:pPr>
      <w:r>
        <w:rPr>
          <w:rFonts w:ascii="Arial" w:cs="Arial" w:eastAsia="Arial" w:hAnsi="Arial"/>
          <w:color w:val="2E2E2E"/>
          <w:sz w:val="20"/>
          <w:szCs w:val="20"/>
        </w:rPr>
        <w:t xml:space="preserve">HBL employs a centralized, automated Transaction Monitoring System (TMS) integrated with the Core Banking System (CBS). The TMS applies rule-based and behavioral analytics to identify transactions and patterns that deviate from established customer profiles and expected activity norms. The TMS currently deploys the following detection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Detection Method</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Use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Rule-Based Alerts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Threshold-triggered alerts based on predefined parameters (amounts, frequency, geography)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Large cash transactions, CTR threshold monitoring, high-risk country transfers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Behavioral Analytics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Machine learning models comparing current activity against customer's own historical baseline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Dormant account activation, sudden lifestyle changes, unusual counterparty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Network Analytics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Graph-based analysis of relationships and fund flows between accounts and counterparties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Layering detection, structuring rings, shell company networks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Peer Group Analysis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Comparison of a customer's transaction behavior against similar peer-group customers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Outlier detection for salary accounts, SME accounts, retail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Negative News Screening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 adverse media screening integrated with transaction monitoring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PEP screening, adverse media linkage to active accounts</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2.2 Alert Thresholds and Scenarios</w:t>
      </w:r>
    </w:p>
    <w:p>
      <w:pPr>
        <w:pStyle w:val="Heading3"/>
        <w:spacing w:before="200" w:after="80"/>
      </w:pPr>
      <w:r>
        <w:rPr>
          <w:rFonts w:ascii="Arial" w:cs="Arial" w:eastAsia="Arial" w:hAnsi="Arial"/>
          <w:b/>
          <w:bCs/>
          <w:color w:val="2E2E2E"/>
          <w:sz w:val="22"/>
          <w:szCs w:val="22"/>
        </w:rPr>
        <w:t xml:space="preserve">2.2.1 Cash Transaction Alerts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1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Name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Alert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Single Large Cash Deposit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deposit &gt;= PKR 500,000 in a single transaction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Single Large Cash Withdrawal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withdrawal &gt;= PKR 500,000 in a single transaction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CTR Threshold Breach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transaction(s) &gt;= PKR 2,500,000 in aggregate within 7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CRITICAL – CTR mandatory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Structuring Detection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3 or more cash transactions below PKR 500,000 on same day or across 3 consecutive days by same customer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Round Amount Cash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or more cash transactions in exact round amounts (multiples of PKR 100,000) within 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Followed by Immediate Transfer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 deposit immediately followed by outward transfer &gt;80% of deposited amount within 24 hours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CASH-007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Branch Cash Deposits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Same customer deposits cash at 3 or more branches within 5 business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bl>
    <w:p>
      <w:pPr>
        <w:spacing w:before="60" w:after="60"/>
      </w:pPr>
      <w:r>
        <w:t xml:space="preserve"/>
      </w:r>
    </w:p>
    <w:p>
      <w:pPr>
        <w:pStyle w:val="Heading3"/>
        <w:spacing w:before="200" w:after="80"/>
      </w:pPr>
      <w:r>
        <w:rPr>
          <w:rFonts w:ascii="Arial" w:cs="Arial" w:eastAsia="Arial" w:hAnsi="Arial"/>
          <w:b/>
          <w:bCs/>
          <w:color w:val="2E2E2E"/>
          <w:sz w:val="22"/>
          <w:szCs w:val="22"/>
        </w:rPr>
        <w:t xml:space="preserve">2.2.2 Funds Transfer Alerts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1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Name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Alert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High-Value International Transfer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Outward SWIFT transfer &gt;= USD 50,000 or equivalent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Transfer to FATF High-Risk Jurisdiction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transfer to countries on FATF blacklist/greylist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Rapid Fund Movement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Funds received and &gt;= 80% withdrawn/transferred within 24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Back-to-Back Transfers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Funds received from Party A immediately transferred to Party B with no apparent business purpose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Third-Party Payments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Payments received from parties not identified in KYC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Small Outward Remittances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5 or more international transfers in 30 days totaling &gt;= PKR 1,000,000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TRF-007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Unusual FX Activity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foreign currency purchases/sales inconsistent with customer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bl>
    <w:p>
      <w:pPr>
        <w:spacing w:before="60" w:after="60"/>
      </w:pPr>
      <w:r>
        <w:t xml:space="preserve"/>
      </w:r>
    </w:p>
    <w:p>
      <w:pPr>
        <w:pStyle w:val="Heading3"/>
        <w:spacing w:before="200" w:after="80"/>
      </w:pPr>
      <w:r>
        <w:rPr>
          <w:rFonts w:ascii="Arial" w:cs="Arial" w:eastAsia="Arial" w:hAnsi="Arial"/>
          <w:b/>
          <w:bCs/>
          <w:color w:val="2E2E2E"/>
          <w:sz w:val="22"/>
          <w:szCs w:val="22"/>
        </w:rPr>
        <w:t xml:space="preserve">2.2.3 Account Behavior Alerts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120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ID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Scenario Name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Alert 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Dormant Account Activation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transaction on account dormant for &gt;= 12 months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Sudden Account Activity Surge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volume in a month exceeds 300% of 6-month average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PEP Transaction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debit or credit transaction on a PEP-tagged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 – all require review</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Negative Balance Prevention Attempt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Multiple transactions apparently designed to overdraw account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High-Risk Industry Activity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Transactions inconsistent with declared business for cash-intensive business 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ACC-006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Cryptocurrency-Related Activity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Transactions to/from identified virtual asset service providers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HIGH</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3. ALERT MANAGEMENT PROCESS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3.1 Alert Workflow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360"/>
        <w:gridCol w:w="22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Alert Generation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generates alert and assigns unique case ID; alert enters queue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Automated TMS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Real-time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1 – Initial Review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Analyst reviews alert: checks customer profile, account history, verifies transaction documentation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Analyst (L1)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4 business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L1 Disposition – False Positive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Analyst documents clear rationale (e.g., payroll deposit, approved large transaction) and closes case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Analyst (L1)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Same business day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L1 Escalation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If not explainable at L1, escalated to Senior Analyst with full case notes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Analyst (L1)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Same business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Level 2 – Senior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Analyst conducts full investigation: RM consultation (no tipping off), external database check, account history analysis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TMS Analyst (L2)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2 business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L2 Disposition – No Suspicious Activity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Analyst documents findings; case closed with rationale; subject to QA review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TMS Analyst (L2)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2 business days of L2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Preparation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If suspicious activity confirmed, STR draft prepared with full narrative and evidence package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Senior TMS Analyst (L2)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5 working days of transaction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Review &amp; Approval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reviews STR draft; approves or returns for revision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Chief Compliance Officer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Within 7 working days of transaction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Filing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Approved STR filed electronically on FMU GoAML portal; confirmation receipt retained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CCO / Compliance Officer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Per FMU deadline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Post-STR Monitoring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Account placed on enhanced monitoring; relationship manager notified (without reason)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Team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Ongoing</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3.2 Investigation Guidelines for Senior Analysts</w:t>
      </w:r>
    </w:p>
    <w:p>
      <w:pPr>
        <w:spacing w:before="60" w:after="80"/>
      </w:pPr>
      <w:r>
        <w:rPr>
          <w:rFonts w:ascii="Arial" w:cs="Arial" w:eastAsia="Arial" w:hAnsi="Arial"/>
          <w:color w:val="2E2E2E"/>
          <w:sz w:val="20"/>
          <w:szCs w:val="20"/>
        </w:rPr>
        <w:t xml:space="preserve">During Level 2 investigation, the Senior Analyst must:</w:t>
      </w:r>
    </w:p>
    <w:p>
      <w:pPr>
        <w:pStyle w:val="ListParagraph"/>
        <w:numPr>
          <w:ilvl w:val="0"/>
          <w:numId w:val="3"/>
        </w:numPr>
        <w:spacing w:before="40" w:after="40"/>
      </w:pPr>
      <w:r>
        <w:rPr>
          <w:rFonts w:ascii="Arial" w:cs="Arial" w:eastAsia="Arial" w:hAnsi="Arial"/>
          <w:color w:val="2E2E2E"/>
          <w:sz w:val="20"/>
          <w:szCs w:val="20"/>
        </w:rPr>
        <w:t xml:space="preserve">Pull and review complete account transaction history for at least 12 months</w:t>
      </w:r>
    </w:p>
    <w:p>
      <w:pPr>
        <w:pStyle w:val="ListParagraph"/>
        <w:numPr>
          <w:ilvl w:val="0"/>
          <w:numId w:val="3"/>
        </w:numPr>
        <w:spacing w:before="40" w:after="40"/>
      </w:pPr>
      <w:r>
        <w:rPr>
          <w:rFonts w:ascii="Arial" w:cs="Arial" w:eastAsia="Arial" w:hAnsi="Arial"/>
          <w:color w:val="2E2E2E"/>
          <w:sz w:val="20"/>
          <w:szCs w:val="20"/>
        </w:rPr>
        <w:t xml:space="preserve">Cross-reference customer profile, KYC documents, and declared source of funds/wealth</w:t>
      </w:r>
    </w:p>
    <w:p>
      <w:pPr>
        <w:pStyle w:val="ListParagraph"/>
        <w:numPr>
          <w:ilvl w:val="0"/>
          <w:numId w:val="3"/>
        </w:numPr>
        <w:spacing w:before="40" w:after="40"/>
      </w:pPr>
      <w:r>
        <w:rPr>
          <w:rFonts w:ascii="Arial" w:cs="Arial" w:eastAsia="Arial" w:hAnsi="Arial"/>
          <w:color w:val="2E2E2E"/>
          <w:sz w:val="20"/>
          <w:szCs w:val="20"/>
        </w:rPr>
        <w:t xml:space="preserve">Review any prior alerts on the account — check for patterns over time</w:t>
      </w:r>
    </w:p>
    <w:p>
      <w:pPr>
        <w:pStyle w:val="ListParagraph"/>
        <w:numPr>
          <w:ilvl w:val="0"/>
          <w:numId w:val="3"/>
        </w:numPr>
        <w:spacing w:before="40" w:after="40"/>
      </w:pPr>
      <w:r>
        <w:rPr>
          <w:rFonts w:ascii="Arial" w:cs="Arial" w:eastAsia="Arial" w:hAnsi="Arial"/>
          <w:color w:val="2E2E2E"/>
          <w:sz w:val="20"/>
          <w:szCs w:val="20"/>
        </w:rPr>
        <w:t xml:space="preserve">Consult the Relationship Manager for explanation of the specific transaction(s) without revealing the nature of the investigation or that an STR is under consideration (tipping-off prohibition)</w:t>
      </w:r>
    </w:p>
    <w:p>
      <w:pPr>
        <w:pStyle w:val="ListParagraph"/>
        <w:numPr>
          <w:ilvl w:val="0"/>
          <w:numId w:val="3"/>
        </w:numPr>
        <w:spacing w:before="40" w:after="40"/>
      </w:pPr>
      <w:r>
        <w:rPr>
          <w:rFonts w:ascii="Arial" w:cs="Arial" w:eastAsia="Arial" w:hAnsi="Arial"/>
          <w:color w:val="2E2E2E"/>
          <w:sz w:val="20"/>
          <w:szCs w:val="20"/>
        </w:rPr>
        <w:t xml:space="preserve">Check customer against HBL internal watchlists, adverse media databases, and NACTA/FMU lists</w:t>
      </w:r>
    </w:p>
    <w:p>
      <w:pPr>
        <w:pStyle w:val="ListParagraph"/>
        <w:numPr>
          <w:ilvl w:val="0"/>
          <w:numId w:val="3"/>
        </w:numPr>
        <w:spacing w:before="40" w:after="40"/>
      </w:pPr>
      <w:r>
        <w:rPr>
          <w:rFonts w:ascii="Arial" w:cs="Arial" w:eastAsia="Arial" w:hAnsi="Arial"/>
          <w:color w:val="2E2E2E"/>
          <w:sz w:val="20"/>
          <w:szCs w:val="20"/>
        </w:rPr>
        <w:t xml:space="preserve">Review counterparty information for any connected alerts or adverse information</w:t>
      </w:r>
    </w:p>
    <w:p>
      <w:pPr>
        <w:pStyle w:val="ListParagraph"/>
        <w:numPr>
          <w:ilvl w:val="0"/>
          <w:numId w:val="3"/>
        </w:numPr>
        <w:spacing w:before="40" w:after="40"/>
      </w:pPr>
      <w:r>
        <w:rPr>
          <w:rFonts w:ascii="Arial" w:cs="Arial" w:eastAsia="Arial" w:hAnsi="Arial"/>
          <w:color w:val="2E2E2E"/>
          <w:sz w:val="20"/>
          <w:szCs w:val="20"/>
        </w:rPr>
        <w:t xml:space="preserve">Document all steps, findings, and the rationale for final disposition in the case management system</w:t>
      </w:r>
    </w:p>
    <w:p>
      <w:pPr>
        <w:pStyle w:val="ListParagraph"/>
        <w:numPr>
          <w:ilvl w:val="0"/>
          <w:numId w:val="3"/>
        </w:numPr>
        <w:spacing w:before="40" w:after="40"/>
      </w:pPr>
      <w:r>
        <w:rPr>
          <w:rFonts w:ascii="Arial" w:cs="Arial" w:eastAsia="Arial" w:hAnsi="Arial"/>
          <w:color w:val="2E2E2E"/>
          <w:sz w:val="20"/>
          <w:szCs w:val="20"/>
        </w:rPr>
        <w:t xml:space="preserve">Where activity is suspicious but insufficient for STR, document and place account on enhanced monitoring with 30-day reassessment</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3.3 Quality Assurance</w:t>
      </w:r>
    </w:p>
    <w:p>
      <w:pPr>
        <w:spacing w:before="60" w:after="80"/>
      </w:pPr>
      <w:r>
        <w:rPr>
          <w:rFonts w:ascii="Arial" w:cs="Arial" w:eastAsia="Arial" w:hAnsi="Arial"/>
          <w:color w:val="2E2E2E"/>
          <w:sz w:val="20"/>
          <w:szCs w:val="20"/>
        </w:rPr>
        <w:t xml:space="preserve">The Compliance Quality Assurance (QA) team conducts monthly reviews of alert dispositions:</w:t>
      </w:r>
    </w:p>
    <w:p>
      <w:pPr>
        <w:pStyle w:val="ListParagraph"/>
        <w:numPr>
          <w:ilvl w:val="0"/>
          <w:numId w:val="2"/>
        </w:numPr>
        <w:spacing w:before="40" w:after="40"/>
      </w:pPr>
      <w:r>
        <w:rPr>
          <w:rFonts w:ascii="Arial" w:cs="Arial" w:eastAsia="Arial" w:hAnsi="Arial"/>
          <w:color w:val="2E2E2E"/>
          <w:sz w:val="20"/>
          <w:szCs w:val="20"/>
        </w:rPr>
        <w:t xml:space="preserve">Random sample of 10% of closed false-positive alerts reviewed monthly</w:t>
      </w:r>
    </w:p>
    <w:p>
      <w:pPr>
        <w:pStyle w:val="ListParagraph"/>
        <w:numPr>
          <w:ilvl w:val="0"/>
          <w:numId w:val="2"/>
        </w:numPr>
        <w:spacing w:before="40" w:after="40"/>
      </w:pPr>
      <w:r>
        <w:rPr>
          <w:rFonts w:ascii="Arial" w:cs="Arial" w:eastAsia="Arial" w:hAnsi="Arial"/>
          <w:color w:val="2E2E2E"/>
          <w:sz w:val="20"/>
          <w:szCs w:val="20"/>
        </w:rPr>
        <w:t xml:space="preserve">100% review of all alerts on PEP accounts and high-risk rated customers</w:t>
      </w:r>
    </w:p>
    <w:p>
      <w:pPr>
        <w:pStyle w:val="ListParagraph"/>
        <w:numPr>
          <w:ilvl w:val="0"/>
          <w:numId w:val="2"/>
        </w:numPr>
        <w:spacing w:before="40" w:after="40"/>
      </w:pPr>
      <w:r>
        <w:rPr>
          <w:rFonts w:ascii="Arial" w:cs="Arial" w:eastAsia="Arial" w:hAnsi="Arial"/>
          <w:color w:val="2E2E2E"/>
          <w:sz w:val="20"/>
          <w:szCs w:val="20"/>
        </w:rPr>
        <w:t xml:space="preserve">QA findings reported to CCO monthly; systemic issues escalated to BRCC quarterly</w:t>
      </w:r>
    </w:p>
    <w:p>
      <w:pPr>
        <w:pStyle w:val="ListParagraph"/>
        <w:numPr>
          <w:ilvl w:val="0"/>
          <w:numId w:val="2"/>
        </w:numPr>
        <w:spacing w:before="40" w:after="40"/>
      </w:pPr>
      <w:r>
        <w:rPr>
          <w:rFonts w:ascii="Arial" w:cs="Arial" w:eastAsia="Arial" w:hAnsi="Arial"/>
          <w:color w:val="2E2E2E"/>
          <w:sz w:val="20"/>
          <w:szCs w:val="20"/>
        </w:rPr>
        <w:t xml:space="preserve">TMS rule tuning recommendations submitted to IT by CCO based on QA findings quarterly</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4. CURRENCY TRANSACTION REPORT (CTR) PROCEDURES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4.1 CTR Filing Obligations</w:t>
      </w:r>
    </w:p>
    <w:p>
      <w:pPr>
        <w:spacing w:before="60" w:after="80"/>
      </w:pPr>
      <w:r>
        <w:rPr>
          <w:rFonts w:ascii="Arial" w:cs="Arial" w:eastAsia="Arial" w:hAnsi="Arial"/>
          <w:color w:val="2E2E2E"/>
          <w:sz w:val="20"/>
          <w:szCs w:val="20"/>
        </w:rPr>
        <w:t xml:space="preserve">HBL is legally obligated under Section 7 of the AML Act, 2010 and SBP AML/CFT Regulations 2020 to file CTRs with the FMU for all cash transactions meeting the prescribed threshold, regardless of whether the transaction appears suspicious.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200"/>
              <w:bottom w:type="dxa" w:w="100"/>
              <w:right w:type="dxa" w:w="200"/>
            </w:tcMar>
          </w:tcPr>
          <w:p>
            <w:r>
              <w:rPr>
                <w:rFonts w:ascii="Arial" w:cs="Arial" w:eastAsia="Arial" w:hAnsi="Arial"/>
                <w:b/>
                <w:bCs/>
                <w:color w:val="7F4F00"/>
                <w:sz w:val="18"/>
                <w:szCs w:val="18"/>
              </w:rPr>
              <w:t xml:space="preserve">CTR MANDATORY THRESHOLD</w:t>
            </w:r>
          </w:p>
          <w:p>
            <w:pPr>
              <w:spacing w:before="40"/>
            </w:pPr>
            <w:r>
              <w:rPr>
                <w:rFonts w:ascii="Arial" w:cs="Arial" w:eastAsia="Arial" w:hAnsi="Arial"/>
                <w:color w:val="2E2E2E"/>
                <w:sz w:val="18"/>
                <w:szCs w:val="18"/>
              </w:rPr>
              <w:t xml:space="preserve">CTR THRESHOLD: PKR 2,500,000 (Two Million Five Hundred Thousand Rupees) or equivalent in foreign currency for a single transaction or aggregate of transactions by the same customer on the same day. Filing deadline: within 7 working days of the transaction date. Failure to file a CTR is a regulatory violation subject to SBP penalty and personal liability of the responsible officer.</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4.2 CTR Generation and Filing Process</w:t>
      </w:r>
    </w:p>
    <w:p>
      <w:pPr>
        <w:pStyle w:val="ListParagraph"/>
        <w:numPr>
          <w:ilvl w:val="0"/>
          <w:numId w:val="3"/>
        </w:numPr>
        <w:spacing w:before="40" w:after="40"/>
      </w:pPr>
      <w:r>
        <w:rPr>
          <w:rFonts w:ascii="Arial" w:cs="Arial" w:eastAsia="Arial" w:hAnsi="Arial"/>
          <w:color w:val="2E2E2E"/>
          <w:sz w:val="20"/>
          <w:szCs w:val="20"/>
        </w:rPr>
        <w:t xml:space="preserve">Branch teller enters all cash transactions in CBS at the time of execution with accurate customer CNIC, account number, and transaction amount</w:t>
      </w:r>
    </w:p>
    <w:p>
      <w:pPr>
        <w:pStyle w:val="ListParagraph"/>
        <w:numPr>
          <w:ilvl w:val="0"/>
          <w:numId w:val="3"/>
        </w:numPr>
        <w:spacing w:before="40" w:after="40"/>
      </w:pPr>
      <w:r>
        <w:rPr>
          <w:rFonts w:ascii="Arial" w:cs="Arial" w:eastAsia="Arial" w:hAnsi="Arial"/>
          <w:color w:val="2E2E2E"/>
          <w:sz w:val="20"/>
          <w:szCs w:val="20"/>
        </w:rPr>
        <w:t xml:space="preserve">CBS system automatically aggregates same-day cash transactions per customer and generates a CTR requisition when the PKR 2,500,000 threshold is met or exceeded</w:t>
      </w:r>
    </w:p>
    <w:p>
      <w:pPr>
        <w:pStyle w:val="ListParagraph"/>
        <w:numPr>
          <w:ilvl w:val="0"/>
          <w:numId w:val="3"/>
        </w:numPr>
        <w:spacing w:before="40" w:after="40"/>
      </w:pPr>
      <w:r>
        <w:rPr>
          <w:rFonts w:ascii="Arial" w:cs="Arial" w:eastAsia="Arial" w:hAnsi="Arial"/>
          <w:color w:val="2E2E2E"/>
          <w:sz w:val="20"/>
          <w:szCs w:val="20"/>
        </w:rPr>
        <w:t xml:space="preserve">Branch Manager reviews and approves CTR requisition in CBS within same business day</w:t>
      </w:r>
    </w:p>
    <w:p>
      <w:pPr>
        <w:pStyle w:val="ListParagraph"/>
        <w:numPr>
          <w:ilvl w:val="0"/>
          <w:numId w:val="3"/>
        </w:numPr>
        <w:spacing w:before="40" w:after="40"/>
      </w:pPr>
      <w:r>
        <w:rPr>
          <w:rFonts w:ascii="Arial" w:cs="Arial" w:eastAsia="Arial" w:hAnsi="Arial"/>
          <w:color w:val="2E2E2E"/>
          <w:sz w:val="20"/>
          <w:szCs w:val="20"/>
        </w:rPr>
        <w:t xml:space="preserve">Compliance Operations team retrieves all approved CTR requisitions daily from CBS</w:t>
      </w:r>
    </w:p>
    <w:p>
      <w:pPr>
        <w:pStyle w:val="ListParagraph"/>
        <w:numPr>
          <w:ilvl w:val="0"/>
          <w:numId w:val="3"/>
        </w:numPr>
        <w:spacing w:before="40" w:after="40"/>
      </w:pPr>
      <w:r>
        <w:rPr>
          <w:rFonts w:ascii="Arial" w:cs="Arial" w:eastAsia="Arial" w:hAnsi="Arial"/>
          <w:color w:val="2E2E2E"/>
          <w:sz w:val="20"/>
          <w:szCs w:val="20"/>
        </w:rPr>
        <w:t xml:space="preserve">Compliance Operations staff populate CTR forms on FMU GoAML portal using CBS-generated data; verify all fields including customer CNIC, address, occupation, and transaction purpose</w:t>
      </w:r>
    </w:p>
    <w:p>
      <w:pPr>
        <w:pStyle w:val="ListParagraph"/>
        <w:numPr>
          <w:ilvl w:val="0"/>
          <w:numId w:val="3"/>
        </w:numPr>
        <w:spacing w:before="40" w:after="40"/>
      </w:pPr>
      <w:r>
        <w:rPr>
          <w:rFonts w:ascii="Arial" w:cs="Arial" w:eastAsia="Arial" w:hAnsi="Arial"/>
          <w:color w:val="2E2E2E"/>
          <w:sz w:val="20"/>
          <w:szCs w:val="20"/>
        </w:rPr>
        <w:t xml:space="preserve">CTRs are filed on GoAML portal by close of business on the 7th working day following transaction date</w:t>
      </w:r>
    </w:p>
    <w:p>
      <w:pPr>
        <w:pStyle w:val="ListParagraph"/>
        <w:numPr>
          <w:ilvl w:val="0"/>
          <w:numId w:val="3"/>
        </w:numPr>
        <w:spacing w:before="40" w:after="40"/>
      </w:pPr>
      <w:r>
        <w:rPr>
          <w:rFonts w:ascii="Arial" w:cs="Arial" w:eastAsia="Arial" w:hAnsi="Arial"/>
          <w:color w:val="2E2E2E"/>
          <w:sz w:val="20"/>
          <w:szCs w:val="20"/>
        </w:rPr>
        <w:t xml:space="preserve">CTR filing confirmation number is recorded in CBS against the originating transaction(s)</w:t>
      </w:r>
    </w:p>
    <w:p>
      <w:pPr>
        <w:pStyle w:val="ListParagraph"/>
        <w:numPr>
          <w:ilvl w:val="0"/>
          <w:numId w:val="3"/>
        </w:numPr>
        <w:spacing w:before="40" w:after="40"/>
      </w:pPr>
      <w:r>
        <w:rPr>
          <w:rFonts w:ascii="Arial" w:cs="Arial" w:eastAsia="Arial" w:hAnsi="Arial"/>
          <w:color w:val="2E2E2E"/>
          <w:sz w:val="20"/>
          <w:szCs w:val="20"/>
        </w:rPr>
        <w:t xml:space="preserve">Monthly CTR register is maintained by Compliance; reported to CCO and BRCC quarterly</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4.3 CTR Data Quality Requirements</w:t>
      </w:r>
    </w:p>
    <w:p>
      <w:pPr>
        <w:spacing w:before="60" w:after="80"/>
      </w:pPr>
      <w:r>
        <w:rPr>
          <w:rFonts w:ascii="Arial" w:cs="Arial" w:eastAsia="Arial" w:hAnsi="Arial"/>
          <w:color w:val="2E2E2E"/>
          <w:sz w:val="20"/>
          <w:szCs w:val="20"/>
        </w:rPr>
        <w:t xml:space="preserve">All CTR submissions must meet the following quality standards:</w:t>
      </w:r>
    </w:p>
    <w:p>
      <w:pPr>
        <w:pStyle w:val="ListParagraph"/>
        <w:numPr>
          <w:ilvl w:val="0"/>
          <w:numId w:val="2"/>
        </w:numPr>
        <w:spacing w:before="40" w:after="40"/>
      </w:pPr>
      <w:r>
        <w:rPr>
          <w:rFonts w:ascii="Arial" w:cs="Arial" w:eastAsia="Arial" w:hAnsi="Arial"/>
          <w:color w:val="2E2E2E"/>
          <w:sz w:val="20"/>
          <w:szCs w:val="20"/>
        </w:rPr>
        <w:t xml:space="preserve">Customer full name exactly as per CNIC — no abbreviations or nicknames</w:t>
      </w:r>
    </w:p>
    <w:p>
      <w:pPr>
        <w:pStyle w:val="ListParagraph"/>
        <w:numPr>
          <w:ilvl w:val="0"/>
          <w:numId w:val="2"/>
        </w:numPr>
        <w:spacing w:before="40" w:after="40"/>
      </w:pPr>
      <w:r>
        <w:rPr>
          <w:rFonts w:ascii="Arial" w:cs="Arial" w:eastAsia="Arial" w:hAnsi="Arial"/>
          <w:color w:val="2E2E2E"/>
          <w:sz w:val="20"/>
          <w:szCs w:val="20"/>
        </w:rPr>
        <w:t xml:space="preserve">CNIC number — 13-digit format without hyphens</w:t>
      </w:r>
    </w:p>
    <w:p>
      <w:pPr>
        <w:pStyle w:val="ListParagraph"/>
        <w:numPr>
          <w:ilvl w:val="0"/>
          <w:numId w:val="2"/>
        </w:numPr>
        <w:spacing w:before="40" w:after="40"/>
      </w:pPr>
      <w:r>
        <w:rPr>
          <w:rFonts w:ascii="Arial" w:cs="Arial" w:eastAsia="Arial" w:hAnsi="Arial"/>
          <w:color w:val="2E2E2E"/>
          <w:sz w:val="20"/>
          <w:szCs w:val="20"/>
        </w:rPr>
        <w:t xml:space="preserve">Complete residential address — street, city, province</w:t>
      </w:r>
    </w:p>
    <w:p>
      <w:pPr>
        <w:pStyle w:val="ListParagraph"/>
        <w:numPr>
          <w:ilvl w:val="0"/>
          <w:numId w:val="2"/>
        </w:numPr>
        <w:spacing w:before="40" w:after="40"/>
      </w:pPr>
      <w:r>
        <w:rPr>
          <w:rFonts w:ascii="Arial" w:cs="Arial" w:eastAsia="Arial" w:hAnsi="Arial"/>
          <w:color w:val="2E2E2E"/>
          <w:sz w:val="20"/>
          <w:szCs w:val="20"/>
        </w:rPr>
        <w:t xml:space="preserve">Occupation and employer name — as declared in KYC</w:t>
      </w:r>
    </w:p>
    <w:p>
      <w:pPr>
        <w:pStyle w:val="ListParagraph"/>
        <w:numPr>
          <w:ilvl w:val="0"/>
          <w:numId w:val="2"/>
        </w:numPr>
        <w:spacing w:before="40" w:after="40"/>
      </w:pPr>
      <w:r>
        <w:rPr>
          <w:rFonts w:ascii="Arial" w:cs="Arial" w:eastAsia="Arial" w:hAnsi="Arial"/>
          <w:color w:val="2E2E2E"/>
          <w:sz w:val="20"/>
          <w:szCs w:val="20"/>
        </w:rPr>
        <w:t xml:space="preserve">Transaction purpose — specific description (e.g., business proceeds, agricultural sale, property proceeds) — not generic entries like 'personal' or 'business'</w:t>
      </w:r>
    </w:p>
    <w:p>
      <w:pPr>
        <w:pStyle w:val="ListParagraph"/>
        <w:numPr>
          <w:ilvl w:val="0"/>
          <w:numId w:val="2"/>
        </w:numPr>
        <w:spacing w:before="40" w:after="40"/>
      </w:pPr>
      <w:r>
        <w:rPr>
          <w:rFonts w:ascii="Arial" w:cs="Arial" w:eastAsia="Arial" w:hAnsi="Arial"/>
          <w:color w:val="2E2E2E"/>
          <w:sz w:val="20"/>
          <w:szCs w:val="20"/>
        </w:rPr>
        <w:t xml:space="preserve">Mode of transaction — cash deposit, cash withdrawal, currency exchange</w:t>
      </w:r>
    </w:p>
    <w:p>
      <w:pPr>
        <w:pStyle w:val="ListParagraph"/>
        <w:numPr>
          <w:ilvl w:val="0"/>
          <w:numId w:val="2"/>
        </w:numPr>
        <w:spacing w:before="40" w:after="40"/>
      </w:pPr>
      <w:r>
        <w:rPr>
          <w:rFonts w:ascii="Arial" w:cs="Arial" w:eastAsia="Arial" w:hAnsi="Arial"/>
          <w:color w:val="2E2E2E"/>
          <w:sz w:val="20"/>
          <w:szCs w:val="20"/>
        </w:rPr>
        <w:t xml:space="preserve">Relationship Manager must contact customer to obtain transaction purpose if not already captured — document in account notes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4.4 Structuring — Prohibited Activity</w:t>
      </w:r>
    </w:p>
    <w:p>
      <w:pPr>
        <w:spacing w:before="60" w:after="80"/>
      </w:pPr>
      <w:r>
        <w:rPr>
          <w:rFonts w:ascii="Arial" w:cs="Arial" w:eastAsia="Arial" w:hAnsi="Arial"/>
          <w:color w:val="2E2E2E"/>
          <w:sz w:val="20"/>
          <w:szCs w:val="20"/>
        </w:rPr>
        <w:t xml:space="preserve">Structuring — the deliberate splitting of transactions into amounts below the CTR reporting threshold — is explicitly prohibited and constitutes a money laundering offence under Section 3 of the AML Act, 2010. All HBL staff must:</w:t>
      </w:r>
    </w:p>
    <w:p>
      <w:pPr>
        <w:pStyle w:val="ListParagraph"/>
        <w:numPr>
          <w:ilvl w:val="0"/>
          <w:numId w:val="2"/>
        </w:numPr>
        <w:spacing w:before="40" w:after="40"/>
      </w:pPr>
      <w:r>
        <w:rPr>
          <w:rFonts w:ascii="Arial" w:cs="Arial" w:eastAsia="Arial" w:hAnsi="Arial"/>
          <w:color w:val="2E2E2E"/>
          <w:sz w:val="20"/>
          <w:szCs w:val="20"/>
        </w:rPr>
        <w:t xml:space="preserve">Refuse to assist any customer in structuring transactions</w:t>
      </w:r>
    </w:p>
    <w:p>
      <w:pPr>
        <w:pStyle w:val="ListParagraph"/>
        <w:numPr>
          <w:ilvl w:val="0"/>
          <w:numId w:val="2"/>
        </w:numPr>
        <w:spacing w:before="40" w:after="40"/>
      </w:pPr>
      <w:r>
        <w:rPr>
          <w:rFonts w:ascii="Arial" w:cs="Arial" w:eastAsia="Arial" w:hAnsi="Arial"/>
          <w:color w:val="2E2E2E"/>
          <w:sz w:val="20"/>
          <w:szCs w:val="20"/>
        </w:rPr>
        <w:t xml:space="preserve">Report immediately to the Branch Manager and Compliance if a customer requests to split a transaction or asks about reporting thresholds</w:t>
      </w:r>
    </w:p>
    <w:p>
      <w:pPr>
        <w:pStyle w:val="ListParagraph"/>
        <w:numPr>
          <w:ilvl w:val="0"/>
          <w:numId w:val="2"/>
        </w:numPr>
        <w:spacing w:before="40" w:after="40"/>
      </w:pPr>
      <w:r>
        <w:rPr>
          <w:rFonts w:ascii="Arial" w:cs="Arial" w:eastAsia="Arial" w:hAnsi="Arial"/>
          <w:color w:val="2E2E2E"/>
          <w:sz w:val="20"/>
          <w:szCs w:val="20"/>
        </w:rPr>
        <w:t xml:space="preserve">File an STR in all cases where structuring is suspected</w:t>
      </w:r>
    </w:p>
    <w:p>
      <w:pPr>
        <w:pStyle w:val="ListParagraph"/>
        <w:numPr>
          <w:ilvl w:val="0"/>
          <w:numId w:val="2"/>
        </w:numPr>
        <w:spacing w:before="40" w:after="40"/>
      </w:pPr>
      <w:r>
        <w:rPr>
          <w:rFonts w:ascii="Arial" w:cs="Arial" w:eastAsia="Arial" w:hAnsi="Arial"/>
          <w:color w:val="2E2E2E"/>
          <w:sz w:val="20"/>
          <w:szCs w:val="20"/>
        </w:rPr>
        <w:t xml:space="preserve">Document any such request in the customer interaction log in CBS</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5. SUSPICIOUS TRANSACTION REPORT (STR) PROCEDURES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5.1 STR Filing Obligations</w:t>
      </w:r>
    </w:p>
    <w:p>
      <w:pPr>
        <w:spacing w:before="60" w:after="80"/>
      </w:pPr>
      <w:r>
        <w:rPr>
          <w:rFonts w:ascii="Arial" w:cs="Arial" w:eastAsia="Arial" w:hAnsi="Arial"/>
          <w:color w:val="2E2E2E"/>
          <w:sz w:val="20"/>
          <w:szCs w:val="20"/>
        </w:rPr>
        <w:t xml:space="preserve">STRs must be filed whenever there are reasonable grounds to suspect that a transaction or attempted transaction involves proceeds of crime, is intended to finance terrorism, or is otherwise connected to money laundering — regardless of transaction amount or whether the transaction was completed.</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5.2 Indicators of Suspicious Activity</w:t>
      </w:r>
    </w:p>
    <w:p>
      <w:pPr>
        <w:pStyle w:val="Heading3"/>
        <w:spacing w:before="200" w:after="80"/>
      </w:pPr>
      <w:r>
        <w:rPr>
          <w:rFonts w:ascii="Arial" w:cs="Arial" w:eastAsia="Arial" w:hAnsi="Arial"/>
          <w:b/>
          <w:bCs/>
          <w:color w:val="2E2E2E"/>
          <w:sz w:val="22"/>
          <w:szCs w:val="22"/>
        </w:rPr>
        <w:t xml:space="preserve">5.2.1 Customer Behavior Indicators</w:t>
      </w:r>
    </w:p>
    <w:p>
      <w:pPr>
        <w:pStyle w:val="ListParagraph"/>
        <w:numPr>
          <w:ilvl w:val="0"/>
          <w:numId w:val="2"/>
        </w:numPr>
        <w:spacing w:before="40" w:after="40"/>
      </w:pPr>
      <w:r>
        <w:rPr>
          <w:rFonts w:ascii="Arial" w:cs="Arial" w:eastAsia="Arial" w:hAnsi="Arial"/>
          <w:color w:val="2E2E2E"/>
          <w:sz w:val="20"/>
          <w:szCs w:val="20"/>
        </w:rPr>
        <w:t xml:space="preserve">Customer is unusually nervous, evasive, or reluctant to provide required identification or documentation</w:t>
      </w:r>
    </w:p>
    <w:p>
      <w:pPr>
        <w:pStyle w:val="ListParagraph"/>
        <w:numPr>
          <w:ilvl w:val="0"/>
          <w:numId w:val="2"/>
        </w:numPr>
        <w:spacing w:before="40" w:after="40"/>
      </w:pPr>
      <w:r>
        <w:rPr>
          <w:rFonts w:ascii="Arial" w:cs="Arial" w:eastAsia="Arial" w:hAnsi="Arial"/>
          <w:color w:val="2E2E2E"/>
          <w:sz w:val="20"/>
          <w:szCs w:val="20"/>
        </w:rPr>
        <w:t xml:space="preserve">Customer attempts to complete a transaction without providing required information</w:t>
      </w:r>
    </w:p>
    <w:p>
      <w:pPr>
        <w:pStyle w:val="ListParagraph"/>
        <w:numPr>
          <w:ilvl w:val="0"/>
          <w:numId w:val="2"/>
        </w:numPr>
        <w:spacing w:before="40" w:after="40"/>
      </w:pPr>
      <w:r>
        <w:rPr>
          <w:rFonts w:ascii="Arial" w:cs="Arial" w:eastAsia="Arial" w:hAnsi="Arial"/>
          <w:color w:val="2E2E2E"/>
          <w:sz w:val="20"/>
          <w:szCs w:val="20"/>
        </w:rPr>
        <w:t xml:space="preserve">Customer has no apparent business justification for a transaction</w:t>
      </w:r>
    </w:p>
    <w:p>
      <w:pPr>
        <w:pStyle w:val="ListParagraph"/>
        <w:numPr>
          <w:ilvl w:val="0"/>
          <w:numId w:val="2"/>
        </w:numPr>
        <w:spacing w:before="40" w:after="40"/>
      </w:pPr>
      <w:r>
        <w:rPr>
          <w:rFonts w:ascii="Arial" w:cs="Arial" w:eastAsia="Arial" w:hAnsi="Arial"/>
          <w:color w:val="2E2E2E"/>
          <w:sz w:val="20"/>
          <w:szCs w:val="20"/>
        </w:rPr>
        <w:t xml:space="preserve">Customer asks unusual questions about record-keeping procedures, reporting thresholds, or employee practices</w:t>
      </w:r>
    </w:p>
    <w:p>
      <w:pPr>
        <w:pStyle w:val="ListParagraph"/>
        <w:numPr>
          <w:ilvl w:val="0"/>
          <w:numId w:val="2"/>
        </w:numPr>
        <w:spacing w:before="40" w:after="40"/>
      </w:pPr>
      <w:r>
        <w:rPr>
          <w:rFonts w:ascii="Arial" w:cs="Arial" w:eastAsia="Arial" w:hAnsi="Arial"/>
          <w:color w:val="2E2E2E"/>
          <w:sz w:val="20"/>
          <w:szCs w:val="20"/>
        </w:rPr>
        <w:t xml:space="preserve">Customer uses multiple identification documents or inconsistent personal information across different transactions</w:t>
      </w:r>
    </w:p>
    <w:p>
      <w:pPr>
        <w:pStyle w:val="ListParagraph"/>
        <w:numPr>
          <w:ilvl w:val="0"/>
          <w:numId w:val="2"/>
        </w:numPr>
        <w:spacing w:before="40" w:after="40"/>
      </w:pPr>
      <w:r>
        <w:rPr>
          <w:rFonts w:ascii="Arial" w:cs="Arial" w:eastAsia="Arial" w:hAnsi="Arial"/>
          <w:color w:val="2E2E2E"/>
          <w:sz w:val="20"/>
          <w:szCs w:val="20"/>
        </w:rPr>
        <w:t xml:space="preserve">Customer exhibits knowledge of AML reporting thresholds and structures transactions accordingly</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5.2.2 Transaction-Based Indicators</w:t>
      </w:r>
    </w:p>
    <w:p>
      <w:pPr>
        <w:pStyle w:val="ListParagraph"/>
        <w:numPr>
          <w:ilvl w:val="0"/>
          <w:numId w:val="2"/>
        </w:numPr>
        <w:spacing w:before="40" w:after="40"/>
      </w:pPr>
      <w:r>
        <w:rPr>
          <w:rFonts w:ascii="Arial" w:cs="Arial" w:eastAsia="Arial" w:hAnsi="Arial"/>
          <w:color w:val="2E2E2E"/>
          <w:sz w:val="20"/>
          <w:szCs w:val="20"/>
        </w:rPr>
        <w:t xml:space="preserve">Transactions inconsistent with the customer's stated business, income level, or financial profile</w:t>
      </w:r>
    </w:p>
    <w:p>
      <w:pPr>
        <w:pStyle w:val="ListParagraph"/>
        <w:numPr>
          <w:ilvl w:val="0"/>
          <w:numId w:val="2"/>
        </w:numPr>
        <w:spacing w:before="40" w:after="40"/>
      </w:pPr>
      <w:r>
        <w:rPr>
          <w:rFonts w:ascii="Arial" w:cs="Arial" w:eastAsia="Arial" w:hAnsi="Arial"/>
          <w:color w:val="2E2E2E"/>
          <w:sz w:val="20"/>
          <w:szCs w:val="20"/>
        </w:rPr>
        <w:t xml:space="preserve">Large, unexplained cash deposits followed by rapid transfer to another account or jurisdiction</w:t>
      </w:r>
    </w:p>
    <w:p>
      <w:pPr>
        <w:pStyle w:val="ListParagraph"/>
        <w:numPr>
          <w:ilvl w:val="0"/>
          <w:numId w:val="2"/>
        </w:numPr>
        <w:spacing w:before="40" w:after="40"/>
      </w:pPr>
      <w:r>
        <w:rPr>
          <w:rFonts w:ascii="Arial" w:cs="Arial" w:eastAsia="Arial" w:hAnsi="Arial"/>
          <w:color w:val="2E2E2E"/>
          <w:sz w:val="20"/>
          <w:szCs w:val="20"/>
        </w:rPr>
        <w:t xml:space="preserve">Multiple accounts used to aggregate funds for transfer to a single account</w:t>
      </w:r>
    </w:p>
    <w:p>
      <w:pPr>
        <w:pStyle w:val="ListParagraph"/>
        <w:numPr>
          <w:ilvl w:val="0"/>
          <w:numId w:val="2"/>
        </w:numPr>
        <w:spacing w:before="40" w:after="40"/>
      </w:pPr>
      <w:r>
        <w:rPr>
          <w:rFonts w:ascii="Arial" w:cs="Arial" w:eastAsia="Arial" w:hAnsi="Arial"/>
          <w:color w:val="2E2E2E"/>
          <w:sz w:val="20"/>
          <w:szCs w:val="20"/>
        </w:rPr>
        <w:t xml:space="preserve">Transactions involving countries known for high levels of corruption, drug trafficking, or terrorism financing</w:t>
      </w:r>
    </w:p>
    <w:p>
      <w:pPr>
        <w:pStyle w:val="ListParagraph"/>
        <w:numPr>
          <w:ilvl w:val="0"/>
          <w:numId w:val="2"/>
        </w:numPr>
        <w:spacing w:before="40" w:after="40"/>
      </w:pPr>
      <w:r>
        <w:rPr>
          <w:rFonts w:ascii="Arial" w:cs="Arial" w:eastAsia="Arial" w:hAnsi="Arial"/>
          <w:color w:val="2E2E2E"/>
          <w:sz w:val="20"/>
          <w:szCs w:val="20"/>
        </w:rPr>
        <w:t xml:space="preserve">Unusual repayment of loans in cash without clear source explanation</w:t>
      </w:r>
    </w:p>
    <w:p>
      <w:pPr>
        <w:pStyle w:val="ListParagraph"/>
        <w:numPr>
          <w:ilvl w:val="0"/>
          <w:numId w:val="2"/>
        </w:numPr>
        <w:spacing w:before="40" w:after="40"/>
      </w:pPr>
      <w:r>
        <w:rPr>
          <w:rFonts w:ascii="Arial" w:cs="Arial" w:eastAsia="Arial" w:hAnsi="Arial"/>
          <w:color w:val="2E2E2E"/>
          <w:sz w:val="20"/>
          <w:szCs w:val="20"/>
        </w:rPr>
        <w:t xml:space="preserve">Investment transactions with no apparent economic rationale</w:t>
      </w:r>
    </w:p>
    <w:p>
      <w:pPr>
        <w:spacing w:before="60" w:after="60"/>
      </w:pPr>
      <w:r>
        <w:t xml:space="preserve"/>
      </w:r>
    </w:p>
    <w:p>
      <w:pPr>
        <w:pStyle w:val="Heading3"/>
        <w:spacing w:before="200" w:after="80"/>
      </w:pPr>
      <w:r>
        <w:rPr>
          <w:rFonts w:ascii="Arial" w:cs="Arial" w:eastAsia="Arial" w:hAnsi="Arial"/>
          <w:b/>
          <w:bCs/>
          <w:color w:val="2E2E2E"/>
          <w:sz w:val="22"/>
          <w:szCs w:val="22"/>
        </w:rPr>
        <w:t xml:space="preserve">5.2.3 Business / Sector-Specific Indicators</w:t>
      </w:r>
    </w:p>
    <w:p>
      <w:pPr>
        <w:pStyle w:val="ListParagraph"/>
        <w:numPr>
          <w:ilvl w:val="0"/>
          <w:numId w:val="2"/>
        </w:numPr>
        <w:spacing w:before="40" w:after="40"/>
      </w:pPr>
      <w:r>
        <w:rPr>
          <w:rFonts w:ascii="Arial" w:cs="Arial" w:eastAsia="Arial" w:hAnsi="Arial"/>
          <w:color w:val="2E2E2E"/>
          <w:sz w:val="20"/>
          <w:szCs w:val="20"/>
        </w:rPr>
        <w:t xml:space="preserve">Real estate transactions involving cash payments or significant price discrepancies</w:t>
      </w:r>
    </w:p>
    <w:p>
      <w:pPr>
        <w:pStyle w:val="ListParagraph"/>
        <w:numPr>
          <w:ilvl w:val="0"/>
          <w:numId w:val="2"/>
        </w:numPr>
        <w:spacing w:before="40" w:after="40"/>
      </w:pPr>
      <w:r>
        <w:rPr>
          <w:rFonts w:ascii="Arial" w:cs="Arial" w:eastAsia="Arial" w:hAnsi="Arial"/>
          <w:color w:val="2E2E2E"/>
          <w:sz w:val="20"/>
          <w:szCs w:val="20"/>
        </w:rPr>
        <w:t xml:space="preserve">Trade finance with significant over- or under-invoicing compared to market prices</w:t>
      </w:r>
    </w:p>
    <w:p>
      <w:pPr>
        <w:pStyle w:val="ListParagraph"/>
        <w:numPr>
          <w:ilvl w:val="0"/>
          <w:numId w:val="2"/>
        </w:numPr>
        <w:spacing w:before="40" w:after="40"/>
      </w:pPr>
      <w:r>
        <w:rPr>
          <w:rFonts w:ascii="Arial" w:cs="Arial" w:eastAsia="Arial" w:hAnsi="Arial"/>
          <w:color w:val="2E2E2E"/>
          <w:sz w:val="20"/>
          <w:szCs w:val="20"/>
        </w:rPr>
        <w:t xml:space="preserve">Money service businesses with transaction volumes inconsistent with declared clientele</w:t>
      </w:r>
    </w:p>
    <w:p>
      <w:pPr>
        <w:pStyle w:val="ListParagraph"/>
        <w:numPr>
          <w:ilvl w:val="0"/>
          <w:numId w:val="2"/>
        </w:numPr>
        <w:spacing w:before="40" w:after="40"/>
      </w:pPr>
      <w:r>
        <w:rPr>
          <w:rFonts w:ascii="Arial" w:cs="Arial" w:eastAsia="Arial" w:hAnsi="Arial"/>
          <w:color w:val="2E2E2E"/>
          <w:sz w:val="20"/>
          <w:szCs w:val="20"/>
        </w:rPr>
        <w:t xml:space="preserve">NGO / Charitable organization transactions with no clear charitable activity linkage</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5.3 STR Content Requirements</w:t>
      </w:r>
    </w:p>
    <w:p>
      <w:pPr>
        <w:spacing w:before="60" w:after="80"/>
      </w:pPr>
      <w:r>
        <w:rPr>
          <w:rFonts w:ascii="Arial" w:cs="Arial" w:eastAsia="Arial" w:hAnsi="Arial"/>
          <w:color w:val="2E2E2E"/>
          <w:sz w:val="20"/>
          <w:szCs w:val="20"/>
        </w:rPr>
        <w:t xml:space="preserve">Every STR filed with FMU must include the following elements to meet regulatory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 Section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Reporting Institution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HBL full legal name, FMU registration number, filing officer name and contact, date of filing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Subject Information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Full name, CNIC/Passport number, date of birth, address, occupation, relationship to HBL (customer since date, account type, risk rating)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Date(s), amount(s), currency, type of transaction, originating and beneficiary account details, counterparty information if known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Suspicious Activity Description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Clear, factual narrative describing: what happened, why it is suspicious, what efforts were made to investigate, what explanation (if any) was provided by the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Supporting Evidence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Copies of transaction records, account statements, KYC documents, adverse media screenshots, any internal investigation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Prior STRs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Reference to any prior STRs filed on the same subject or related parties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Law Enforcement Linkage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known connection to law enforcement investigation (if applicable and known)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200"/>
              <w:bottom w:type="dxa" w:w="100"/>
              <w:right w:type="dxa" w:w="200"/>
            </w:tcMar>
          </w:tcPr>
          <w:p>
            <w:r>
              <w:rPr>
                <w:rFonts w:ascii="Arial" w:cs="Arial" w:eastAsia="Arial" w:hAnsi="Arial"/>
                <w:b/>
                <w:bCs/>
                <w:color w:val="C00000"/>
                <w:sz w:val="18"/>
                <w:szCs w:val="18"/>
              </w:rPr>
              <w:t xml:space="preserve">ABSOLUTE PROHIBITION — TIPPING OFF</w:t>
            </w:r>
          </w:p>
          <w:p>
            <w:pPr>
              <w:spacing w:before="40"/>
            </w:pPr>
            <w:r>
              <w:rPr>
                <w:rFonts w:ascii="Arial" w:cs="Arial" w:eastAsia="Arial" w:hAnsi="Arial"/>
                <w:color w:val="2E2E2E"/>
                <w:sz w:val="18"/>
                <w:szCs w:val="18"/>
              </w:rPr>
              <w:t xml:space="preserve">TIPPING OFF ABSOLUTE PROHIBITION: No employee, at any level, may notify or hint to a customer, counterparty, legal representative, or any other party that an STR has been filed, is being considered, or that monitoring is underway. This includes indirect disclosure through changes in account service, requests for additional documentation, or unusual account restrictions communicated with suspicious timing. Violation is a criminal offence under Section 26 of the AML Act, 2010, carrying imprisonment of up to 3 years.</w:t>
            </w:r>
          </w:p>
        </w:tc>
      </w:tr>
    </w:tbl>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6. CASH HANDLING PROCEDURES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6.1 Branch Cash Transaction Controls</w:t>
      </w:r>
    </w:p>
    <w:p>
      <w:pPr>
        <w:spacing w:before="60" w:after="80"/>
      </w:pPr>
      <w:r>
        <w:rPr>
          <w:rFonts w:ascii="Arial" w:cs="Arial" w:eastAsia="Arial" w:hAnsi="Arial"/>
          <w:color w:val="2E2E2E"/>
          <w:sz w:val="20"/>
          <w:szCs w:val="20"/>
        </w:rPr>
        <w:t xml:space="preserve">All branch cash transactions must adhere to the following controls to ensure accurate transaction monitoring data and AML compliance:</w:t>
      </w:r>
    </w:p>
    <w:p>
      <w:pPr>
        <w:pStyle w:val="ListParagraph"/>
        <w:numPr>
          <w:ilvl w:val="0"/>
          <w:numId w:val="3"/>
        </w:numPr>
        <w:spacing w:before="40" w:after="40"/>
      </w:pPr>
      <w:r>
        <w:rPr>
          <w:rFonts w:ascii="Arial" w:cs="Arial" w:eastAsia="Arial" w:hAnsi="Arial"/>
          <w:color w:val="2E2E2E"/>
          <w:sz w:val="20"/>
          <w:szCs w:val="20"/>
        </w:rPr>
        <w:t xml:space="preserve">Every cash transaction — deposit or withdrawal — must be processed through CBS in real-time; no manual registers or offline recording</w:t>
      </w:r>
    </w:p>
    <w:p>
      <w:pPr>
        <w:pStyle w:val="ListParagraph"/>
        <w:numPr>
          <w:ilvl w:val="0"/>
          <w:numId w:val="3"/>
        </w:numPr>
        <w:spacing w:before="40" w:after="40"/>
      </w:pPr>
      <w:r>
        <w:rPr>
          <w:rFonts w:ascii="Arial" w:cs="Arial" w:eastAsia="Arial" w:hAnsi="Arial"/>
          <w:color w:val="2E2E2E"/>
          <w:sz w:val="20"/>
          <w:szCs w:val="20"/>
        </w:rPr>
        <w:t xml:space="preserve">Customer CNIC must be verified at the time of cash transaction for all amounts above PKR 25,000</w:t>
      </w:r>
    </w:p>
    <w:p>
      <w:pPr>
        <w:pStyle w:val="ListParagraph"/>
        <w:numPr>
          <w:ilvl w:val="0"/>
          <w:numId w:val="3"/>
        </w:numPr>
        <w:spacing w:before="40" w:after="40"/>
      </w:pPr>
      <w:r>
        <w:rPr>
          <w:rFonts w:ascii="Arial" w:cs="Arial" w:eastAsia="Arial" w:hAnsi="Arial"/>
          <w:color w:val="2E2E2E"/>
          <w:sz w:val="20"/>
          <w:szCs w:val="20"/>
        </w:rPr>
        <w:t xml:space="preserve">For cash transactions above PKR 500,000, transaction purpose must be recorded by the teller in the CBS transaction remarks field</w:t>
      </w:r>
    </w:p>
    <w:p>
      <w:pPr>
        <w:pStyle w:val="ListParagraph"/>
        <w:numPr>
          <w:ilvl w:val="0"/>
          <w:numId w:val="3"/>
        </w:numPr>
        <w:spacing w:before="40" w:after="40"/>
      </w:pPr>
      <w:r>
        <w:rPr>
          <w:rFonts w:ascii="Arial" w:cs="Arial" w:eastAsia="Arial" w:hAnsi="Arial"/>
          <w:color w:val="2E2E2E"/>
          <w:sz w:val="20"/>
          <w:szCs w:val="20"/>
        </w:rPr>
        <w:t xml:space="preserve">For cash transactions above PKR 1,000,000, Branch Manager physical presence and CBS override approval is required</w:t>
      </w:r>
    </w:p>
    <w:p>
      <w:pPr>
        <w:pStyle w:val="ListParagraph"/>
        <w:numPr>
          <w:ilvl w:val="0"/>
          <w:numId w:val="3"/>
        </w:numPr>
        <w:spacing w:before="40" w:after="40"/>
      </w:pPr>
      <w:r>
        <w:rPr>
          <w:rFonts w:ascii="Arial" w:cs="Arial" w:eastAsia="Arial" w:hAnsi="Arial"/>
          <w:color w:val="2E2E2E"/>
          <w:sz w:val="20"/>
          <w:szCs w:val="20"/>
        </w:rPr>
        <w:t xml:space="preserve">For cash transactions above PKR 2,000,000, advance notice of 1 business day is required from the customer; Compliance team must be notified on the day of transaction</w:t>
      </w:r>
    </w:p>
    <w:p>
      <w:pPr>
        <w:pStyle w:val="ListParagraph"/>
        <w:numPr>
          <w:ilvl w:val="0"/>
          <w:numId w:val="3"/>
        </w:numPr>
        <w:spacing w:before="40" w:after="40"/>
      </w:pPr>
      <w:r>
        <w:rPr>
          <w:rFonts w:ascii="Arial" w:cs="Arial" w:eastAsia="Arial" w:hAnsi="Arial"/>
          <w:color w:val="2E2E2E"/>
          <w:sz w:val="20"/>
          <w:szCs w:val="20"/>
        </w:rPr>
        <w:t xml:space="preserve">All counting machine tapes for large cash transactions must be retained and attached to the transaction voucher</w:t>
      </w:r>
    </w:p>
    <w:p>
      <w:pPr>
        <w:pStyle w:val="ListParagraph"/>
        <w:numPr>
          <w:ilvl w:val="0"/>
          <w:numId w:val="3"/>
        </w:numPr>
        <w:spacing w:before="40" w:after="40"/>
      </w:pPr>
      <w:r>
        <w:rPr>
          <w:rFonts w:ascii="Arial" w:cs="Arial" w:eastAsia="Arial" w:hAnsi="Arial"/>
          <w:color w:val="2E2E2E"/>
          <w:sz w:val="20"/>
          <w:szCs w:val="20"/>
        </w:rPr>
        <w:t xml:space="preserve">Suspected counterfeit currency must be confiscated, customer CNIC and transaction details recorded, and SBP/police notified per SBP BPRD Circular No. 22 of 2019</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6.2 Night Deposit / Drop Box</w:t>
      </w:r>
    </w:p>
    <w:p>
      <w:pPr>
        <w:pStyle w:val="ListParagraph"/>
        <w:numPr>
          <w:ilvl w:val="0"/>
          <w:numId w:val="2"/>
        </w:numPr>
        <w:spacing w:before="40" w:after="40"/>
      </w:pPr>
      <w:r>
        <w:rPr>
          <w:rFonts w:ascii="Arial" w:cs="Arial" w:eastAsia="Arial" w:hAnsi="Arial"/>
          <w:color w:val="2E2E2E"/>
          <w:sz w:val="20"/>
          <w:szCs w:val="20"/>
        </w:rPr>
        <w:t xml:space="preserve">Night deposit amounts must be verified and counted by two separate tellers the following business day</w:t>
      </w:r>
    </w:p>
    <w:p>
      <w:pPr>
        <w:pStyle w:val="ListParagraph"/>
        <w:numPr>
          <w:ilvl w:val="0"/>
          <w:numId w:val="2"/>
        </w:numPr>
        <w:spacing w:before="40" w:after="40"/>
      </w:pPr>
      <w:r>
        <w:rPr>
          <w:rFonts w:ascii="Arial" w:cs="Arial" w:eastAsia="Arial" w:hAnsi="Arial"/>
          <w:color w:val="2E2E2E"/>
          <w:sz w:val="20"/>
          <w:szCs w:val="20"/>
        </w:rPr>
        <w:t xml:space="preserve">Night deposit transaction value-dated to day of processing, not day of physical deposit</w:t>
      </w:r>
    </w:p>
    <w:p>
      <w:pPr>
        <w:pStyle w:val="ListParagraph"/>
        <w:numPr>
          <w:ilvl w:val="0"/>
          <w:numId w:val="2"/>
        </w:numPr>
        <w:spacing w:before="40" w:after="40"/>
      </w:pPr>
      <w:r>
        <w:rPr>
          <w:rFonts w:ascii="Arial" w:cs="Arial" w:eastAsia="Arial" w:hAnsi="Arial"/>
          <w:color w:val="2E2E2E"/>
          <w:sz w:val="20"/>
          <w:szCs w:val="20"/>
        </w:rPr>
        <w:t xml:space="preserve">Any night deposit above PKR 200,000 in cash requires CCTV footage review and customer confirmation</w:t>
      </w:r>
    </w:p>
    <w:p>
      <w:pPr>
        <w:pStyle w:val="ListParagraph"/>
        <w:numPr>
          <w:ilvl w:val="0"/>
          <w:numId w:val="2"/>
        </w:numPr>
        <w:spacing w:before="40" w:after="40"/>
      </w:pPr>
      <w:r>
        <w:rPr>
          <w:rFonts w:ascii="Arial" w:cs="Arial" w:eastAsia="Arial" w:hAnsi="Arial"/>
          <w:color w:val="2E2E2E"/>
          <w:sz w:val="20"/>
          <w:szCs w:val="20"/>
        </w:rPr>
        <w:t xml:space="preserve">Night deposit facility is not available for high-risk customers without prior CCO approval</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6.3 ATM Cash Monitoring</w:t>
      </w:r>
    </w:p>
    <w:p>
      <w:pPr>
        <w:pStyle w:val="ListParagraph"/>
        <w:numPr>
          <w:ilvl w:val="0"/>
          <w:numId w:val="2"/>
        </w:numPr>
        <w:spacing w:before="40" w:after="40"/>
      </w:pPr>
      <w:r>
        <w:rPr>
          <w:rFonts w:ascii="Arial" w:cs="Arial" w:eastAsia="Arial" w:hAnsi="Arial"/>
          <w:color w:val="2E2E2E"/>
          <w:sz w:val="20"/>
          <w:szCs w:val="20"/>
        </w:rPr>
        <w:t xml:space="preserve">ATM cash deposits are automatically flagged in the TMS per applicable scenario thresholds</w:t>
      </w:r>
    </w:p>
    <w:p>
      <w:pPr>
        <w:pStyle w:val="ListParagraph"/>
        <w:numPr>
          <w:ilvl w:val="0"/>
          <w:numId w:val="2"/>
        </w:numPr>
        <w:spacing w:before="40" w:after="40"/>
      </w:pPr>
      <w:r>
        <w:rPr>
          <w:rFonts w:ascii="Arial" w:cs="Arial" w:eastAsia="Arial" w:hAnsi="Arial"/>
          <w:color w:val="2E2E2E"/>
          <w:sz w:val="20"/>
          <w:szCs w:val="20"/>
        </w:rPr>
        <w:t xml:space="preserve">ATM transaction velocity monitoring: more than 5 ATM cash deposits in a single day triggers an automated alert</w:t>
      </w:r>
    </w:p>
    <w:p>
      <w:pPr>
        <w:pStyle w:val="ListParagraph"/>
        <w:numPr>
          <w:ilvl w:val="0"/>
          <w:numId w:val="2"/>
        </w:numPr>
        <w:spacing w:before="40" w:after="40"/>
      </w:pPr>
      <w:r>
        <w:rPr>
          <w:rFonts w:ascii="Arial" w:cs="Arial" w:eastAsia="Arial" w:hAnsi="Arial"/>
          <w:color w:val="2E2E2E"/>
          <w:sz w:val="20"/>
          <w:szCs w:val="20"/>
        </w:rPr>
        <w:t xml:space="preserve">ATM CCTV footage is retained for a minimum of 90 days and is accessible to Compliance on request</w:t>
      </w:r>
    </w:p>
    <w:p>
      <w:r>
        <w:br w:type="page"/>
      </w:r>
    </w:p>
    <w:p>
      <w:pPr>
        <w:pStyle w:val="Heading1"/>
        <w:shd w:fill="1B3A6B" w:val="clear"/>
        <w:spacing w:before="360" w:after="120"/>
        <w:ind w:left="180" w:right="180"/>
      </w:pPr>
      <w:r>
        <w:rPr>
          <w:rFonts w:ascii="Arial" w:cs="Arial" w:eastAsia="Arial" w:hAnsi="Arial"/>
          <w:b/>
          <w:bCs/>
          <w:color w:val="FFFFFF"/>
          <w:sz w:val="30"/>
          <w:szCs w:val="30"/>
        </w:rPr>
        <w:t xml:space="preserve">7. GOVERNANCE, REPORTING, AND KEY METRICS</w:t>
      </w:r>
    </w:p>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7.1 Transaction Monitoring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Committee / Function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TMS Oversight Role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Transaction Monitoring Unit (TMU)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Day-to-day alert management, Level 1 and 2 reviews, CTR/STR preparation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Daily operational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Chief Compliance Officer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approval, TMS strategy, regulatory liaison, policy updates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Weekly TMS dashboard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Management Compliance Committee (MCC)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Review of TMS performance metrics, emerging typologies, regulatory developments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Monthly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Board Risk &amp; Compliance Committee (BRCC)</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Approval of TMS rule changes, review of quarterly AML metrics, STR trends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Internal Audit (Group Audit)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Independent review of TMS controls, alert management process, STR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 + ad hoc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External Auditor / SBP Examiner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Independent assessment of TMS adequacy and regulatory compliance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Annual / regulatory cycle</w:t>
            </w:r>
          </w:p>
        </w:tc>
      </w:tr>
    </w:tbl>
    <w:p>
      <w:pPr>
        <w:spacing w:before="60" w:after="60"/>
      </w:pPr>
      <w:r>
        <w:t xml:space="preserve"/>
      </w:r>
    </w:p>
    <w:p>
      <w:pPr>
        <w:pStyle w:val="Heading2"/>
        <w:pBdr>
          <w:bottom w:val="single" w:color="4472C4" w:sz="2"/>
        </w:pBdr>
        <w:spacing w:before="280" w:after="100"/>
      </w:pPr>
      <w:r>
        <w:rPr>
          <w:rFonts w:ascii="Arial" w:cs="Arial" w:eastAsia="Arial" w:hAnsi="Arial"/>
          <w:b/>
          <w:bCs/>
          <w:color w:val="1B3A6B"/>
          <w:sz w:val="26"/>
          <w:szCs w:val="26"/>
        </w:rPr>
        <w:t xml:space="preserve">7.2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Escalation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Alert closure rate (within SLA)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&gt;=95% of alerts closed within SLA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&lt;90% triggers CCO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False positive rate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&lt;=70% of total alerts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&gt;=80% triggers TMS recalibration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CTR filing timeliness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100% filed within 7 working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Any late filing triggers Branch Manager accountability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quality score (FMU feedback)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&gt;=85/100 on FMU quality index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&lt;75 triggers process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Analyst caseload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&lt;=40 alerts per analyst per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&gt;=50 per day triggers resourcing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system uptime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&gt;=99.5%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&lt;99% triggers IT incident report to CCO</w:t>
            </w:r>
          </w:p>
        </w:tc>
      </w:tr>
    </w:tbl>
    <w:p>
      <w:pPr>
        <w:spacing w:before="60" w:after="60"/>
      </w:pPr>
      <w:r>
        <w:t xml:space="preserve"/>
      </w:r>
    </w:p>
    <w:p>
      <w:pPr>
        <w:pStyle w:val="Heading1"/>
        <w:shd w:fill="1B3A6B" w:val="clear"/>
        <w:spacing w:before="360" w:after="120"/>
        <w:ind w:left="180" w:right="180"/>
      </w:pPr>
      <w:r>
        <w:rPr>
          <w:rFonts w:ascii="Arial" w:cs="Arial" w:eastAsia="Arial" w:hAnsi="Arial"/>
          <w:b/>
          <w:bCs/>
          <w:color w:val="FFFFFF"/>
          <w:sz w:val="30"/>
          <w:szCs w:val="30"/>
        </w:rPr>
        <w:t xml:space="preserve">8. RECORD KEEPING</w:t>
      </w:r>
    </w:p>
    <w:p>
      <w:pPr>
        <w:spacing w:before="60" w:after="60"/>
      </w:pPr>
      <w:r>
        <w:t xml:space="preserve"/>
      </w:r>
    </w:p>
    <w:p>
      <w:pPr>
        <w:spacing w:before="60" w:after="80"/>
      </w:pPr>
      <w:r>
        <w:rPr>
          <w:rFonts w:ascii="Arial" w:cs="Arial" w:eastAsia="Arial" w:hAnsi="Arial"/>
          <w:color w:val="2E2E2E"/>
          <w:sz w:val="20"/>
          <w:szCs w:val="20"/>
        </w:rPr>
        <w:t xml:space="preserve">The following records related to transaction monitoring must be maintained for the periods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Custodian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alert records (all dispositions)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 IT</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STR case files including investigation notes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10 years from filing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secure archive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CTR records and GoAML confirmations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 from filing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Compliance archive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cash transaction vouchers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7 years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Branch / Operations archive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ATM transaction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5 years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18"/>
                <w:szCs w:val="18"/>
              </w:rPr>
              <w:t xml:space="preserve">IT / Operations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TMS rule configuration and change log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Life of system + 5 years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2E2E"/>
                <w:sz w:val="18"/>
                <w:szCs w:val="18"/>
              </w:rPr>
              <w:t xml:space="preserve">IT / Compliance</w:t>
            </w:r>
          </w:p>
        </w:tc>
      </w:tr>
    </w:tbl>
    <w:p>
      <w:pPr>
        <w:spacing w:before="60" w:after="60"/>
      </w:pPr>
      <w:r>
        <w:t xml:space="preserve"/>
      </w:r>
    </w:p>
    <w:p>
      <w:pPr>
        <w:spacing w:before="60" w:after="80"/>
      </w:pPr>
      <w:r>
        <w:rPr>
          <w:rFonts w:ascii="Arial" w:cs="Arial" w:eastAsia="Arial" w:hAnsi="Arial"/>
          <w:color w:val="2E2E2E"/>
          <w:sz w:val="20"/>
          <w:szCs w:val="20"/>
        </w:rPr>
        <w:t xml:space="preserve">Policy Owner: Head, Transaction Monitoring Unit | CCO Reviewed: December 2024 | Approval Reference: BRCC-2024-49</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95959"/>
              <w:sz w:val="14"/>
              <w:szCs w:val="14"/>
            </w:rPr>
            <w:t xml:space="preserve">Ver 3.1 | Effective: 01-Jan-2025 | Review: 31-Dec-2025</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1B3A6B"/>
              <w:sz w:val="22"/>
              <w:szCs w:val="22"/>
            </w:rPr>
            <w:t xml:space="preserve">HABIB BANK LIMITED (HBL)</w:t>
          </w:r>
        </w:p>
        <w:p>
          <w:r>
            <w:rPr>
              <w:rFonts w:ascii="Arial" w:cs="Arial" w:eastAsia="Arial" w:hAnsi="Arial"/>
              <w:color w:val="595959"/>
              <w:sz w:val="15"/>
              <w:szCs w:val="15"/>
            </w:rPr>
            <w:t xml:space="preserve">Transaction Monitoring &amp; Cash Transaction Reporting SOP</w:t>
          </w:r>
        </w:p>
      </w:tc>
      <w:tc>
        <w:tcPr>
          <w:tcW w:type="dxa" w:w="3580"/>
          <w:tcBorders>
            <w:top w:val="none" w:color="FFFFFF" w:sz="0"/>
            <w:left w:val="none" w:color="FFFFFF" w:sz="0"/>
            <w:bottom w:val="none" w:color="FFFFFF" w:sz="0"/>
            <w:right w:val="none" w:color="FFFFFF" w:sz="0"/>
          </w:tcBorders>
          <w:tcMar>
            <w:top w:type="dxa" w:w="40"/>
            <w:left w:type="dxa" w:w="120"/>
            <w:bottom w:type="dxa" w:w="40"/>
            <w:right w:type="dxa" w:w="0"/>
          </w:tcMar>
          <w:vAlign w:val="center"/>
        </w:tcPr>
        <w:p>
          <w:pPr>
            <w:jc w:val="right"/>
          </w:pPr>
          <w:r>
            <w:rPr>
              <w:rFonts w:ascii="Arial" w:cs="Arial" w:eastAsia="Arial" w:hAnsi="Arial"/>
              <w:color w:val="595959"/>
              <w:sz w:val="14"/>
              <w:szCs w:val="14"/>
            </w:rPr>
            <w:t xml:space="preserve">CONFIDENTIAL | HBL-TXN-SOP-002</w:t>
          </w:r>
        </w:p>
      </w:tc>
    </w:tr>
  </w:tbl>
  <w:p>
    <w:pPr>
      <w:pBdr>
        <w:bottom w:val="single" w:color="1B3A6B"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2026-02-10T18:24:45.254Z</dcterms:created>
  <dcterms:modified xsi:type="dcterms:W3CDTF">2026-02-10T18:24:45.255Z</dcterms:modified>
</cp:coreProperties>
</file>

<file path=docProps/custom.xml><?xml version="1.0" encoding="utf-8"?>
<Properties xmlns="http://schemas.openxmlformats.org/officeDocument/2006/custom-properties" xmlns:vt="http://schemas.openxmlformats.org/officeDocument/2006/docPropsVTypes"/>
</file>