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5"/>
        <w:rPr>
          <w:rFonts w:asciiTheme="majorBidi" w:hAnsiTheme="majorBidi" w:cstheme="majorBidi"/>
          <w:sz w:val="18"/>
        </w:rPr>
      </w:pPr>
    </w:p>
    <w:p w:rsidR="000255A4" w:rsidRPr="00BB11D1" w:rsidRDefault="000255A4" w:rsidP="006A2441">
      <w:pPr>
        <w:bidi/>
        <w:rPr>
          <w:rFonts w:asciiTheme="majorBidi" w:hAnsiTheme="majorBidi" w:cstheme="majorBidi"/>
          <w:sz w:val="18"/>
        </w:rPr>
        <w:sectPr w:rsidR="000255A4" w:rsidRPr="00BB11D1" w:rsidSect="00BB11D1">
          <w:type w:val="continuous"/>
          <w:pgSz w:w="11910" w:h="16850"/>
          <w:pgMar w:top="1440" w:right="1440" w:bottom="1440" w:left="1440" w:header="720" w:footer="720" w:gutter="0"/>
          <w:cols w:space="720"/>
        </w:sectPr>
      </w:pPr>
    </w:p>
    <w:p w:rsidR="000255A4" w:rsidRPr="00BB11D1" w:rsidRDefault="000255A4" w:rsidP="006A2441">
      <w:pPr>
        <w:pStyle w:val="BodyText"/>
        <w:bidi/>
        <w:rPr>
          <w:rFonts w:asciiTheme="majorBidi" w:hAnsiTheme="majorBidi" w:cstheme="majorBidi"/>
        </w:rPr>
      </w:pPr>
    </w:p>
    <w:p w:rsidR="00764D9B" w:rsidRDefault="00764D9B" w:rsidP="00764D9B">
      <w:pPr>
        <w:pStyle w:val="BodyText"/>
        <w:spacing w:before="6"/>
        <w:rPr>
          <w:rFonts w:ascii="Times New Roman"/>
          <w:sz w:val="32"/>
        </w:rPr>
      </w:pPr>
    </w:p>
    <w:p w:rsidR="00764D9B" w:rsidRDefault="00764D9B" w:rsidP="00764D9B">
      <w:pPr>
        <w:jc w:val="right"/>
        <w:rPr>
          <w:sz w:val="20"/>
        </w:rPr>
      </w:pPr>
      <w:bookmarkStart w:id="0" w:name="Tiered_CBDC_and_the_financial_system"/>
      <w:bookmarkEnd w:id="0"/>
      <w:r>
        <w:rPr>
          <w:color w:val="003199"/>
          <w:sz w:val="20"/>
        </w:rPr>
        <w:t>Ulrich Bindseil</w:t>
      </w:r>
    </w:p>
    <w:p w:rsidR="00764D9B" w:rsidRDefault="00764D9B" w:rsidP="00764D9B">
      <w:pPr>
        <w:pStyle w:val="Title"/>
      </w:pPr>
      <w:r>
        <w:rPr>
          <w:b w:val="0"/>
        </w:rPr>
        <w:br w:type="column"/>
      </w:r>
      <w:r>
        <w:rPr>
          <w:color w:val="003199"/>
        </w:rPr>
        <w:lastRenderedPageBreak/>
        <w:t>Working Paper Series</w:t>
      </w:r>
    </w:p>
    <w:p w:rsidR="00764D9B" w:rsidRDefault="00764D9B" w:rsidP="00764D9B">
      <w:pPr>
        <w:spacing w:before="282"/>
        <w:ind w:left="189"/>
        <w:rPr>
          <w:color w:val="003199"/>
          <w:sz w:val="32"/>
        </w:rPr>
      </w:pPr>
      <w:r>
        <w:rPr>
          <w:color w:val="003199"/>
          <w:sz w:val="32"/>
        </w:rPr>
        <w:t>Tiered CBDC and the financial system</w:t>
      </w:r>
    </w:p>
    <w:p w:rsidR="00764D9B" w:rsidRDefault="00764D9B" w:rsidP="00764D9B">
      <w:pPr>
        <w:spacing w:before="282"/>
        <w:ind w:left="189"/>
        <w:rPr>
          <w:sz w:val="32"/>
        </w:rPr>
      </w:pPr>
      <w:r>
        <w:rPr>
          <w:color w:val="003199"/>
          <w:sz w:val="32"/>
        </w:rPr>
        <w:t>Translated Version</w:t>
      </w:r>
    </w:p>
    <w:p w:rsidR="000255A4" w:rsidRPr="00BB11D1" w:rsidRDefault="000255A4" w:rsidP="006A2441">
      <w:pPr>
        <w:bidi/>
        <w:rPr>
          <w:rFonts w:asciiTheme="majorBidi" w:hAnsiTheme="majorBidi" w:cstheme="majorBidi"/>
          <w:sz w:val="32"/>
        </w:rPr>
        <w:sectPr w:rsidR="000255A4" w:rsidRPr="00BB11D1" w:rsidSect="00BB11D1">
          <w:type w:val="continuous"/>
          <w:pgSz w:w="11910" w:h="16850"/>
          <w:pgMar w:top="1440" w:right="1440" w:bottom="1440" w:left="1440" w:header="720" w:footer="720" w:gutter="0"/>
          <w:cols w:num="2" w:space="720" w:equalWidth="0">
            <w:col w:w="3916" w:space="40"/>
            <w:col w:w="5074"/>
          </w:cols>
        </w:sectPr>
      </w:pPr>
    </w:p>
    <w:p w:rsidR="000255A4" w:rsidRPr="00BB11D1" w:rsidRDefault="008D1AEB" w:rsidP="006A2441">
      <w:pPr>
        <w:pStyle w:val="BodyText"/>
        <w:bidi/>
        <w:rPr>
          <w:rFonts w:asciiTheme="majorBidi" w:hAnsiTheme="majorBidi" w:cstheme="majorBidi"/>
          <w:sz w:val="20"/>
        </w:rPr>
      </w:pPr>
      <w:r>
        <w:rPr>
          <w:rFonts w:asciiTheme="majorBidi" w:hAnsiTheme="majorBidi" w:cstheme="majorBidi"/>
        </w:rPr>
        <w:lastRenderedPageBreak/>
        <w:pict>
          <v:group id="_x0000_s1037" style="position:absolute;left:0;text-align:left;margin-left:0;margin-top:0;width:595.25pt;height:119.05pt;z-index:-17449984;mso-position-horizontal-relative:page;mso-position-vertical-relative:page" coordsize="11905,2381">
            <v:rect id="_x0000_s1061" style="position:absolute;width:11905;height:2381" fillcolor="#cfd0d0" stroked="f"/>
            <v:shape id="_x0000_s1060" style="position:absolute;left:5607;top:567;width:689;height:574" coordorigin="5607,567" coordsize="689,574" o:spt="100" adj="0,,0" path="m6181,797r-12,-73l6137,661r-50,-50l6024,579r-73,-12l5879,579r-63,32l5766,661r-32,63l5722,797r12,72l5766,932r50,50l5879,1014r72,12l6024,1014r63,-32l6137,932r32,-63l6181,797xm6296,784r-93,l6206,787r,10l6193,876r-37,69l6101,1000r-69,35l5951,1048r-80,-13l5802,1000r-56,-55l5710,876r-13,-79l5697,793r3,-6l5700,784r-93,l5607,1141r689,l6296,784xe" fillcolor="#003199" stroked="f">
              <v:stroke joinstyle="round"/>
              <v:formulas/>
              <v:path arrowok="t" o:connecttype="segments"/>
            </v:shape>
            <v:shape id="_x0000_s1059" style="position:absolute;left:5929;top:588;width:44;height:41" coordorigin="5930,589" coordsize="44,41" path="m5964,629r-13,-9l5939,629r3,-15l5930,604r15,l5951,589r7,15l5973,604r-12,10l5964,629xe" fillcolor="#fff100" stroked="f">
              <v:path arrowok="t"/>
            </v:shape>
            <v:shape id="_x0000_s1058" style="position:absolute;left:5746;top:613;width:410;height:385" coordorigin="5747,614" coordsize="410,385" o:spt="100" adj="0,,0" path="m5790,787r-18,l5768,772r-6,15l5747,787r12,13l5753,815r15,-9l5781,815r-6,-15l5790,787xm5815,880r-19,l5793,865r-6,15l5772,880r12,10l5778,905r15,-9l5806,905r-7,-15l5815,880xm5815,697r-19,l5793,682r-6,15l5772,697r12,10l5778,722r15,-9l5806,722r-7,-15l5815,697xm5880,949r-15,l5858,933r-3,16l5837,949r15,9l5846,973r12,-9l5874,973r-6,-15l5880,949xm5880,629r-15,l5858,614r-3,15l5837,629r15,9l5846,654r12,-9l5874,654r-6,-16l5880,629xm5973,973r-15,l5951,958r-6,15l5930,973r12,10l5939,998r12,-9l5964,998r-3,-15l5973,973xm6054,707r-20,-15l6012,680r-23,-8l5964,669r-42,8l5886,697r-29,30l5840,766r-25,l5806,784r31,l5837,806r-22,l5806,828r34,l5857,866r29,31l5922,917r42,7l5986,922r22,-7l6027,905r17,-12l6044,865r-17,15l6008,892r-22,7l5964,902r-34,-5l5901,881r-23,-23l5862,828r139,l6010,806r-152,l5858,784r162,l6029,766r-167,l5878,736r23,-24l5930,697r34,-6l5987,694r22,8l6028,713r16,15l6054,707xm6066,949r-18,l6045,933r-7,16l6023,949r12,9l6029,973r16,-9l6057,973r-6,-15l6066,949xm6066,629r-18,l6045,614r-7,15l6023,629r12,9l6029,654r16,-9l6057,654r-6,-16l6066,629xm6131,880r-15,l6110,865r-3,15l6088,880r15,10l6097,905r13,-9l6125,905r-6,-15l6131,880xm6131,697r-15,l6110,682r-3,15l6088,697r15,10l6097,722r13,-9l6125,722r-6,-15l6131,697xm6156,787r-15,l6134,772r-3,15l6113,787r15,13l6122,815r12,-9l6150,815r-6,-15l6156,787xe" fillcolor="#fff100" stroked="f">
              <v:stroke joinstyle="round"/>
              <v:formulas/>
              <v:path arrowok="t" o:connecttype="segments"/>
            </v:shape>
            <v:shape id="_x0000_s1057" style="position:absolute;left:4555;top:1317;width:1799;height:227" coordorigin="4556,1318" coordsize="1799,227" o:spt="100" adj="0,,0" path="m4640,1408r-56,l4584,1380r49,l4633,1361r-49,l4584,1336r52,l4636,1318r-80,l4556,1429r84,l4640,1408xm6355,1532r-807,l5548,1544r807,l6355,1532xe" fillcolor="#003199"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4679;top:1317;width:112;height:112">
              <v:imagedata r:id="rId9" o:title=""/>
            </v:shape>
            <v:shape id="_x0000_s1055" type="#_x0000_t75" style="position:absolute;left:4838;top:1314;width:252;height:115">
              <v:imagedata r:id="rId10" o:title=""/>
            </v:shape>
            <v:shape id="_x0000_s1054" style="position:absolute;left:5129;top:1317;width:211;height:112" coordorigin="5130,1318" coordsize="211,112" o:spt="100" adj="0,,0" path="m5216,1349r-2,-10l5212,1336r-5,-7l5195,1321r-7,-1l5188,1339r,19l5185,1364r-28,l5157,1336r25,l5188,1339r,-19l5179,1318r-49,l5130,1429r27,l5157,1383r22,l5197,1380r11,-8l5212,1364r3,-3l5216,1349xm5340,1318r-80,l5260,1429r80,l5340,1408r-55,l5285,1380r52,l5337,1361r-52,l5285,1336r55,l5340,1318xe" fillcolor="#003199" stroked="f">
              <v:stroke joinstyle="round"/>
              <v:formulas/>
              <v:path arrowok="t" o:connecttype="segments"/>
            </v:shape>
            <v:shape id="_x0000_s1053" type="#_x0000_t75" style="position:absolute;left:5371;top:1317;width:128;height:112">
              <v:imagedata r:id="rId11" o:title=""/>
            </v:shape>
            <v:shape id="_x0000_s1052" type="#_x0000_t75" style="position:absolute;left:5532;top:1317;width:112;height:112">
              <v:imagedata r:id="rId12" o:title=""/>
            </v:shape>
            <v:shape id="_x0000_s1051" type="#_x0000_t75" style="position:absolute;left:5752;top:1314;width:109;height:115">
              <v:imagedata r:id="rId13" o:title=""/>
            </v:shape>
            <v:shape id="_x0000_s1050" style="position:absolute;left:5904;top:1317;width:84;height:112" coordorigin="5905,1318" coordsize="84,112" path="m5989,1429r-84,l5905,1318r81,l5986,1336r-53,l5933,1361r49,l5982,1380r-49,l5933,1408r56,l5989,1429xe" fillcolor="#003199" stroked="f">
              <v:path arrowok="t"/>
            </v:shape>
            <v:shape id="_x0000_s1049" type="#_x0000_t75" style="position:absolute;left:6028;top:1317;width:115;height:112">
              <v:imagedata r:id="rId14" o:title=""/>
            </v:shape>
            <v:shape id="_x0000_s1048" type="#_x0000_t75" style="position:absolute;left:6180;top:1317;width:109;height:112">
              <v:imagedata r:id="rId15" o:title=""/>
            </v:shape>
            <v:shape id="_x0000_s1047" type="#_x0000_t75" style="position:absolute;left:6326;top:1317;width:249;height:112">
              <v:imagedata r:id="rId16" o:title=""/>
            </v:shape>
            <v:shape id="_x0000_s1046" style="position:absolute;left:6608;top:1317;width:283;height:112" coordorigin="6609,1318" coordsize="283,112" o:spt="100" adj="0,,0" path="m6693,1408r-56,l6637,1318r-28,l6609,1429r84,l6693,1408xm6891,1383r-9,-13l6866,1367r10,-6l6882,1355r,-9l6880,1336r,l6874,1327r-12,-7l6860,1320r,66l6860,1405r-3,3l6826,1408r,-25l6854,1383r6,3l6860,1320r-6,-1l6854,1343r,12l6851,1361r-25,l6826,1336r25,l6854,1343r,-24l6845,1318r-47,l6798,1429r53,l6872,1426r12,-9l6889,1408r1,-2l6891,1395r,-12xe" fillcolor="#003199" stroked="f">
              <v:stroke joinstyle="round"/>
              <v:formulas/>
              <v:path arrowok="t" o:connecttype="segments"/>
            </v:shape>
            <v:shape id="_x0000_s1045" type="#_x0000_t75" style="position:absolute;left:6922;top:1317;width:125;height:112">
              <v:imagedata r:id="rId17" o:title=""/>
            </v:shape>
            <v:shape id="_x0000_s1044" type="#_x0000_t75" style="position:absolute;left:7080;top:1317;width:115;height:112">
              <v:imagedata r:id="rId14" o:title=""/>
            </v:shape>
            <v:shape id="_x0000_s1043" type="#_x0000_t75" style="position:absolute;left:7241;top:1317;width:106;height:112">
              <v:imagedata r:id="rId18" o:title=""/>
            </v:shape>
            <v:shape id="_x0000_s1042" style="position:absolute;left:5377;top:1662;width:196;height:112" coordorigin="5378,1662" coordsize="196,112" o:spt="100" adj="0,,0" path="m5443,1758r-50,l5393,1724r47,l5440,1709r-47,l5393,1674r47,l5440,1662r-62,l5378,1774r65,l5443,1758xm5573,1662r-15,l5558,1746r-7,3l5545,1755r-9,3l5514,1758r-6,-3l5502,1749r-6,-3l5492,1740r,-78l5477,1662r,68l5481,1750r11,14l5507,1771r16,3l5546,1770r15,-9l5570,1748r3,-18l5573,1662xe" fillcolor="#003199" stroked="f">
              <v:stroke joinstyle="round"/>
              <v:formulas/>
              <v:path arrowok="t" o:connecttype="segments"/>
            </v:shape>
            <v:shape id="_x0000_s1041" type="#_x0000_t75" style="position:absolute;left:5616;top:1658;width:233;height:115">
              <v:imagedata r:id="rId19" o:title=""/>
            </v:shape>
            <v:shape id="_x0000_s1040" type="#_x0000_t75" style="position:absolute;left:5883;top:1658;width:277;height:115">
              <v:imagedata r:id="rId20" o:title=""/>
            </v:shape>
            <v:shape id="_x0000_s1039" style="position:absolute;left:6190;top:1662;width:193;height:112" coordorigin="6190,1662" coordsize="193,112" o:spt="100" adj="0,,0" path="m6283,1662r-93,l6190,1675r37,l6227,1774r19,l6246,1675r37,l6283,1662xm6383,1662r-62,l6321,1774r62,l6383,1758r-47,l6336,1724r43,l6379,1709r-43,l6336,1675r47,l6383,1662xe" fillcolor="#003199" stroked="f">
              <v:stroke joinstyle="round"/>
              <v:formulas/>
              <v:path arrowok="t" o:connecttype="segments"/>
            </v:shape>
            <v:shape id="_x0000_s1038" type="#_x0000_t75" style="position:absolute;left:6422;top:1662;width:103;height:112">
              <v:imagedata r:id="rId21" o:title=""/>
            </v:shape>
            <w10:wrap anchorx="page" anchory="page"/>
          </v:group>
        </w:pict>
      </w:r>
      <w:r>
        <w:rPr>
          <w:rFonts w:asciiTheme="majorBidi" w:hAnsiTheme="majorBidi" w:cstheme="majorBidi"/>
        </w:rPr>
        <w:pict>
          <v:group id="_x0000_s1034" style="position:absolute;left:0;text-align:left;margin-left:0;margin-top:500.95pt;width:595.35pt;height:299.9pt;z-index:-17448960;mso-position-horizontal-relative:page;mso-position-vertical-relative:page" coordorigin=",10019" coordsize="11907,5998">
            <v:shape id="_x0000_s1036" type="#_x0000_t75" style="position:absolute;top:10019;width:11907;height:5998">
              <v:imagedata r:id="rId22" o:title=""/>
            </v:shape>
            <v:shapetype id="_x0000_t202" coordsize="21600,21600" o:spt="202" path="m,l,21600r21600,l21600,xe">
              <v:stroke joinstyle="miter"/>
              <v:path gradientshapeok="t" o:connecttype="rect"/>
            </v:shapetype>
            <v:shape id="_x0000_s1035" type="#_x0000_t202" style="position:absolute;left:5812;top:10147;width:3105;height:314" filled="f" stroked="f">
              <v:textbox inset="0,0,0,0">
                <w:txbxContent>
                  <w:p w:rsidR="000255A4" w:rsidRDefault="009C2E3C">
                    <w:pPr>
                      <w:spacing w:line="314" w:lineRule="exact"/>
                      <w:rPr>
                        <w:b/>
                        <w:sz w:val="28"/>
                      </w:rPr>
                    </w:pPr>
                    <w:r>
                      <w:rPr>
                        <w:b/>
                        <w:bCs/>
                        <w:color w:val="FFFFFF"/>
                        <w:sz w:val="28"/>
                        <w:szCs w:val="28"/>
                        <w:rtl/>
                        <w:lang w:bidi="ar-SA"/>
                      </w:rPr>
                      <w:t>لا</w:t>
                    </w:r>
                    <w:r>
                      <w:rPr>
                        <w:b/>
                        <w:color w:val="FFFFFF"/>
                        <w:sz w:val="28"/>
                      </w:rPr>
                      <w:t xml:space="preserve"> 2351 / </w:t>
                    </w:r>
                    <w:r>
                      <w:rPr>
                        <w:b/>
                        <w:bCs/>
                        <w:color w:val="FFFFFF"/>
                        <w:sz w:val="28"/>
                        <w:szCs w:val="28"/>
                        <w:rtl/>
                        <w:lang w:bidi="ar-SA"/>
                      </w:rPr>
                      <w:t>يناير</w:t>
                    </w:r>
                    <w:r>
                      <w:rPr>
                        <w:b/>
                        <w:color w:val="FFFFFF"/>
                        <w:sz w:val="28"/>
                      </w:rPr>
                      <w:t xml:space="preserve"> 2020</w:t>
                    </w:r>
                  </w:p>
                </w:txbxContent>
              </v:textbox>
            </v:shape>
            <w10:wrap anchorx="page" anchory="page"/>
          </v:group>
        </w:pict>
      </w: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bidi/>
        <w:spacing w:line="249" w:lineRule="auto"/>
        <w:rPr>
          <w:rFonts w:asciiTheme="majorBidi" w:hAnsiTheme="majorBidi" w:cstheme="majorBidi"/>
          <w:sz w:val="20"/>
        </w:rPr>
        <w:sectPr w:rsidR="000255A4" w:rsidRPr="00BB11D1" w:rsidSect="00BB11D1">
          <w:type w:val="continuous"/>
          <w:pgSz w:w="11910" w:h="16850"/>
          <w:pgMar w:top="1440" w:right="1440" w:bottom="1440" w:left="1440" w:header="720" w:footer="720" w:gutter="0"/>
          <w:cols w:space="720"/>
        </w:sect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10"/>
        <w:rPr>
          <w:rFonts w:asciiTheme="majorBidi" w:hAnsiTheme="majorBidi" w:cstheme="majorBidi"/>
          <w:sz w:val="19"/>
        </w:rPr>
      </w:pPr>
    </w:p>
    <w:p w:rsidR="000255A4" w:rsidRPr="00BB11D1" w:rsidRDefault="009C2E3C" w:rsidP="00764D9B">
      <w:pPr>
        <w:pStyle w:val="Heading2"/>
        <w:bidi/>
      </w:pPr>
      <w:bookmarkStart w:id="1" w:name="Abstract"/>
      <w:bookmarkEnd w:id="1"/>
      <w:r w:rsidRPr="00BB11D1">
        <w:rPr>
          <w:rFonts w:ascii="Arial" w:hAnsi="Arial" w:cs="Arial" w:hint="cs"/>
          <w:rtl/>
          <w:lang w:bidi="ar-SA"/>
        </w:rPr>
        <w:t>نبذة</w:t>
      </w:r>
      <w:r w:rsidRPr="00BB11D1">
        <w:t xml:space="preserve"> </w:t>
      </w:r>
      <w:r w:rsidRPr="00BB11D1">
        <w:rPr>
          <w:rFonts w:ascii="Arial" w:hAnsi="Arial" w:cs="Arial" w:hint="cs"/>
          <w:rtl/>
          <w:lang w:bidi="ar-SA"/>
        </w:rPr>
        <w:t>مختصرة</w:t>
      </w:r>
    </w:p>
    <w:p w:rsidR="000255A4" w:rsidRPr="00BB11D1" w:rsidRDefault="000255A4" w:rsidP="006A2441">
      <w:pPr>
        <w:pStyle w:val="BodyText"/>
        <w:bidi/>
        <w:spacing w:before="8"/>
        <w:rPr>
          <w:rFonts w:asciiTheme="majorBidi" w:hAnsiTheme="majorBidi" w:cstheme="majorBidi"/>
          <w:i/>
          <w:sz w:val="24"/>
        </w:rPr>
      </w:pPr>
    </w:p>
    <w:p w:rsidR="000255A4"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ألهم تقدم تكنولوجيا المعلومات وتطبيقه على القطاع المالي البنوك المركزية والأكاديميين لتحليل مزايا العملات الرقمية للبنك المركزي (</w:t>
      </w:r>
      <w:r w:rsidRPr="00BB11D1">
        <w:rPr>
          <w:rFonts w:asciiTheme="majorBidi" w:hAnsiTheme="majorBidi" w:cstheme="majorBidi"/>
        </w:rPr>
        <w:t>CBDC</w:t>
      </w:r>
      <w:r w:rsidRPr="00BB11D1">
        <w:rPr>
          <w:rFonts w:asciiTheme="majorBidi" w:hAnsiTheme="majorBidi" w:cstheme="majorBidi"/>
          <w:rtl/>
          <w:lang w:bidi="ar-SA"/>
        </w:rPr>
        <w:t xml:space="preserve">) التي يمكن للجمهور الواسع الوصول إليها. تستعرض هذه الورقة أولاً مزايا ومخاطر مثل هذه الاتفاقية. ثم يناقش حجتين بارزتين ضد </w:t>
      </w:r>
      <w:r w:rsidRPr="00BB11D1">
        <w:rPr>
          <w:rFonts w:asciiTheme="majorBidi" w:hAnsiTheme="majorBidi" w:cstheme="majorBidi"/>
        </w:rPr>
        <w:t>CBDC</w:t>
      </w:r>
      <w:r w:rsidRPr="00BB11D1">
        <w:rPr>
          <w:rFonts w:asciiTheme="majorBidi" w:hAnsiTheme="majorBidi" w:cstheme="majorBidi"/>
          <w:rtl/>
          <w:lang w:bidi="ar-SA"/>
        </w:rPr>
        <w:t xml:space="preserve"> ، وهما: (1) خطر التوسط الهيكلي للبنوك ومركزية عملية تخصيص الائتمان داخل البنك المركزي و (2) مخاطر التسيير النظامي على البنوك في حالات الأزمات. يتم اقتراح مكافآت من مستويين من </w:t>
      </w:r>
      <w:r w:rsidRPr="00BB11D1">
        <w:rPr>
          <w:rFonts w:asciiTheme="majorBidi" w:hAnsiTheme="majorBidi" w:cstheme="majorBidi"/>
        </w:rPr>
        <w:t>CBDC</w:t>
      </w:r>
      <w:r w:rsidRPr="00BB11D1">
        <w:rPr>
          <w:rFonts w:asciiTheme="majorBidi" w:hAnsiTheme="majorBidi" w:cstheme="majorBidi"/>
          <w:rtl/>
          <w:lang w:bidi="ar-SA"/>
        </w:rPr>
        <w:t xml:space="preserve"> كحل لكلا المسألتين ، ويتم توفير مقارنة مع حل الحد الأقصى بسيط وحل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أخيرًا ، تقارن الورقة الآثار المترتبة على الحساب المالي لـ </w:t>
      </w:r>
      <w:r w:rsidRPr="00BB11D1">
        <w:rPr>
          <w:rFonts w:asciiTheme="majorBidi" w:hAnsiTheme="majorBidi" w:cstheme="majorBidi"/>
        </w:rPr>
        <w:t>CBDC</w:t>
      </w:r>
      <w:r w:rsidRPr="00BB11D1">
        <w:rPr>
          <w:rFonts w:asciiTheme="majorBidi" w:hAnsiTheme="majorBidi" w:cstheme="majorBidi"/>
          <w:rtl/>
          <w:lang w:bidi="ar-SA"/>
        </w:rPr>
        <w:t xml:space="preserve"> مع تلك الخاصة بأصول التشفير ، و </w:t>
      </w:r>
      <w:r w:rsidRPr="00BB11D1">
        <w:rPr>
          <w:rFonts w:asciiTheme="majorBidi" w:hAnsiTheme="majorBidi" w:cstheme="majorBidi"/>
        </w:rPr>
        <w:t>Stablecoins</w:t>
      </w:r>
      <w:r w:rsidRPr="00BB11D1">
        <w:rPr>
          <w:rFonts w:asciiTheme="majorBidi" w:hAnsiTheme="majorBidi" w:cstheme="majorBidi"/>
          <w:rtl/>
          <w:lang w:bidi="ar-SA"/>
        </w:rPr>
        <w:t xml:space="preserve"> ، والأموال الرقمية الضيقة للبنوك ، في سياق محلي ودولي.</w:t>
      </w:r>
    </w:p>
    <w:p w:rsidR="000255A4" w:rsidRPr="00BB11D1" w:rsidRDefault="000255A4" w:rsidP="006A2441">
      <w:pPr>
        <w:pStyle w:val="BodyText"/>
        <w:bidi/>
        <w:spacing w:before="3"/>
        <w:rPr>
          <w:rFonts w:asciiTheme="majorBidi" w:hAnsiTheme="majorBidi" w:cstheme="majorBidi"/>
          <w:sz w:val="27"/>
        </w:rPr>
      </w:pPr>
    </w:p>
    <w:p w:rsidR="006A2441" w:rsidRPr="00BB11D1" w:rsidRDefault="009C2E3C" w:rsidP="006A2441">
      <w:pPr>
        <w:bidi/>
        <w:spacing w:line="504" w:lineRule="auto"/>
        <w:ind w:left="249" w:right="790"/>
        <w:rPr>
          <w:rFonts w:asciiTheme="majorBidi" w:hAnsiTheme="majorBidi" w:cstheme="majorBidi"/>
          <w:w w:val="95"/>
          <w:sz w:val="24"/>
          <w:szCs w:val="24"/>
          <w:lang w:bidi="ar-SA"/>
        </w:rPr>
      </w:pPr>
      <w:r w:rsidRPr="00BB11D1">
        <w:rPr>
          <w:rFonts w:asciiTheme="majorBidi" w:hAnsiTheme="majorBidi" w:cstheme="majorBidi"/>
          <w:w w:val="95"/>
          <w:sz w:val="24"/>
          <w:szCs w:val="24"/>
          <w:rtl/>
          <w:lang w:bidi="ar-SA"/>
        </w:rPr>
        <w:t>كلمات</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البحث</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العملات</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الرقمية</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البنك</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المركزي</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البنوك</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المركزية؛</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عدم</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الاستقرار</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المالي؛</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الحسابات</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المالية</w:t>
      </w:r>
    </w:p>
    <w:p w:rsidR="000255A4" w:rsidRPr="00BB11D1" w:rsidRDefault="009C2E3C" w:rsidP="006A2441">
      <w:pPr>
        <w:bidi/>
        <w:spacing w:line="504" w:lineRule="auto"/>
        <w:ind w:left="249" w:right="790"/>
        <w:rPr>
          <w:rFonts w:asciiTheme="majorBidi" w:hAnsiTheme="majorBidi" w:cstheme="majorBidi"/>
          <w:sz w:val="24"/>
        </w:rPr>
        <w:sectPr w:rsidR="000255A4" w:rsidRPr="00BB11D1" w:rsidSect="00BB11D1">
          <w:footerReference w:type="default" r:id="rId23"/>
          <w:pgSz w:w="11910" w:h="16840"/>
          <w:pgMar w:top="1440" w:right="1440" w:bottom="1440" w:left="1440" w:header="0" w:footer="518" w:gutter="0"/>
          <w:pgNumType w:start="1"/>
          <w:cols w:space="720"/>
        </w:sectPr>
      </w:pPr>
      <w:r w:rsidRPr="00BB11D1">
        <w:rPr>
          <w:rFonts w:asciiTheme="majorBidi" w:hAnsiTheme="majorBidi" w:cstheme="majorBidi"/>
          <w:sz w:val="24"/>
          <w:szCs w:val="24"/>
          <w:rtl/>
          <w:lang w:bidi="ar-SA"/>
        </w:rPr>
        <w:t>تصنيفات</w:t>
      </w:r>
      <w:r w:rsidR="006A2441" w:rsidRPr="00BB11D1">
        <w:rPr>
          <w:rFonts w:asciiTheme="majorBidi" w:hAnsiTheme="majorBidi" w:cstheme="majorBidi"/>
          <w:sz w:val="24"/>
        </w:rPr>
        <w:t>E3;</w:t>
      </w:r>
      <w:r w:rsidR="006A2441" w:rsidRPr="00BB11D1">
        <w:rPr>
          <w:rFonts w:asciiTheme="majorBidi" w:hAnsiTheme="majorBidi" w:cstheme="majorBidi"/>
          <w:spacing w:val="-18"/>
          <w:sz w:val="24"/>
        </w:rPr>
        <w:t xml:space="preserve"> </w:t>
      </w:r>
      <w:r w:rsidR="006A2441" w:rsidRPr="00BB11D1">
        <w:rPr>
          <w:rFonts w:asciiTheme="majorBidi" w:hAnsiTheme="majorBidi" w:cstheme="majorBidi"/>
          <w:sz w:val="24"/>
        </w:rPr>
        <w:t>E5;</w:t>
      </w:r>
      <w:r w:rsidR="006A2441" w:rsidRPr="00BB11D1">
        <w:rPr>
          <w:rFonts w:asciiTheme="majorBidi" w:hAnsiTheme="majorBidi" w:cstheme="majorBidi"/>
          <w:spacing w:val="-15"/>
          <w:sz w:val="24"/>
        </w:rPr>
        <w:t xml:space="preserve"> </w:t>
      </w:r>
      <w:r w:rsidR="006A2441" w:rsidRPr="00BB11D1">
        <w:rPr>
          <w:rFonts w:asciiTheme="majorBidi" w:hAnsiTheme="majorBidi" w:cstheme="majorBidi"/>
          <w:sz w:val="24"/>
        </w:rPr>
        <w:t>G1:</w:t>
      </w: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10"/>
        <w:rPr>
          <w:rFonts w:asciiTheme="majorBidi" w:hAnsiTheme="majorBidi" w:cstheme="majorBidi"/>
          <w:sz w:val="29"/>
        </w:rPr>
      </w:pPr>
    </w:p>
    <w:p w:rsidR="000255A4" w:rsidRPr="00BB11D1" w:rsidRDefault="009C2E3C" w:rsidP="00764D9B">
      <w:pPr>
        <w:pStyle w:val="Heading2"/>
        <w:bidi/>
      </w:pPr>
      <w:bookmarkStart w:id="2" w:name="Non-technical_summary"/>
      <w:bookmarkEnd w:id="2"/>
      <w:r w:rsidRPr="00BB11D1">
        <w:rPr>
          <w:rFonts w:ascii="Arial" w:hAnsi="Arial" w:cs="Arial" w:hint="cs"/>
          <w:rtl/>
          <w:lang w:bidi="ar-SA"/>
        </w:rPr>
        <w:t>ملخص</w:t>
      </w:r>
      <w:r w:rsidRPr="00BB11D1">
        <w:t xml:space="preserve"> </w:t>
      </w:r>
      <w:r w:rsidRPr="00BB11D1">
        <w:rPr>
          <w:rFonts w:ascii="Arial" w:hAnsi="Arial" w:cs="Arial" w:hint="cs"/>
          <w:rtl/>
          <w:lang w:bidi="ar-SA"/>
        </w:rPr>
        <w:t>غير</w:t>
      </w:r>
      <w:r w:rsidRPr="00BB11D1">
        <w:t xml:space="preserve"> </w:t>
      </w:r>
      <w:r w:rsidRPr="00BB11D1">
        <w:rPr>
          <w:rFonts w:ascii="Arial" w:hAnsi="Arial" w:cs="Arial" w:hint="cs"/>
          <w:rtl/>
          <w:lang w:bidi="ar-SA"/>
        </w:rPr>
        <w:t>فني</w:t>
      </w:r>
    </w:p>
    <w:p w:rsidR="000255A4" w:rsidRPr="00BB11D1" w:rsidRDefault="000255A4" w:rsidP="006A2441">
      <w:pPr>
        <w:pStyle w:val="BodyText"/>
        <w:bidi/>
        <w:spacing w:before="7"/>
        <w:rPr>
          <w:rFonts w:asciiTheme="majorBidi" w:hAnsiTheme="majorBidi" w:cstheme="majorBidi"/>
          <w:b/>
          <w:sz w:val="31"/>
        </w:rPr>
      </w:pPr>
    </w:p>
    <w:p w:rsidR="006A2441" w:rsidRPr="00BB11D1" w:rsidRDefault="006A2441" w:rsidP="00764D9B">
      <w:pPr>
        <w:bidi/>
        <w:spacing w:line="480" w:lineRule="auto"/>
        <w:jc w:val="both"/>
        <w:rPr>
          <w:rFonts w:asciiTheme="majorBidi" w:hAnsiTheme="majorBidi" w:cstheme="majorBidi"/>
        </w:rPr>
      </w:pPr>
      <w:r w:rsidRPr="00BB11D1">
        <w:rPr>
          <w:rFonts w:asciiTheme="majorBidi" w:hAnsiTheme="majorBidi" w:cstheme="majorBidi"/>
          <w:rtl/>
          <w:lang w:bidi="ar-SA"/>
        </w:rPr>
        <w:t>بدأ كل من الأكاديميين والبنوك المركزية في تحليل مزايا ومخاطر إدخال عملات البنك المركزي الرقمية (</w:t>
      </w:r>
      <w:r w:rsidRPr="00BB11D1">
        <w:rPr>
          <w:rFonts w:asciiTheme="majorBidi" w:hAnsiTheme="majorBidi" w:cstheme="majorBidi"/>
        </w:rPr>
        <w:t>CBDC</w:t>
      </w:r>
      <w:r w:rsidRPr="00BB11D1">
        <w:rPr>
          <w:rFonts w:asciiTheme="majorBidi" w:hAnsiTheme="majorBidi" w:cstheme="majorBidi"/>
          <w:rtl/>
          <w:lang w:bidi="ar-SA"/>
        </w:rPr>
        <w:t xml:space="preserve">) ، أي شكل من أشكال أموال البنك المركزي التي يتم تداولها من خلال الوسائل الإلكترونية ويمكن للجمهور الواسع الوصول إليها. يمكن اعتبار </w:t>
      </w:r>
      <w:r w:rsidRPr="00BB11D1">
        <w:rPr>
          <w:rFonts w:asciiTheme="majorBidi" w:hAnsiTheme="majorBidi" w:cstheme="majorBidi"/>
        </w:rPr>
        <w:t>CBDC</w:t>
      </w:r>
      <w:r w:rsidRPr="00BB11D1">
        <w:rPr>
          <w:rFonts w:asciiTheme="majorBidi" w:hAnsiTheme="majorBidi" w:cstheme="majorBidi"/>
          <w:rtl/>
          <w:lang w:bidi="ar-SA"/>
        </w:rPr>
        <w:t xml:space="preserve"> شكلاً ثالثًا من الأموال الأساسية ، بجانب (1) الودائع الليلية في البنك المركزي ، والمتاحة حاليًا فقط للبنوك والشركات المالية غير المصرفية الخاصة وبعض المودعين في القطاع الرسمي ؛ (2) الأوراق النقدية ، كونها متاحة للجميع ولكن يمكن القول أنها ذات كفاءة محدودة والاعتماد على التكنولوجيا القديمة. تميز بعض المنشورات حالة </w:t>
      </w:r>
      <w:r w:rsidRPr="00BB11D1">
        <w:rPr>
          <w:rFonts w:asciiTheme="majorBidi" w:hAnsiTheme="majorBidi" w:cstheme="majorBidi"/>
        </w:rPr>
        <w:t>CBDC</w:t>
      </w:r>
      <w:r w:rsidRPr="00BB11D1">
        <w:rPr>
          <w:rFonts w:asciiTheme="majorBidi" w:hAnsiTheme="majorBidi" w:cstheme="majorBidi"/>
          <w:rtl/>
          <w:lang w:bidi="ar-SA"/>
        </w:rPr>
        <w:t xml:space="preserve"> "بالجملة" و "للأغراض العامة" ، فالأولى لا يمكن الوصول إليها إلا لشركات معينة ، في حين أن الأخيرة تصل إلى جميع الأسر. تناقش هذه الورقة </w:t>
      </w:r>
      <w:r w:rsidRPr="00BB11D1">
        <w:rPr>
          <w:rFonts w:asciiTheme="majorBidi" w:hAnsiTheme="majorBidi" w:cstheme="majorBidi"/>
        </w:rPr>
        <w:t>CBDC</w:t>
      </w:r>
      <w:r w:rsidRPr="00BB11D1">
        <w:rPr>
          <w:rFonts w:asciiTheme="majorBidi" w:hAnsiTheme="majorBidi" w:cstheme="majorBidi"/>
          <w:rtl/>
          <w:lang w:bidi="ar-SA"/>
        </w:rPr>
        <w:t xml:space="preserve"> للأغراض العامة ، والتي يتم تقديمها في شكل حسابات إيداع لدى البنك المركزي لجميع الأسر والشركات ، وتأثيرها المحتمل على النظام المالي.</w:t>
      </w:r>
    </w:p>
    <w:p w:rsidR="006A2441" w:rsidRPr="00764D9B" w:rsidRDefault="006A2441" w:rsidP="00764D9B">
      <w:pPr>
        <w:bidi/>
        <w:spacing w:line="480" w:lineRule="auto"/>
        <w:jc w:val="both"/>
        <w:rPr>
          <w:rFonts w:asciiTheme="majorBidi" w:hAnsiTheme="majorBidi" w:cstheme="majorBidi"/>
        </w:rPr>
      </w:pPr>
      <w:r w:rsidRPr="00BB11D1">
        <w:rPr>
          <w:rFonts w:asciiTheme="majorBidi" w:hAnsiTheme="majorBidi" w:cstheme="majorBidi"/>
          <w:rtl/>
          <w:lang w:bidi="ar-SA"/>
        </w:rPr>
        <w:t>تتناول الورقة أولاً باختصار المزايا والمخاطر الرئيسية المرتبطة ب</w:t>
      </w:r>
      <w:r w:rsidR="00BB11D1">
        <w:rPr>
          <w:rFonts w:asciiTheme="majorBidi" w:hAnsiTheme="majorBidi" w:cstheme="majorBidi"/>
          <w:lang w:bidi="ar-SA"/>
        </w:rPr>
        <w:t>CBDC</w:t>
      </w:r>
      <w:r w:rsidRPr="00BB11D1">
        <w:rPr>
          <w:rFonts w:asciiTheme="majorBidi" w:hAnsiTheme="majorBidi" w:cstheme="majorBidi"/>
          <w:rtl/>
          <w:lang w:bidi="ar-SA"/>
        </w:rPr>
        <w:t xml:space="preserve">. تشمل المزايا الأساسية التي يراها معظم الاقتصاديين ومحافظي البنوك المركزية توفير أموال البنك المركزي الفعالة والآمنة والحديثة للجميع ، وتعزيز مرونة وتوافر ومنافسة مدفوعات التجزئة. ومع ذلك ، فقد حذر محافظو البنوك المركزية على وجه الخصوص من التباطؤ الهيكلي أو الدوري لمؤسسات تحصيل الودائع ، أي البنوك التي قد يكون سببها </w:t>
      </w:r>
      <w:r w:rsidRPr="00BB11D1">
        <w:rPr>
          <w:rFonts w:asciiTheme="majorBidi" w:hAnsiTheme="majorBidi" w:cstheme="majorBidi"/>
        </w:rPr>
        <w:t>CBDC</w:t>
      </w:r>
      <w:r w:rsidRPr="00BB11D1">
        <w:rPr>
          <w:rFonts w:asciiTheme="majorBidi" w:hAnsiTheme="majorBidi" w:cstheme="majorBidi"/>
          <w:rtl/>
          <w:lang w:bidi="ar-SA"/>
        </w:rPr>
        <w:t xml:space="preserve">. لذلك من الضروري أن تكون قادرًا على توجيه إصدار </w:t>
      </w:r>
      <w:r w:rsidRPr="00BB11D1">
        <w:rPr>
          <w:rFonts w:asciiTheme="majorBidi" w:hAnsiTheme="majorBidi" w:cstheme="majorBidi"/>
        </w:rPr>
        <w:t>CBDC</w:t>
      </w:r>
      <w:r w:rsidRPr="00BB11D1">
        <w:rPr>
          <w:rFonts w:asciiTheme="majorBidi" w:hAnsiTheme="majorBidi" w:cstheme="majorBidi"/>
          <w:rtl/>
          <w:lang w:bidi="ar-SA"/>
        </w:rPr>
        <w:t xml:space="preserve"> بحيث يخدم كفاءة مدفوعات التجزئة ، دون التشكيك بالضرورة في الأمر النقدي من خلال جعل </w:t>
      </w:r>
      <w:r w:rsidRPr="00BB11D1">
        <w:rPr>
          <w:rFonts w:asciiTheme="majorBidi" w:hAnsiTheme="majorBidi" w:cstheme="majorBidi"/>
        </w:rPr>
        <w:t>CBDC</w:t>
      </w:r>
      <w:r w:rsidRPr="00BB11D1">
        <w:rPr>
          <w:rFonts w:asciiTheme="majorBidi" w:hAnsiTheme="majorBidi" w:cstheme="majorBidi"/>
          <w:rtl/>
          <w:lang w:bidi="ar-SA"/>
        </w:rPr>
        <w:t xml:space="preserve"> شكلًا رئيسيًا لتخزين القيمة. سيُناقش في هذه الورقة أن مثل هذا التوجيه ممكن ، وبتغيير أساسي أقل مما هو متأصل في المقترحات البديلة ، مثل اقتراح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None (2018</w:t>
      </w:r>
      <w:r w:rsidRPr="00BB11D1">
        <w:rPr>
          <w:rFonts w:asciiTheme="majorBidi" w:hAnsiTheme="majorBidi" w:cstheme="majorBidi"/>
          <w:rtl/>
          <w:lang w:bidi="ar-SA"/>
        </w:rPr>
        <w:t xml:space="preserve">). يبدو أن الأداة التي تم اختبارها جيدًا للأجر المتدرج هي أداة فعالة وبسيطة للتحكم في حجم </w:t>
      </w:r>
      <w:r w:rsidRPr="00BB11D1">
        <w:rPr>
          <w:rFonts w:asciiTheme="majorBidi" w:hAnsiTheme="majorBidi" w:cstheme="majorBidi"/>
        </w:rPr>
        <w:t>CBDC</w:t>
      </w:r>
      <w:r w:rsidRPr="00BB11D1">
        <w:rPr>
          <w:rFonts w:asciiTheme="majorBidi" w:hAnsiTheme="majorBidi" w:cstheme="majorBidi"/>
          <w:rtl/>
          <w:lang w:bidi="ar-SA"/>
        </w:rPr>
        <w:t xml:space="preserve">. تقترح الورقة نظامًا للحسابات المالية يتم معايرته في منطقة اليورو يوضح آليات وآثار </w:t>
      </w:r>
      <w:r w:rsidRPr="00BB11D1">
        <w:rPr>
          <w:rFonts w:asciiTheme="majorBidi" w:hAnsiTheme="majorBidi" w:cstheme="majorBidi"/>
        </w:rPr>
        <w:t>CBDC</w:t>
      </w:r>
      <w:r w:rsidRPr="00BB11D1">
        <w:rPr>
          <w:rFonts w:asciiTheme="majorBidi" w:hAnsiTheme="majorBidi" w:cstheme="majorBidi"/>
          <w:rtl/>
          <w:lang w:bidi="ar-SA"/>
        </w:rPr>
        <w:t xml:space="preserve"> ويسمح بعرض تدفقات الأموال.</w:t>
      </w:r>
    </w:p>
    <w:p w:rsidR="006A2441" w:rsidRPr="00BB11D1" w:rsidRDefault="006A2441" w:rsidP="00764D9B">
      <w:pPr>
        <w:bidi/>
        <w:spacing w:line="480" w:lineRule="auto"/>
        <w:jc w:val="both"/>
        <w:rPr>
          <w:rFonts w:asciiTheme="majorBidi" w:hAnsiTheme="majorBidi" w:cstheme="majorBidi"/>
          <w:lang w:bidi="ar-SA"/>
        </w:rPr>
      </w:pPr>
      <w:r w:rsidRPr="00BB11D1">
        <w:rPr>
          <w:rFonts w:asciiTheme="majorBidi" w:hAnsiTheme="majorBidi" w:cstheme="majorBidi"/>
          <w:rtl/>
          <w:lang w:bidi="ar-SA"/>
        </w:rPr>
        <w:t xml:space="preserve">يناقش القسم 2 بمزيد من التفصيل ما يعتبره البعض المشكلة الرئيسية مع </w:t>
      </w:r>
      <w:r w:rsidRPr="00BB11D1">
        <w:rPr>
          <w:rFonts w:asciiTheme="majorBidi" w:hAnsiTheme="majorBidi" w:cstheme="majorBidi"/>
        </w:rPr>
        <w:t>CBDC</w:t>
      </w:r>
      <w:r w:rsidRPr="00BB11D1">
        <w:rPr>
          <w:rFonts w:asciiTheme="majorBidi" w:hAnsiTheme="majorBidi" w:cstheme="majorBidi"/>
          <w:rtl/>
          <w:lang w:bidi="ar-SA"/>
        </w:rPr>
        <w:t xml:space="preserve"> ، أي أن </w:t>
      </w:r>
      <w:r w:rsidRPr="00BB11D1">
        <w:rPr>
          <w:rFonts w:asciiTheme="majorBidi" w:hAnsiTheme="majorBidi" w:cstheme="majorBidi"/>
        </w:rPr>
        <w:t>CBDC</w:t>
      </w:r>
      <w:r w:rsidRPr="00BB11D1">
        <w:rPr>
          <w:rFonts w:asciiTheme="majorBidi" w:hAnsiTheme="majorBidi" w:cstheme="majorBidi"/>
          <w:rtl/>
          <w:lang w:bidi="ar-SA"/>
        </w:rPr>
        <w:t xml:space="preserve"> ، إذا كان ناجحًا للغاية ، سوف يتعارض بطريقة هيكلية مع النظام المصرفي (كونه ما يعتبره دعاة الأموال السيادية يعتبر تحسينً</w:t>
      </w:r>
      <w:r w:rsidR="00764D9B">
        <w:rPr>
          <w:rFonts w:asciiTheme="majorBidi" w:hAnsiTheme="majorBidi" w:cstheme="majorBidi"/>
          <w:rtl/>
          <w:lang w:bidi="ar-SA"/>
        </w:rPr>
        <w:t>ا كبيرًا للنظام المالي والمجتمع</w:t>
      </w:r>
      <w:r w:rsidRPr="00BB11D1">
        <w:rPr>
          <w:rFonts w:asciiTheme="majorBidi" w:hAnsiTheme="majorBidi" w:cstheme="majorBidi"/>
          <w:rtl/>
          <w:lang w:bidi="ar-SA"/>
        </w:rPr>
        <w:t xml:space="preserve">). تم تقديم إطار حسابات مالية يوضح تأثير </w:t>
      </w:r>
      <w:r w:rsidR="00BB11D1">
        <w:rPr>
          <w:rFonts w:asciiTheme="majorBidi" w:hAnsiTheme="majorBidi" w:cstheme="majorBidi"/>
          <w:lang w:bidi="ar-SA"/>
        </w:rPr>
        <w:t>CBDC</w:t>
      </w:r>
      <w:r w:rsidRPr="00BB11D1">
        <w:rPr>
          <w:rFonts w:asciiTheme="majorBidi" w:hAnsiTheme="majorBidi" w:cstheme="majorBidi"/>
          <w:rtl/>
          <w:lang w:bidi="ar-SA"/>
        </w:rPr>
        <w:t xml:space="preserve"> على الهيكل المالي. يناقش القسم 3 الخطر الثاني المرتبط بـ </w:t>
      </w:r>
      <w:r w:rsidRPr="00BB11D1">
        <w:rPr>
          <w:rFonts w:asciiTheme="majorBidi" w:hAnsiTheme="majorBidi" w:cstheme="majorBidi"/>
        </w:rPr>
        <w:t>CBDC</w:t>
      </w:r>
      <w:r w:rsidRPr="00BB11D1">
        <w:rPr>
          <w:rFonts w:asciiTheme="majorBidi" w:hAnsiTheme="majorBidi" w:cstheme="majorBidi"/>
          <w:rtl/>
          <w:lang w:bidi="ar-SA"/>
        </w:rPr>
        <w:t xml:space="preserve"> ، أي أنه سيسهل نفاد ودائع البنوك في أموال البنك المركزي في حالات الأزمات المالية (على سبيل المثال لا الهيكلي ، ولكن قلل "الوساطة الدورية"). يناقش القسم 4 الحلول التي تم اقتراحها في الأدبيات لهاتين المشكلتين ، مثل الحد الأقصى لمقتنيات </w:t>
      </w:r>
      <w:r w:rsidRPr="00BB11D1">
        <w:rPr>
          <w:rFonts w:asciiTheme="majorBidi" w:hAnsiTheme="majorBidi" w:cstheme="majorBidi"/>
        </w:rPr>
        <w:t>CBDC</w:t>
      </w:r>
      <w:r w:rsidRPr="00BB11D1">
        <w:rPr>
          <w:rFonts w:asciiTheme="majorBidi" w:hAnsiTheme="majorBidi" w:cstheme="majorBidi"/>
          <w:rtl/>
          <w:lang w:bidi="ar-SA"/>
        </w:rPr>
        <w:t xml:space="preserve"> ونهج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 وهو النهج الأكثر تفصيلا لتبديد تلك المخاوف. يقترح القسم 5 منهجًا بديلاً يمكن تبسيطه ، حيث يتم التحكم في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خلال نظام المكافآت المتدرج. سيسمح ذلك بالتحكم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عند مستوى يجعل حجم الميزانية العمومية للبنك المركزي ثابتًا على نطاق واسع ويقلل بشكل كبير القيود السياسية المفروضة على 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من خلال أسعار فائدة منخفضة أو سلبية. يحلل القسم 6 إلى أي مدى السيطرة على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شأنها أن تنطوي في الوقت نفسه على حيادية </w:t>
      </w:r>
      <w:r w:rsidRPr="00BB11D1">
        <w:rPr>
          <w:rFonts w:asciiTheme="majorBidi" w:hAnsiTheme="majorBidi" w:cstheme="majorBidi"/>
        </w:rPr>
        <w:t>CBDC</w:t>
      </w:r>
      <w:r w:rsidRPr="00BB11D1">
        <w:rPr>
          <w:rFonts w:asciiTheme="majorBidi" w:hAnsiTheme="majorBidi" w:cstheme="majorBidi"/>
          <w:rtl/>
          <w:lang w:bidi="ar-SA"/>
        </w:rPr>
        <w:t xml:space="preserve"> للنظام المالي. يقارن القسم 7 </w:t>
      </w:r>
      <w:r w:rsidRPr="00BB11D1">
        <w:rPr>
          <w:rFonts w:asciiTheme="majorBidi" w:hAnsiTheme="majorBidi" w:cstheme="majorBidi"/>
        </w:rPr>
        <w:t>CBDC</w:t>
      </w:r>
      <w:r w:rsidRPr="00BB11D1">
        <w:rPr>
          <w:rFonts w:asciiTheme="majorBidi" w:hAnsiTheme="majorBidi" w:cstheme="majorBidi"/>
          <w:rtl/>
          <w:lang w:bidi="ar-SA"/>
        </w:rPr>
        <w:t xml:space="preserve"> من حيث آثار النظام المالي على حلول الأموال الرقمية الخاصة ، مثل الأصول </w:t>
      </w:r>
      <w:r w:rsidRPr="00BB11D1">
        <w:rPr>
          <w:rFonts w:asciiTheme="majorBidi" w:hAnsiTheme="majorBidi" w:cstheme="majorBidi"/>
          <w:rtl/>
          <w:lang w:bidi="ar-SA"/>
        </w:rPr>
        <w:lastRenderedPageBreak/>
        <w:t>المشفرة ، و "العملة المصرفية الضيقة الرقمية" (</w:t>
      </w:r>
      <w:r w:rsidRPr="00BB11D1">
        <w:rPr>
          <w:rFonts w:asciiTheme="majorBidi" w:hAnsiTheme="majorBidi" w:cstheme="majorBidi"/>
        </w:rPr>
        <w:t>NBDC</w:t>
      </w:r>
      <w:r w:rsidRPr="00BB11D1">
        <w:rPr>
          <w:rFonts w:asciiTheme="majorBidi" w:hAnsiTheme="majorBidi" w:cstheme="majorBidi"/>
          <w:rtl/>
          <w:lang w:bidi="ar-SA"/>
        </w:rPr>
        <w:t xml:space="preserve">) ، و </w:t>
      </w:r>
      <w:r w:rsidRPr="00BB11D1">
        <w:rPr>
          <w:rFonts w:asciiTheme="majorBidi" w:hAnsiTheme="majorBidi" w:cstheme="majorBidi"/>
        </w:rPr>
        <w:t>Stablecoins</w:t>
      </w:r>
      <w:r w:rsidRPr="00BB11D1">
        <w:rPr>
          <w:rFonts w:asciiTheme="majorBidi" w:hAnsiTheme="majorBidi" w:cstheme="majorBidi"/>
          <w:rtl/>
          <w:lang w:bidi="ar-SA"/>
        </w:rPr>
        <w:t xml:space="preserve">. ليوضح الملحق آليات الحساب المالي في حالة استخدام </w:t>
      </w:r>
      <w:r w:rsidRPr="00BB11D1">
        <w:rPr>
          <w:rFonts w:asciiTheme="majorBidi" w:hAnsiTheme="majorBidi" w:cstheme="majorBidi"/>
        </w:rPr>
        <w:t>CBDC</w:t>
      </w:r>
      <w:r w:rsidRPr="00BB11D1">
        <w:rPr>
          <w:rFonts w:asciiTheme="majorBidi" w:hAnsiTheme="majorBidi" w:cstheme="majorBidi"/>
          <w:rtl/>
          <w:lang w:bidi="ar-SA"/>
        </w:rPr>
        <w:t xml:space="preserve"> أو </w:t>
      </w:r>
      <w:r w:rsidRPr="00BB11D1">
        <w:rPr>
          <w:rFonts w:asciiTheme="majorBidi" w:hAnsiTheme="majorBidi" w:cstheme="majorBidi"/>
        </w:rPr>
        <w:t>Stablecoins</w:t>
      </w:r>
      <w:r w:rsidRPr="00BB11D1">
        <w:rPr>
          <w:rFonts w:asciiTheme="majorBidi" w:hAnsiTheme="majorBidi" w:cstheme="majorBidi"/>
          <w:rtl/>
          <w:lang w:bidi="ar-SA"/>
        </w:rPr>
        <w:t xml:space="preserve"> الصادرة (أو المستثمرة) في بلد واحد في بلدان أخرى.</w:t>
      </w:r>
    </w:p>
    <w:p w:rsidR="000255A4" w:rsidRPr="00BB11D1" w:rsidRDefault="006A2441" w:rsidP="00764D9B">
      <w:pPr>
        <w:bidi/>
        <w:spacing w:line="480" w:lineRule="auto"/>
        <w:jc w:val="mediumKashida"/>
        <w:rPr>
          <w:rFonts w:asciiTheme="majorBidi" w:hAnsiTheme="majorBidi" w:cstheme="majorBidi"/>
        </w:rPr>
        <w:sectPr w:rsidR="000255A4" w:rsidRPr="00BB11D1" w:rsidSect="00BB11D1">
          <w:pgSz w:w="11910" w:h="16840"/>
          <w:pgMar w:top="1440" w:right="1440" w:bottom="1440" w:left="1440" w:header="0" w:footer="523" w:gutter="0"/>
          <w:cols w:space="720"/>
          <w:docGrid w:linePitch="299"/>
        </w:sectPr>
      </w:pPr>
      <w:r w:rsidRPr="00BB11D1">
        <w:rPr>
          <w:rFonts w:asciiTheme="majorBidi" w:hAnsiTheme="majorBidi" w:cstheme="majorBidi"/>
          <w:rtl/>
          <w:lang w:bidi="ar-SA"/>
        </w:rPr>
        <w:t xml:space="preserve">يخلص القسم 8 ، مع التأكيد بشكل خاص على أن التحكم في كمية الأغراض العامة ، فإن </w:t>
      </w:r>
      <w:r w:rsidR="00BB11D1">
        <w:rPr>
          <w:rFonts w:asciiTheme="majorBidi" w:hAnsiTheme="majorBidi" w:cstheme="majorBidi"/>
          <w:lang w:bidi="ar-SA"/>
        </w:rPr>
        <w:t>CBDC</w:t>
      </w:r>
      <w:r w:rsidRPr="00BB11D1">
        <w:rPr>
          <w:rFonts w:asciiTheme="majorBidi" w:hAnsiTheme="majorBidi" w:cstheme="majorBidi"/>
          <w:rtl/>
          <w:lang w:bidi="ar-SA"/>
        </w:rPr>
        <w:t xml:space="preserve"> القائمة على الودائع ليست صعبة كما اقترحت المؤلفات. إن الحل البسيط إلى حد ما - الأجر المتدرج - يمكن أن يحل مشكلة التحكم الكمي وبالتالي عدم التوسط غير الضروري للبنك. في نفس الوقت ، يسمح هذا الحل للبنك المركزي بالالتزام بعدم تطبيق أسعار سلبية على مبلغ </w:t>
      </w:r>
      <w:r w:rsidRPr="00BB11D1">
        <w:rPr>
          <w:rFonts w:asciiTheme="majorBidi" w:hAnsiTheme="majorBidi" w:cstheme="majorBidi"/>
        </w:rPr>
        <w:t>CBDC</w:t>
      </w:r>
      <w:r w:rsidRPr="00BB11D1">
        <w:rPr>
          <w:rFonts w:asciiTheme="majorBidi" w:hAnsiTheme="majorBidi" w:cstheme="majorBidi"/>
          <w:rtl/>
          <w:lang w:bidi="ar-SA"/>
        </w:rPr>
        <w:t xml:space="preserve"> يبدو كافيًا للسماح لـ </w:t>
      </w:r>
      <w:r w:rsidRPr="00BB11D1">
        <w:rPr>
          <w:rFonts w:asciiTheme="majorBidi" w:hAnsiTheme="majorBidi" w:cstheme="majorBidi"/>
        </w:rPr>
        <w:t>CBDC</w:t>
      </w:r>
      <w:r w:rsidRPr="00BB11D1">
        <w:rPr>
          <w:rFonts w:asciiTheme="majorBidi" w:hAnsiTheme="majorBidi" w:cstheme="majorBidi"/>
          <w:rtl/>
          <w:lang w:bidi="ar-SA"/>
        </w:rPr>
        <w:t xml:space="preserve"> بلعب دور رئيسي في المدفوعات. من المسلم به أن حل مشكلة مخاطر التوسط البنكي الهيكلي والدوري لا يؤدي بالضرورة إلى استنتاج أن هناك حالة عمل عالمية كافية ل</w:t>
      </w:r>
      <w:r w:rsidR="00BB11D1">
        <w:rPr>
          <w:rFonts w:asciiTheme="majorBidi" w:hAnsiTheme="majorBidi" w:cstheme="majorBidi"/>
          <w:lang w:bidi="ar-SA"/>
        </w:rPr>
        <w:t>CBDC</w:t>
      </w:r>
      <w:r w:rsidRPr="00BB11D1">
        <w:rPr>
          <w:rFonts w:asciiTheme="majorBidi" w:hAnsiTheme="majorBidi" w:cstheme="majorBidi"/>
          <w:rtl/>
          <w:lang w:bidi="ar-SA"/>
        </w:rPr>
        <w:t xml:space="preserve">. تعتمد مزايا اعتماد </w:t>
      </w:r>
      <w:r w:rsidRPr="00BB11D1">
        <w:rPr>
          <w:rFonts w:asciiTheme="majorBidi" w:hAnsiTheme="majorBidi" w:cstheme="majorBidi"/>
        </w:rPr>
        <w:t>CBDC</w:t>
      </w:r>
      <w:r w:rsidRPr="00BB11D1">
        <w:rPr>
          <w:rFonts w:asciiTheme="majorBidi" w:hAnsiTheme="majorBidi" w:cstheme="majorBidi"/>
          <w:rtl/>
          <w:lang w:bidi="ar-SA"/>
        </w:rPr>
        <w:t xml:space="preserve"> على تفضيلات مستخدمي الأموال وبدائل الدفع المتاحة.</w:t>
      </w:r>
    </w:p>
    <w:p w:rsidR="000255A4" w:rsidRPr="00BB11D1" w:rsidRDefault="000255A4" w:rsidP="006A2441">
      <w:pPr>
        <w:pStyle w:val="BodyText"/>
        <w:bidi/>
        <w:spacing w:before="9"/>
        <w:rPr>
          <w:rFonts w:asciiTheme="majorBidi" w:hAnsiTheme="majorBidi" w:cstheme="majorBidi"/>
          <w:sz w:val="23"/>
        </w:rPr>
      </w:pPr>
    </w:p>
    <w:p w:rsidR="000255A4" w:rsidRPr="00BB11D1" w:rsidRDefault="009C2E3C" w:rsidP="006A2441">
      <w:pPr>
        <w:pStyle w:val="Heading2"/>
        <w:numPr>
          <w:ilvl w:val="0"/>
          <w:numId w:val="13"/>
        </w:numPr>
        <w:tabs>
          <w:tab w:val="left" w:pos="529"/>
        </w:tabs>
        <w:bidi/>
        <w:ind w:hanging="280"/>
        <w:rPr>
          <w:rFonts w:asciiTheme="majorBidi" w:hAnsiTheme="majorBidi" w:cstheme="majorBidi"/>
        </w:rPr>
      </w:pPr>
      <w:bookmarkStart w:id="3" w:name="_bookmark1"/>
      <w:bookmarkStart w:id="4" w:name="_bookmark0"/>
      <w:bookmarkStart w:id="5" w:name="1_Introduction"/>
      <w:bookmarkEnd w:id="3"/>
      <w:bookmarkEnd w:id="4"/>
      <w:bookmarkEnd w:id="5"/>
      <w:r w:rsidRPr="00BB11D1">
        <w:rPr>
          <w:rFonts w:asciiTheme="majorBidi" w:hAnsiTheme="majorBidi" w:cstheme="majorBidi"/>
          <w:rtl/>
          <w:lang w:bidi="ar-SA"/>
        </w:rPr>
        <w:t>المقدمة</w:t>
      </w:r>
    </w:p>
    <w:p w:rsidR="006A2441" w:rsidRPr="00BB11D1" w:rsidRDefault="006A2441" w:rsidP="006A2441">
      <w:pPr>
        <w:pStyle w:val="Heading2"/>
        <w:tabs>
          <w:tab w:val="left" w:pos="529"/>
        </w:tabs>
        <w:bidi/>
        <w:ind w:firstLine="0"/>
        <w:rPr>
          <w:rFonts w:asciiTheme="majorBidi" w:hAnsiTheme="majorBidi" w:cstheme="majorBidi"/>
        </w:rPr>
      </w:pPr>
    </w:p>
    <w:p w:rsidR="006A2441"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بدأ كل من الأكاديميين والبنوك المركزية مؤخرًا في تحليل مزايا ومخاطر إدخال عملات البنك المركزي الرقمية (</w:t>
      </w:r>
      <w:r w:rsidRPr="00BB11D1">
        <w:rPr>
          <w:rFonts w:asciiTheme="majorBidi" w:hAnsiTheme="majorBidi" w:cstheme="majorBidi"/>
        </w:rPr>
        <w:t>CBDC</w:t>
      </w:r>
      <w:r w:rsidRPr="00BB11D1">
        <w:rPr>
          <w:rFonts w:asciiTheme="majorBidi" w:hAnsiTheme="majorBidi" w:cstheme="majorBidi"/>
          <w:rtl/>
          <w:lang w:bidi="ar-SA"/>
        </w:rPr>
        <w:t>) ، أي شكل من أشكال أموال البنك المركزي التي يتم تداولها من خلال الوسائل الإلكترونية ويمكن للجمهور العريض 1</w:t>
      </w:r>
      <w:r w:rsidR="00BB11D1" w:rsidRPr="00BB11D1">
        <w:rPr>
          <w:rStyle w:val="FootnoteReference"/>
          <w:rFonts w:asciiTheme="majorBidi" w:hAnsiTheme="majorBidi" w:cstheme="majorBidi"/>
          <w:rtl/>
          <w:lang w:bidi="ar-SA"/>
        </w:rPr>
        <w:footnoteReference w:id="1"/>
      </w:r>
      <w:r w:rsidRPr="00BB11D1">
        <w:rPr>
          <w:rFonts w:asciiTheme="majorBidi" w:hAnsiTheme="majorBidi" w:cstheme="majorBidi"/>
          <w:rtl/>
          <w:lang w:bidi="ar-SA"/>
        </w:rPr>
        <w:t xml:space="preserve"> الوصول إليها. يمكن اعتبار </w:t>
      </w:r>
      <w:r w:rsidRPr="00BB11D1">
        <w:rPr>
          <w:rFonts w:asciiTheme="majorBidi" w:hAnsiTheme="majorBidi" w:cstheme="majorBidi"/>
        </w:rPr>
        <w:t>CBDC</w:t>
      </w:r>
      <w:r w:rsidRPr="00BB11D1">
        <w:rPr>
          <w:rFonts w:asciiTheme="majorBidi" w:hAnsiTheme="majorBidi" w:cstheme="majorBidi"/>
          <w:rtl/>
          <w:lang w:bidi="ar-SA"/>
        </w:rPr>
        <w:t xml:space="preserve"> شكلاً ثالثًا من الأموال الأساسية ، بجانب (1) الودائع الليلية في البنك المركزي ، والمتاحة حاليًا فقط للبنوك والشركات المالية غير المصرفية الخاصة وبعض المودعين في القطاع الرسمي ؛ (2) الأوراق النقدية ، كونها متاحة للجميع ولكن يمكن القول أنها ذات كفاءة محدودة والاعتماد على التكنولوجيا القديمة. تميز بعض المنشورات حالة </w:t>
      </w:r>
      <w:r w:rsidRPr="00BB11D1">
        <w:rPr>
          <w:rFonts w:asciiTheme="majorBidi" w:hAnsiTheme="majorBidi" w:cstheme="majorBidi"/>
        </w:rPr>
        <w:t>CBDC</w:t>
      </w:r>
      <w:r w:rsidRPr="00BB11D1">
        <w:rPr>
          <w:rFonts w:asciiTheme="majorBidi" w:hAnsiTheme="majorBidi" w:cstheme="majorBidi"/>
          <w:rtl/>
          <w:lang w:bidi="ar-SA"/>
        </w:rPr>
        <w:t xml:space="preserve"> "بالجملة" و "للأغراض العامة" ، فالأولى لا يمكن الوصول إليها إلا لشركات معينة ، في حين أن الأخيرة تصل إلى جميع الأسر. تناقش هذه الورقة </w:t>
      </w:r>
      <w:r w:rsidRPr="00BB11D1">
        <w:rPr>
          <w:rFonts w:asciiTheme="majorBidi" w:hAnsiTheme="majorBidi" w:cstheme="majorBidi"/>
        </w:rPr>
        <w:t>CBDC</w:t>
      </w:r>
      <w:r w:rsidRPr="00BB11D1">
        <w:rPr>
          <w:rFonts w:asciiTheme="majorBidi" w:hAnsiTheme="majorBidi" w:cstheme="majorBidi"/>
          <w:rtl/>
          <w:lang w:bidi="ar-SA"/>
        </w:rPr>
        <w:t xml:space="preserve"> للأغراض العامة ، حيث إن </w:t>
      </w:r>
      <w:r w:rsidRPr="00BB11D1">
        <w:rPr>
          <w:rFonts w:asciiTheme="majorBidi" w:hAnsiTheme="majorBidi" w:cstheme="majorBidi"/>
        </w:rPr>
        <w:t>CBDC</w:t>
      </w:r>
      <w:r w:rsidRPr="00BB11D1">
        <w:rPr>
          <w:rFonts w:asciiTheme="majorBidi" w:hAnsiTheme="majorBidi" w:cstheme="majorBidi"/>
          <w:rtl/>
          <w:lang w:bidi="ar-SA"/>
        </w:rPr>
        <w:t xml:space="preserve"> بالجملة ذات نطاق محدود ولا تشكك حقًا في الهيكل الثابت للقاعدة النقدية. يمكن تنفيذ </w:t>
      </w:r>
      <w:r w:rsidRPr="00BB11D1">
        <w:rPr>
          <w:rFonts w:asciiTheme="majorBidi" w:hAnsiTheme="majorBidi" w:cstheme="majorBidi"/>
        </w:rPr>
        <w:t>CBDC</w:t>
      </w:r>
      <w:r w:rsidRPr="00BB11D1">
        <w:rPr>
          <w:rFonts w:asciiTheme="majorBidi" w:hAnsiTheme="majorBidi" w:cstheme="majorBidi"/>
          <w:rtl/>
          <w:lang w:bidi="ar-SA"/>
        </w:rPr>
        <w:t xml:space="preserve"> للأغراض العامة بصيغتين تقنيتين بديلتين:</w:t>
      </w:r>
    </w:p>
    <w:p w:rsidR="006A2441"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(1) يمكن تقديم </w:t>
      </w:r>
      <w:r w:rsidRPr="00BB11D1">
        <w:rPr>
          <w:rFonts w:asciiTheme="majorBidi" w:hAnsiTheme="majorBidi" w:cstheme="majorBidi"/>
        </w:rPr>
        <w:t>CBDC</w:t>
      </w:r>
      <w:r w:rsidRPr="00BB11D1">
        <w:rPr>
          <w:rFonts w:asciiTheme="majorBidi" w:hAnsiTheme="majorBidi" w:cstheme="majorBidi"/>
          <w:rtl/>
          <w:lang w:bidi="ar-SA"/>
        </w:rPr>
        <w:t xml:space="preserve"> في شكل حسابات ودائع لدى البنك المركزي لجميع الأسر والشركات. من وجهة نظر تكنولوجية ، لن يكون هذا أمرًا مبتكرًا ، ولكنه مجرد مسألة زيادة عدد حسابات الودائع المعروضة حاليًا. على الرغم من أ</w:t>
      </w:r>
      <w:r w:rsidR="00BB11D1">
        <w:rPr>
          <w:rFonts w:asciiTheme="majorBidi" w:hAnsiTheme="majorBidi" w:cstheme="majorBidi"/>
          <w:rtl/>
          <w:lang w:bidi="ar-SA"/>
        </w:rPr>
        <w:t>ن التوسع ليس مبتكرًا في حد ذاته</w:t>
      </w:r>
      <w:r w:rsidRPr="00BB11D1">
        <w:rPr>
          <w:rFonts w:asciiTheme="majorBidi" w:hAnsiTheme="majorBidi" w:cstheme="majorBidi"/>
          <w:rtl/>
          <w:lang w:bidi="ar-SA"/>
        </w:rPr>
        <w:t xml:space="preserve">، إلا أنه قد يمثل تحديًا تقنيًا. على سبيل المثال ، في حالة النظام الأوروبي ، يمكن أن يرتفع عدد الحسابات من حوالي 10،000 إلى عدد يتراوح بين 300 و 500 مليون (جميع السكان الرئيسيين المسجلين في منطقة اليورو ، بالإضافة إلى الشركات التي تفي ببعض الوضع القانوني و / أو بعض المعايير الدنيا في الدفع أو النشاط الاقتصادي). يمكن تعيين الخدمة الفعلية والصيانة الفنية للحسابات إلى واحد أو أكثر من مزودي الطرف الثالث ، لضمان الكفاءة وتجنب تولي القطاع العام (المفترض أنه أقل كفاءة إلى حد ما) مهام أكثر مما هو مطلوب. يمكن للحسابات (ولكن ليس بالضرورة) أن توفر وظيفة الوصول والدفع المعتادة لحسابات الودائع المرئية لدى البنوك ، بما في ذلك الحلول المستندة إلى الإنترنت والتطبيقات. ستوفر البنوك التجارية الخدمة لتبادل الودائع المصرفية مقابل </w:t>
      </w:r>
      <w:r w:rsidRPr="00BB11D1">
        <w:rPr>
          <w:rFonts w:asciiTheme="majorBidi" w:hAnsiTheme="majorBidi" w:cstheme="majorBidi"/>
        </w:rPr>
        <w:t>CBDC</w:t>
      </w:r>
      <w:r w:rsidRPr="00BB11D1">
        <w:rPr>
          <w:rFonts w:asciiTheme="majorBidi" w:hAnsiTheme="majorBidi" w:cstheme="majorBidi"/>
          <w:rtl/>
          <w:lang w:bidi="ar-SA"/>
        </w:rPr>
        <w:t xml:space="preserve"> والأوراق النقدية ، مع فرض رسوم تنافسية (على غرار رسوم أجهزة الصراف الآلي اليوم).</w:t>
      </w:r>
    </w:p>
    <w:p w:rsidR="006A2441"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(2) بدلاً من ذلك ، يمكن للبنك المركزي أن يقدم عملة رمزية رقمية يتم تداولها بطريقة لا مركزية بدون دفتر أستاذ مركزي. يرتبط هذا غالبًا بعدم الكشف عن هويته ، بمعنى أن البنك المركزي لن يعرف من الذي يحمل حاليًا الرموز المميزة الصادرة (كما في حالة الأوراق النقدية). </w:t>
      </w:r>
      <w:proofErr w:type="gramStart"/>
      <w:r w:rsidRPr="00BB11D1">
        <w:rPr>
          <w:rFonts w:asciiTheme="majorBidi" w:hAnsiTheme="majorBidi" w:cstheme="majorBidi"/>
        </w:rPr>
        <w:t>ECB (2019b</w:t>
      </w:r>
      <w:r w:rsidRPr="00BB11D1">
        <w:rPr>
          <w:rFonts w:asciiTheme="majorBidi" w:hAnsiTheme="majorBidi" w:cstheme="majorBidi"/>
          <w:rtl/>
          <w:lang w:bidi="ar-SA"/>
        </w:rPr>
        <w:t xml:space="preserve">) تصميم </w:t>
      </w:r>
      <w:r w:rsidRPr="00BB11D1">
        <w:rPr>
          <w:rFonts w:asciiTheme="majorBidi" w:hAnsiTheme="majorBidi" w:cstheme="majorBidi"/>
        </w:rPr>
        <w:t>CBDC</w:t>
      </w:r>
      <w:r w:rsidRPr="00BB11D1">
        <w:rPr>
          <w:rFonts w:asciiTheme="majorBidi" w:hAnsiTheme="majorBidi" w:cstheme="majorBidi"/>
          <w:rtl/>
          <w:lang w:bidi="ar-SA"/>
        </w:rPr>
        <w:t xml:space="preserve"> شبه مجهول القائم على أساس </w:t>
      </w:r>
      <w:r w:rsidRPr="00BB11D1">
        <w:rPr>
          <w:rFonts w:asciiTheme="majorBidi" w:hAnsiTheme="majorBidi" w:cstheme="majorBidi"/>
        </w:rPr>
        <w:t>DLT</w:t>
      </w:r>
      <w:r w:rsidRPr="00BB11D1">
        <w:rPr>
          <w:rFonts w:asciiTheme="majorBidi" w:hAnsiTheme="majorBidi" w:cstheme="majorBidi"/>
          <w:rtl/>
          <w:lang w:bidi="ar-SA"/>
        </w:rPr>
        <w:t xml:space="preserve"> وتقديم دليل على المفهوم.</w:t>
      </w:r>
      <w:proofErr w:type="gramEnd"/>
    </w:p>
    <w:p w:rsidR="000255A4" w:rsidRPr="00BB11D1" w:rsidRDefault="006A2441" w:rsidP="00BB11D1">
      <w:pPr>
        <w:pStyle w:val="BodyText"/>
        <w:bidi/>
        <w:spacing w:line="480" w:lineRule="auto"/>
        <w:jc w:val="both"/>
        <w:rPr>
          <w:rFonts w:asciiTheme="majorBidi" w:hAnsiTheme="majorBidi" w:cstheme="majorBidi"/>
          <w:sz w:val="20"/>
        </w:rPr>
      </w:pPr>
      <w:r w:rsidRPr="00BB11D1">
        <w:rPr>
          <w:rFonts w:asciiTheme="majorBidi" w:hAnsiTheme="majorBidi" w:cstheme="majorBidi"/>
          <w:rtl/>
          <w:lang w:bidi="ar-SA"/>
        </w:rPr>
        <w:t xml:space="preserve">يبدو </w:t>
      </w:r>
      <w:r w:rsidRPr="00BB11D1">
        <w:rPr>
          <w:rFonts w:asciiTheme="majorBidi" w:hAnsiTheme="majorBidi" w:cstheme="majorBidi"/>
        </w:rPr>
        <w:t>CBDC</w:t>
      </w:r>
      <w:r w:rsidRPr="00BB11D1">
        <w:rPr>
          <w:rFonts w:asciiTheme="majorBidi" w:hAnsiTheme="majorBidi" w:cstheme="majorBidi"/>
          <w:rtl/>
          <w:lang w:bidi="ar-SA"/>
        </w:rPr>
        <w:t xml:space="preserve"> القائم على الإيداع أكثر بساطة ويمكن أن يحمي بشكل أفضل من غسل الأموال والاستخدامات غير المشروعة الأخرى (</w:t>
      </w:r>
      <w:r w:rsidRPr="00BB11D1">
        <w:rPr>
          <w:rFonts w:asciiTheme="majorBidi" w:hAnsiTheme="majorBidi" w:cstheme="majorBidi"/>
        </w:rPr>
        <w:t>Berentsen and Schär</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يبدو أيضًا أنه يسمح بمستوى عالٍ من الأمان والتحكم في المبلغ المتداول للأموال الأساسية للـ </w:t>
      </w:r>
      <w:r w:rsidRPr="00BB11D1">
        <w:rPr>
          <w:rFonts w:asciiTheme="majorBidi" w:hAnsiTheme="majorBidi" w:cstheme="majorBidi"/>
        </w:rPr>
        <w:lastRenderedPageBreak/>
        <w:t>CBDC</w:t>
      </w:r>
      <w:r w:rsidRPr="00BB11D1">
        <w:rPr>
          <w:rFonts w:asciiTheme="majorBidi" w:hAnsiTheme="majorBidi" w:cstheme="majorBidi"/>
          <w:rtl/>
          <w:lang w:bidi="ar-SA"/>
        </w:rPr>
        <w:t xml:space="preserve"> ، دون أن يتطلب ذلك حلولًا معقدة و / أو مكثفة حسابيًا</w:t>
      </w:r>
      <w:r w:rsidR="00BB11D1" w:rsidRPr="00BB11D1">
        <w:rPr>
          <w:rStyle w:val="FootnoteReference"/>
          <w:rFonts w:asciiTheme="majorBidi" w:hAnsiTheme="majorBidi" w:cstheme="majorBidi"/>
          <w:rtl/>
          <w:lang w:bidi="ar-SA"/>
        </w:rPr>
        <w:footnoteReference w:id="2"/>
      </w:r>
      <w:r w:rsidRPr="00BB11D1">
        <w:rPr>
          <w:rFonts w:asciiTheme="majorBidi" w:hAnsiTheme="majorBidi" w:cstheme="majorBidi"/>
          <w:rtl/>
          <w:lang w:bidi="ar-SA"/>
        </w:rPr>
        <w:t xml:space="preserve">. قد يجادل المرء بأنه إذا لم تعد الأوراق النقدية مقبولة بشكل عام في مدفوعات التجزئة (افترض أنه لا يريد المستهلكون ولا تجار التجزئة الاستمرار في استخدام الأوراق النقدية) ، فقد يكون من الأفضل أن يكون لدى </w:t>
      </w:r>
      <w:r w:rsidRPr="00BB11D1">
        <w:rPr>
          <w:rFonts w:asciiTheme="majorBidi" w:hAnsiTheme="majorBidi" w:cstheme="majorBidi"/>
        </w:rPr>
        <w:t>CBDC</w:t>
      </w:r>
      <w:r w:rsidRPr="00BB11D1">
        <w:rPr>
          <w:rFonts w:asciiTheme="majorBidi" w:hAnsiTheme="majorBidi" w:cstheme="majorBidi"/>
          <w:rtl/>
          <w:lang w:bidi="ar-SA"/>
        </w:rPr>
        <w:t xml:space="preserve"> الرمز المميز لأنه يمكن أن يسمح بالحفاظ على مدفوعات مجهولة (مثل </w:t>
      </w:r>
      <w:r w:rsidRPr="00BB11D1">
        <w:rPr>
          <w:rFonts w:asciiTheme="majorBidi" w:hAnsiTheme="majorBidi" w:cstheme="majorBidi"/>
        </w:rPr>
        <w:t xml:space="preserve">Häring </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 تؤيد بقوة عدم الكشف عن هويتها من المدفوعات). ومع ذلك ، سوف يجادل آخرون بأن الحل الأكثر تناسباً سيتألف من حماية كافي</w:t>
      </w:r>
      <w:r w:rsidR="00BB11D1" w:rsidRPr="00BB11D1">
        <w:rPr>
          <w:rFonts w:asciiTheme="majorBidi" w:hAnsiTheme="majorBidi" w:cstheme="majorBidi"/>
          <w:rtl/>
          <w:lang w:bidi="ar-SA"/>
        </w:rPr>
        <w:t>ة لبيانات المدفوعات الإلكترونية</w:t>
      </w:r>
      <w:r w:rsidR="00BB11D1" w:rsidRPr="00BB11D1">
        <w:rPr>
          <w:rFonts w:asciiTheme="majorBidi" w:hAnsiTheme="majorBidi" w:cstheme="majorBidi"/>
          <w:lang w:bidi="ar-SA"/>
        </w:rPr>
        <w:t>.</w:t>
      </w:r>
      <w:r w:rsidR="008D1AEB">
        <w:rPr>
          <w:rFonts w:asciiTheme="majorBidi" w:hAnsiTheme="majorBidi" w:cstheme="majorBidi"/>
        </w:rPr>
        <w:pict>
          <v:rect id="_x0000_s1033" style="position:absolute;left:0;text-align:left;margin-left:62.5pt;margin-top:15.15pt;width:2in;height:.6pt;z-index:-15727104;mso-wrap-distance-left:0;mso-wrap-distance-right:0;mso-position-horizontal-relative:page;mso-position-vertical-relative:text" fillcolor="black" stroked="f">
            <w10:wrap type="topAndBottom" anchorx="page"/>
          </v:rect>
        </w:pict>
      </w:r>
    </w:p>
    <w:p w:rsidR="000255A4" w:rsidRPr="00BB11D1" w:rsidRDefault="006A2441" w:rsidP="006A2441">
      <w:pPr>
        <w:pStyle w:val="BodyText"/>
        <w:bidi/>
        <w:spacing w:before="4" w:line="480" w:lineRule="auto"/>
        <w:jc w:val="both"/>
        <w:rPr>
          <w:rFonts w:asciiTheme="majorBidi" w:hAnsiTheme="majorBidi" w:cstheme="majorBidi"/>
          <w:lang w:bidi="ar-SA"/>
        </w:rPr>
      </w:pPr>
      <w:r w:rsidRPr="00BB11D1">
        <w:rPr>
          <w:rFonts w:asciiTheme="majorBidi" w:hAnsiTheme="majorBidi" w:cstheme="majorBidi"/>
          <w:rtl/>
          <w:lang w:bidi="ar-SA"/>
        </w:rPr>
        <w:t>تم طرح عدد من المزايا المتنوعة تمامًا ل</w:t>
      </w:r>
      <w:r w:rsidR="00BB11D1">
        <w:rPr>
          <w:rFonts w:asciiTheme="majorBidi" w:hAnsiTheme="majorBidi" w:cstheme="majorBidi"/>
          <w:lang w:bidi="ar-SA"/>
        </w:rPr>
        <w:t>CBDC</w:t>
      </w:r>
      <w:r w:rsidRPr="00BB11D1">
        <w:rPr>
          <w:rFonts w:asciiTheme="majorBidi" w:hAnsiTheme="majorBidi" w:cstheme="majorBidi"/>
          <w:rtl/>
          <w:lang w:bidi="ar-SA"/>
        </w:rPr>
        <w:t xml:space="preserve"> في الأدبيات ، على النحو الموجز في الجدول 1 (انظر أيضًا </w:t>
      </w:r>
      <w:r w:rsidRPr="00BB11D1">
        <w:rPr>
          <w:rFonts w:asciiTheme="majorBidi" w:hAnsiTheme="majorBidi" w:cstheme="majorBidi"/>
        </w:rPr>
        <w:t>Engert and Fung</w:t>
      </w:r>
      <w:r w:rsidRPr="00BB11D1">
        <w:rPr>
          <w:rFonts w:asciiTheme="majorBidi" w:hAnsiTheme="majorBidi" w:cstheme="majorBidi"/>
          <w:rtl/>
          <w:lang w:bidi="ar-SA"/>
        </w:rPr>
        <w:t xml:space="preserve">، </w:t>
      </w:r>
      <w:r w:rsidRPr="00BB11D1">
        <w:rPr>
          <w:rFonts w:asciiTheme="majorBidi" w:hAnsiTheme="majorBidi" w:cstheme="majorBidi"/>
        </w:rPr>
        <w:t>2017</w:t>
      </w:r>
      <w:r w:rsidRPr="00BB11D1">
        <w:rPr>
          <w:rFonts w:asciiTheme="majorBidi" w:hAnsiTheme="majorBidi" w:cstheme="majorBidi"/>
          <w:rtl/>
          <w:lang w:bidi="ar-SA"/>
        </w:rPr>
        <w:t xml:space="preserve">؛ </w:t>
      </w:r>
      <w:r w:rsidRPr="00BB11D1">
        <w:rPr>
          <w:rFonts w:asciiTheme="majorBidi" w:hAnsiTheme="majorBidi" w:cstheme="majorBidi"/>
        </w:rPr>
        <w:t>Mancini-Griffoli et al</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يشرح الجدول أيضًا (في العمود الأخير) في ظل أي شروط أخرى ممكنة ستتحقق الميزة المعنية بالفعل ، أو ستكون قوية بشكل خاص. معظم المزايا المقترحة تخضع للنقاش المثير للجدل في الأدب.</w:t>
      </w:r>
    </w:p>
    <w:p w:rsidR="006A2441" w:rsidRPr="00BB11D1" w:rsidRDefault="006A2441" w:rsidP="006A2441">
      <w:pPr>
        <w:pStyle w:val="BodyText"/>
        <w:bidi/>
        <w:spacing w:before="4"/>
        <w:rPr>
          <w:rFonts w:asciiTheme="majorBidi" w:hAnsiTheme="majorBidi" w:cstheme="majorBidi"/>
          <w:color w:val="FF0000"/>
          <w:sz w:val="23"/>
        </w:rPr>
      </w:pPr>
    </w:p>
    <w:p w:rsidR="000255A4" w:rsidRPr="00BB11D1" w:rsidRDefault="00BB11D1" w:rsidP="006A2441">
      <w:pPr>
        <w:bidi/>
        <w:spacing w:before="1" w:after="14"/>
        <w:ind w:left="249"/>
        <w:jc w:val="both"/>
        <w:rPr>
          <w:rFonts w:asciiTheme="majorBidi" w:hAnsiTheme="majorBidi" w:cstheme="majorBidi"/>
          <w:i/>
        </w:rPr>
      </w:pPr>
      <w:r w:rsidRPr="00BB11D1">
        <w:rPr>
          <w:rFonts w:asciiTheme="majorBidi" w:hAnsiTheme="majorBidi" w:cstheme="majorBidi"/>
          <w:i/>
          <w:iCs/>
          <w:rtl/>
          <w:lang w:bidi="ar-SA"/>
        </w:rPr>
        <w:t>الجدول 1: نظرة عامة على الفوائد التي ارتبط بعضها ب</w:t>
      </w:r>
      <w:r>
        <w:rPr>
          <w:rFonts w:asciiTheme="majorBidi" w:hAnsiTheme="majorBidi" w:cstheme="majorBidi"/>
          <w:i/>
          <w:iCs/>
          <w:lang w:bidi="ar-SA"/>
        </w:rPr>
        <w:t>CBDC</w:t>
      </w:r>
      <w:r w:rsidRPr="00BB11D1">
        <w:rPr>
          <w:rFonts w:asciiTheme="majorBidi" w:hAnsiTheme="majorBidi" w:cstheme="majorBidi"/>
          <w:i/>
          <w:iCs/>
          <w:rtl/>
          <w:lang w:bidi="ar-SA"/>
        </w:rPr>
        <w:t xml:space="preserve"> ، والعوامل أو المتطلبات ذات الصلة</w:t>
      </w:r>
    </w:p>
    <w:tbl>
      <w:tblPr>
        <w:tblW w:w="9512" w:type="dxa"/>
        <w:jc w:val="center"/>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4"/>
        <w:gridCol w:w="4678"/>
      </w:tblGrid>
      <w:tr w:rsidR="00BB11D1" w:rsidRPr="00BB11D1" w:rsidTr="00BB11D1">
        <w:trPr>
          <w:trHeight w:val="244"/>
          <w:jc w:val="center"/>
        </w:trPr>
        <w:tc>
          <w:tcPr>
            <w:tcW w:w="4834" w:type="dxa"/>
            <w:shd w:val="clear" w:color="auto" w:fill="BEBEBE"/>
          </w:tcPr>
          <w:p w:rsidR="00BB11D1" w:rsidRPr="00BB11D1" w:rsidRDefault="00BB11D1" w:rsidP="00451448">
            <w:pPr>
              <w:pStyle w:val="TableParagraph"/>
              <w:spacing w:before="4" w:line="220" w:lineRule="exact"/>
              <w:ind w:left="107"/>
              <w:rPr>
                <w:rFonts w:asciiTheme="majorBidi" w:hAnsiTheme="majorBidi" w:cstheme="majorBidi"/>
                <w:b/>
                <w:sz w:val="20"/>
              </w:rPr>
            </w:pPr>
            <w:r w:rsidRPr="00BB11D1">
              <w:rPr>
                <w:rFonts w:asciiTheme="majorBidi" w:hAnsiTheme="majorBidi" w:cstheme="majorBidi"/>
                <w:b/>
                <w:sz w:val="20"/>
              </w:rPr>
              <w:t>Benefit of CBDC</w:t>
            </w:r>
          </w:p>
        </w:tc>
        <w:tc>
          <w:tcPr>
            <w:tcW w:w="4678" w:type="dxa"/>
            <w:shd w:val="clear" w:color="auto" w:fill="BEBEBE"/>
          </w:tcPr>
          <w:p w:rsidR="00BB11D1" w:rsidRPr="00BB11D1" w:rsidRDefault="00BB11D1" w:rsidP="00451448">
            <w:pPr>
              <w:pStyle w:val="TableParagraph"/>
              <w:spacing w:before="4" w:line="220" w:lineRule="exact"/>
              <w:ind w:left="107"/>
              <w:rPr>
                <w:rFonts w:asciiTheme="majorBidi" w:hAnsiTheme="majorBidi" w:cstheme="majorBidi"/>
                <w:b/>
                <w:sz w:val="20"/>
              </w:rPr>
            </w:pPr>
            <w:r w:rsidRPr="00BB11D1">
              <w:rPr>
                <w:rFonts w:asciiTheme="majorBidi" w:hAnsiTheme="majorBidi" w:cstheme="majorBidi"/>
                <w:b/>
                <w:sz w:val="20"/>
              </w:rPr>
              <w:t>Possible further factors or requirements</w:t>
            </w:r>
          </w:p>
        </w:tc>
      </w:tr>
      <w:tr w:rsidR="00BB11D1" w:rsidRPr="00BB11D1" w:rsidTr="00BB11D1">
        <w:trPr>
          <w:trHeight w:val="241"/>
          <w:jc w:val="center"/>
        </w:trPr>
        <w:tc>
          <w:tcPr>
            <w:tcW w:w="9512" w:type="dxa"/>
            <w:gridSpan w:val="2"/>
            <w:shd w:val="clear" w:color="auto" w:fill="F1F1F1"/>
          </w:tcPr>
          <w:p w:rsidR="00BB11D1" w:rsidRPr="00BB11D1" w:rsidRDefault="00BB11D1" w:rsidP="00451448">
            <w:pPr>
              <w:pStyle w:val="TableParagraph"/>
              <w:spacing w:before="1" w:line="220" w:lineRule="exact"/>
              <w:ind w:left="3928"/>
              <w:rPr>
                <w:rFonts w:asciiTheme="majorBidi" w:hAnsiTheme="majorBidi" w:cstheme="majorBidi"/>
                <w:sz w:val="20"/>
              </w:rPr>
            </w:pPr>
            <w:r w:rsidRPr="00BB11D1">
              <w:rPr>
                <w:rFonts w:asciiTheme="majorBidi" w:hAnsiTheme="majorBidi" w:cstheme="majorBidi"/>
                <w:b/>
                <w:w w:val="95"/>
                <w:sz w:val="20"/>
              </w:rPr>
              <w:t>A. Efficient retail payments</w:t>
            </w:r>
            <w:r w:rsidRPr="00BB11D1">
              <w:rPr>
                <w:rFonts w:asciiTheme="majorBidi" w:hAnsiTheme="majorBidi" w:cstheme="majorBidi"/>
                <w:w w:val="95"/>
                <w:sz w:val="20"/>
              </w:rPr>
              <w:t>-</w:t>
            </w:r>
          </w:p>
        </w:tc>
      </w:tr>
      <w:tr w:rsidR="00BB11D1" w:rsidRPr="00BB11D1" w:rsidTr="00BB11D1">
        <w:trPr>
          <w:trHeight w:val="734"/>
          <w:jc w:val="center"/>
        </w:trPr>
        <w:tc>
          <w:tcPr>
            <w:tcW w:w="4834" w:type="dxa"/>
          </w:tcPr>
          <w:p w:rsidR="00BB11D1" w:rsidRPr="00BB11D1" w:rsidRDefault="00BB11D1" w:rsidP="00451448">
            <w:pPr>
              <w:pStyle w:val="TableParagraph"/>
              <w:spacing w:before="4" w:line="254" w:lineRule="auto"/>
              <w:ind w:left="107"/>
              <w:rPr>
                <w:rFonts w:asciiTheme="majorBidi" w:hAnsiTheme="majorBidi" w:cstheme="majorBidi"/>
                <w:sz w:val="20"/>
              </w:rPr>
            </w:pPr>
            <w:r w:rsidRPr="00BB11D1">
              <w:rPr>
                <w:rFonts w:asciiTheme="majorBidi" w:hAnsiTheme="majorBidi" w:cstheme="majorBidi"/>
                <w:w w:val="95"/>
                <w:sz w:val="20"/>
              </w:rPr>
              <w:t xml:space="preserve">A.1 Making available efficient, secure and modern central bank </w:t>
            </w:r>
            <w:r w:rsidRPr="00BB11D1">
              <w:rPr>
                <w:rFonts w:asciiTheme="majorBidi" w:hAnsiTheme="majorBidi" w:cstheme="majorBidi"/>
                <w:sz w:val="20"/>
              </w:rPr>
              <w:t>money to everyone</w:t>
            </w:r>
          </w:p>
        </w:tc>
        <w:tc>
          <w:tcPr>
            <w:tcW w:w="4678" w:type="dxa"/>
          </w:tcPr>
          <w:p w:rsidR="00BB11D1" w:rsidRPr="00BB11D1" w:rsidRDefault="00BB11D1" w:rsidP="00451448">
            <w:pPr>
              <w:pStyle w:val="TableParagraph"/>
              <w:spacing w:before="4" w:line="254" w:lineRule="auto"/>
              <w:ind w:left="107" w:right="86"/>
              <w:rPr>
                <w:rFonts w:asciiTheme="majorBidi" w:hAnsiTheme="majorBidi" w:cstheme="majorBidi"/>
                <w:sz w:val="20"/>
              </w:rPr>
            </w:pPr>
            <w:r w:rsidRPr="00BB11D1">
              <w:rPr>
                <w:rFonts w:asciiTheme="majorBidi" w:hAnsiTheme="majorBidi" w:cstheme="majorBidi"/>
                <w:sz w:val="20"/>
              </w:rPr>
              <w:t>In particular in economies without high-quality electronic</w:t>
            </w:r>
            <w:r w:rsidRPr="00BB11D1">
              <w:rPr>
                <w:rFonts w:asciiTheme="majorBidi" w:hAnsiTheme="majorBidi" w:cstheme="majorBidi"/>
                <w:spacing w:val="-26"/>
                <w:sz w:val="20"/>
              </w:rPr>
              <w:t xml:space="preserve"> </w:t>
            </w:r>
            <w:r w:rsidRPr="00BB11D1">
              <w:rPr>
                <w:rFonts w:asciiTheme="majorBidi" w:hAnsiTheme="majorBidi" w:cstheme="majorBidi"/>
                <w:sz w:val="20"/>
              </w:rPr>
              <w:t>commercial</w:t>
            </w:r>
            <w:r w:rsidRPr="00BB11D1">
              <w:rPr>
                <w:rFonts w:asciiTheme="majorBidi" w:hAnsiTheme="majorBidi" w:cstheme="majorBidi"/>
                <w:spacing w:val="-27"/>
                <w:sz w:val="20"/>
              </w:rPr>
              <w:t xml:space="preserve"> </w:t>
            </w:r>
            <w:r w:rsidRPr="00BB11D1">
              <w:rPr>
                <w:rFonts w:asciiTheme="majorBidi" w:hAnsiTheme="majorBidi" w:cstheme="majorBidi"/>
                <w:sz w:val="20"/>
              </w:rPr>
              <w:t>bank</w:t>
            </w:r>
            <w:r w:rsidRPr="00BB11D1">
              <w:rPr>
                <w:rFonts w:asciiTheme="majorBidi" w:hAnsiTheme="majorBidi" w:cstheme="majorBidi"/>
                <w:spacing w:val="-27"/>
                <w:sz w:val="20"/>
              </w:rPr>
              <w:t xml:space="preserve"> </w:t>
            </w:r>
            <w:r w:rsidRPr="00BB11D1">
              <w:rPr>
                <w:rFonts w:asciiTheme="majorBidi" w:hAnsiTheme="majorBidi" w:cstheme="majorBidi"/>
                <w:sz w:val="20"/>
              </w:rPr>
              <w:t>money,</w:t>
            </w:r>
            <w:r w:rsidRPr="00BB11D1">
              <w:rPr>
                <w:rFonts w:asciiTheme="majorBidi" w:hAnsiTheme="majorBidi" w:cstheme="majorBidi"/>
                <w:spacing w:val="-26"/>
                <w:sz w:val="20"/>
              </w:rPr>
              <w:t xml:space="preserve"> </w:t>
            </w:r>
            <w:r w:rsidRPr="00BB11D1">
              <w:rPr>
                <w:rFonts w:asciiTheme="majorBidi" w:hAnsiTheme="majorBidi" w:cstheme="majorBidi"/>
                <w:sz w:val="20"/>
              </w:rPr>
              <w:t>and/or</w:t>
            </w:r>
            <w:r w:rsidRPr="00BB11D1">
              <w:rPr>
                <w:rFonts w:asciiTheme="majorBidi" w:hAnsiTheme="majorBidi" w:cstheme="majorBidi"/>
                <w:spacing w:val="-27"/>
                <w:sz w:val="20"/>
              </w:rPr>
              <w:t xml:space="preserve"> </w:t>
            </w:r>
            <w:r w:rsidRPr="00BB11D1">
              <w:rPr>
                <w:rFonts w:asciiTheme="majorBidi" w:hAnsiTheme="majorBidi" w:cstheme="majorBidi"/>
                <w:sz w:val="20"/>
              </w:rPr>
              <w:t>without</w:t>
            </w:r>
            <w:r w:rsidRPr="00BB11D1">
              <w:rPr>
                <w:rFonts w:asciiTheme="majorBidi" w:hAnsiTheme="majorBidi" w:cstheme="majorBidi"/>
                <w:spacing w:val="-26"/>
                <w:sz w:val="20"/>
              </w:rPr>
              <w:t xml:space="preserve"> </w:t>
            </w:r>
            <w:r w:rsidRPr="00BB11D1">
              <w:rPr>
                <w:rFonts w:asciiTheme="majorBidi" w:hAnsiTheme="majorBidi" w:cstheme="majorBidi"/>
                <w:sz w:val="20"/>
              </w:rPr>
              <w:t>a</w:t>
            </w:r>
          </w:p>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secure and efficient payment system</w:t>
            </w:r>
          </w:p>
        </w:tc>
      </w:tr>
      <w:tr w:rsidR="00BB11D1" w:rsidRPr="00BB11D1" w:rsidTr="00BB11D1">
        <w:trPr>
          <w:trHeight w:val="731"/>
          <w:jc w:val="center"/>
        </w:trPr>
        <w:tc>
          <w:tcPr>
            <w:tcW w:w="4834" w:type="dxa"/>
          </w:tcPr>
          <w:p w:rsidR="00BB11D1" w:rsidRPr="00BB11D1" w:rsidRDefault="00BB11D1" w:rsidP="00451448">
            <w:pPr>
              <w:pStyle w:val="TableParagraph"/>
              <w:spacing w:before="4" w:line="252" w:lineRule="auto"/>
              <w:ind w:left="107"/>
              <w:rPr>
                <w:rFonts w:asciiTheme="majorBidi" w:hAnsiTheme="majorBidi" w:cstheme="majorBidi"/>
                <w:sz w:val="20"/>
              </w:rPr>
            </w:pPr>
            <w:r w:rsidRPr="00BB11D1">
              <w:rPr>
                <w:rFonts w:asciiTheme="majorBidi" w:hAnsiTheme="majorBidi" w:cstheme="majorBidi"/>
                <w:w w:val="95"/>
                <w:sz w:val="20"/>
              </w:rPr>
              <w:t>A.2</w:t>
            </w:r>
            <w:r w:rsidRPr="00BB11D1">
              <w:rPr>
                <w:rFonts w:asciiTheme="majorBidi" w:hAnsiTheme="majorBidi" w:cstheme="majorBidi"/>
                <w:spacing w:val="-23"/>
                <w:w w:val="95"/>
                <w:sz w:val="20"/>
              </w:rPr>
              <w:t xml:space="preserve"> </w:t>
            </w:r>
            <w:r w:rsidRPr="00BB11D1">
              <w:rPr>
                <w:rFonts w:asciiTheme="majorBidi" w:hAnsiTheme="majorBidi" w:cstheme="majorBidi"/>
                <w:w w:val="95"/>
                <w:sz w:val="20"/>
              </w:rPr>
              <w:t>Strengthening</w:t>
            </w:r>
            <w:r w:rsidRPr="00BB11D1">
              <w:rPr>
                <w:rFonts w:asciiTheme="majorBidi" w:hAnsiTheme="majorBidi" w:cstheme="majorBidi"/>
                <w:spacing w:val="-22"/>
                <w:w w:val="95"/>
                <w:sz w:val="20"/>
              </w:rPr>
              <w:t xml:space="preserve"> </w:t>
            </w:r>
            <w:r w:rsidRPr="00BB11D1">
              <w:rPr>
                <w:rFonts w:asciiTheme="majorBidi" w:hAnsiTheme="majorBidi" w:cstheme="majorBidi"/>
                <w:w w:val="95"/>
                <w:sz w:val="20"/>
              </w:rPr>
              <w:t>the</w:t>
            </w:r>
            <w:r w:rsidRPr="00BB11D1">
              <w:rPr>
                <w:rFonts w:asciiTheme="majorBidi" w:hAnsiTheme="majorBidi" w:cstheme="majorBidi"/>
                <w:spacing w:val="-22"/>
                <w:w w:val="95"/>
                <w:sz w:val="20"/>
              </w:rPr>
              <w:t xml:space="preserve"> </w:t>
            </w:r>
            <w:r w:rsidRPr="00BB11D1">
              <w:rPr>
                <w:rFonts w:asciiTheme="majorBidi" w:hAnsiTheme="majorBidi" w:cstheme="majorBidi"/>
                <w:w w:val="95"/>
                <w:sz w:val="20"/>
              </w:rPr>
              <w:t>resilience,</w:t>
            </w:r>
            <w:r w:rsidRPr="00BB11D1">
              <w:rPr>
                <w:rFonts w:asciiTheme="majorBidi" w:hAnsiTheme="majorBidi" w:cstheme="majorBidi"/>
                <w:spacing w:val="-21"/>
                <w:w w:val="95"/>
                <w:sz w:val="20"/>
              </w:rPr>
              <w:t xml:space="preserve"> </w:t>
            </w:r>
            <w:r w:rsidRPr="00BB11D1">
              <w:rPr>
                <w:rFonts w:asciiTheme="majorBidi" w:hAnsiTheme="majorBidi" w:cstheme="majorBidi"/>
                <w:w w:val="95"/>
                <w:sz w:val="20"/>
              </w:rPr>
              <w:t>availability</w:t>
            </w:r>
            <w:r w:rsidRPr="00BB11D1">
              <w:rPr>
                <w:rFonts w:asciiTheme="majorBidi" w:hAnsiTheme="majorBidi" w:cstheme="majorBidi"/>
                <w:spacing w:val="-21"/>
                <w:w w:val="95"/>
                <w:sz w:val="20"/>
              </w:rPr>
              <w:t xml:space="preserve"> </w:t>
            </w:r>
            <w:r w:rsidRPr="00BB11D1">
              <w:rPr>
                <w:rFonts w:asciiTheme="majorBidi" w:hAnsiTheme="majorBidi" w:cstheme="majorBidi"/>
                <w:w w:val="95"/>
                <w:sz w:val="20"/>
              </w:rPr>
              <w:t>and</w:t>
            </w:r>
            <w:r w:rsidRPr="00BB11D1">
              <w:rPr>
                <w:rFonts w:asciiTheme="majorBidi" w:hAnsiTheme="majorBidi" w:cstheme="majorBidi"/>
                <w:spacing w:val="-22"/>
                <w:w w:val="95"/>
                <w:sz w:val="20"/>
              </w:rPr>
              <w:t xml:space="preserve"> </w:t>
            </w:r>
            <w:r w:rsidRPr="00BB11D1">
              <w:rPr>
                <w:rFonts w:asciiTheme="majorBidi" w:hAnsiTheme="majorBidi" w:cstheme="majorBidi"/>
                <w:w w:val="95"/>
                <w:sz w:val="20"/>
              </w:rPr>
              <w:t>contestability</w:t>
            </w:r>
            <w:r w:rsidRPr="00BB11D1">
              <w:rPr>
                <w:rFonts w:asciiTheme="majorBidi" w:hAnsiTheme="majorBidi" w:cstheme="majorBidi"/>
                <w:spacing w:val="-20"/>
                <w:w w:val="95"/>
                <w:sz w:val="20"/>
              </w:rPr>
              <w:t xml:space="preserve"> </w:t>
            </w:r>
            <w:r w:rsidRPr="00BB11D1">
              <w:rPr>
                <w:rFonts w:asciiTheme="majorBidi" w:hAnsiTheme="majorBidi" w:cstheme="majorBidi"/>
                <w:w w:val="95"/>
                <w:sz w:val="20"/>
              </w:rPr>
              <w:t xml:space="preserve">of </w:t>
            </w:r>
            <w:r w:rsidRPr="00BB11D1">
              <w:rPr>
                <w:rFonts w:asciiTheme="majorBidi" w:hAnsiTheme="majorBidi" w:cstheme="majorBidi"/>
                <w:sz w:val="20"/>
              </w:rPr>
              <w:t>retail</w:t>
            </w:r>
            <w:r w:rsidRPr="00BB11D1">
              <w:rPr>
                <w:rFonts w:asciiTheme="majorBidi" w:hAnsiTheme="majorBidi" w:cstheme="majorBidi"/>
                <w:spacing w:val="-12"/>
                <w:sz w:val="20"/>
              </w:rPr>
              <w:t xml:space="preserve"> </w:t>
            </w:r>
            <w:r w:rsidRPr="00BB11D1">
              <w:rPr>
                <w:rFonts w:asciiTheme="majorBidi" w:hAnsiTheme="majorBidi" w:cstheme="majorBidi"/>
                <w:sz w:val="20"/>
              </w:rPr>
              <w:t>payments</w:t>
            </w:r>
          </w:p>
        </w:tc>
        <w:tc>
          <w:tcPr>
            <w:tcW w:w="4678" w:type="dxa"/>
          </w:tcPr>
          <w:p w:rsidR="00BB11D1" w:rsidRPr="00BB11D1" w:rsidRDefault="00BB11D1" w:rsidP="00451448">
            <w:pPr>
              <w:pStyle w:val="TableParagraph"/>
              <w:spacing w:before="4" w:line="252" w:lineRule="auto"/>
              <w:ind w:left="107" w:right="27"/>
              <w:rPr>
                <w:rFonts w:asciiTheme="majorBidi" w:hAnsiTheme="majorBidi" w:cstheme="majorBidi"/>
                <w:sz w:val="20"/>
              </w:rPr>
            </w:pPr>
            <w:r w:rsidRPr="00BB11D1">
              <w:rPr>
                <w:rFonts w:asciiTheme="majorBidi" w:hAnsiTheme="majorBidi" w:cstheme="majorBidi"/>
                <w:w w:val="95"/>
                <w:sz w:val="20"/>
              </w:rPr>
              <w:t xml:space="preserve">In particular in economies in which banknote demand </w:t>
            </w:r>
            <w:r w:rsidRPr="00BB11D1">
              <w:rPr>
                <w:rFonts w:asciiTheme="majorBidi" w:hAnsiTheme="majorBidi" w:cstheme="majorBidi"/>
                <w:sz w:val="20"/>
              </w:rPr>
              <w:t>vanishes and private electronic payments solutions</w:t>
            </w:r>
          </w:p>
          <w:p w:rsidR="00BB11D1" w:rsidRPr="00BB11D1" w:rsidRDefault="00BB11D1" w:rsidP="00451448">
            <w:pPr>
              <w:pStyle w:val="TableParagraph"/>
              <w:spacing w:before="4" w:line="220" w:lineRule="exact"/>
              <w:ind w:left="107"/>
              <w:rPr>
                <w:rFonts w:asciiTheme="majorBidi" w:hAnsiTheme="majorBidi" w:cstheme="majorBidi"/>
                <w:sz w:val="20"/>
              </w:rPr>
            </w:pPr>
            <w:r w:rsidRPr="00BB11D1">
              <w:rPr>
                <w:rFonts w:asciiTheme="majorBidi" w:hAnsiTheme="majorBidi" w:cstheme="majorBidi"/>
                <w:sz w:val="20"/>
              </w:rPr>
              <w:t>lack competition</w:t>
            </w:r>
          </w:p>
        </w:tc>
      </w:tr>
      <w:tr w:rsidR="00BB11D1" w:rsidRPr="00BB11D1" w:rsidTr="00BB11D1">
        <w:trPr>
          <w:trHeight w:val="244"/>
          <w:jc w:val="center"/>
        </w:trPr>
        <w:tc>
          <w:tcPr>
            <w:tcW w:w="9512" w:type="dxa"/>
            <w:gridSpan w:val="2"/>
            <w:shd w:val="clear" w:color="auto" w:fill="F1F1F1"/>
          </w:tcPr>
          <w:p w:rsidR="00BB11D1" w:rsidRPr="00BB11D1" w:rsidRDefault="00BB11D1" w:rsidP="00451448">
            <w:pPr>
              <w:pStyle w:val="TableParagraph"/>
              <w:spacing w:before="4" w:line="220" w:lineRule="exact"/>
              <w:ind w:left="2287"/>
              <w:rPr>
                <w:rFonts w:asciiTheme="majorBidi" w:hAnsiTheme="majorBidi" w:cstheme="majorBidi"/>
                <w:b/>
                <w:sz w:val="20"/>
              </w:rPr>
            </w:pPr>
            <w:r w:rsidRPr="00BB11D1">
              <w:rPr>
                <w:rFonts w:asciiTheme="majorBidi" w:hAnsiTheme="majorBidi" w:cstheme="majorBidi"/>
                <w:b/>
                <w:sz w:val="20"/>
              </w:rPr>
              <w:t>B. Overcome use of banknotes for illicit payment and store of value</w:t>
            </w:r>
          </w:p>
        </w:tc>
      </w:tr>
      <w:tr w:rsidR="00BB11D1" w:rsidRPr="00BB11D1" w:rsidTr="00BB11D1">
        <w:trPr>
          <w:trHeight w:val="731"/>
          <w:jc w:val="center"/>
        </w:trPr>
        <w:tc>
          <w:tcPr>
            <w:tcW w:w="4834" w:type="dxa"/>
          </w:tcPr>
          <w:p w:rsidR="00BB11D1" w:rsidRPr="00BB11D1" w:rsidRDefault="00BB11D1" w:rsidP="00451448">
            <w:pPr>
              <w:pStyle w:val="TableParagraph"/>
              <w:spacing w:before="4" w:line="254" w:lineRule="auto"/>
              <w:ind w:left="107" w:right="95"/>
              <w:rPr>
                <w:rFonts w:asciiTheme="majorBidi" w:hAnsiTheme="majorBidi" w:cstheme="majorBidi"/>
                <w:sz w:val="20"/>
              </w:rPr>
            </w:pPr>
            <w:r w:rsidRPr="00BB11D1">
              <w:rPr>
                <w:rFonts w:asciiTheme="majorBidi" w:hAnsiTheme="majorBidi" w:cstheme="majorBidi"/>
                <w:sz w:val="20"/>
              </w:rPr>
              <w:t>B.</w:t>
            </w:r>
            <w:r w:rsidRPr="00BB11D1">
              <w:rPr>
                <w:rFonts w:asciiTheme="majorBidi" w:hAnsiTheme="majorBidi" w:cstheme="majorBidi"/>
                <w:spacing w:val="-23"/>
                <w:sz w:val="20"/>
              </w:rPr>
              <w:t xml:space="preserve"> </w:t>
            </w:r>
            <w:r w:rsidRPr="00BB11D1">
              <w:rPr>
                <w:rFonts w:asciiTheme="majorBidi" w:hAnsiTheme="majorBidi" w:cstheme="majorBidi"/>
                <w:sz w:val="20"/>
              </w:rPr>
              <w:t>Better</w:t>
            </w:r>
            <w:r w:rsidRPr="00BB11D1">
              <w:rPr>
                <w:rFonts w:asciiTheme="majorBidi" w:hAnsiTheme="majorBidi" w:cstheme="majorBidi"/>
                <w:spacing w:val="-23"/>
                <w:sz w:val="20"/>
              </w:rPr>
              <w:t xml:space="preserve"> </w:t>
            </w:r>
            <w:r w:rsidRPr="00BB11D1">
              <w:rPr>
                <w:rFonts w:asciiTheme="majorBidi" w:hAnsiTheme="majorBidi" w:cstheme="majorBidi"/>
                <w:sz w:val="20"/>
              </w:rPr>
              <w:t>control</w:t>
            </w:r>
            <w:r w:rsidRPr="00BB11D1">
              <w:rPr>
                <w:rFonts w:asciiTheme="majorBidi" w:hAnsiTheme="majorBidi" w:cstheme="majorBidi"/>
                <w:spacing w:val="-23"/>
                <w:sz w:val="20"/>
              </w:rPr>
              <w:t xml:space="preserve"> </w:t>
            </w:r>
            <w:r w:rsidRPr="00BB11D1">
              <w:rPr>
                <w:rFonts w:asciiTheme="majorBidi" w:hAnsiTheme="majorBidi" w:cstheme="majorBidi"/>
                <w:sz w:val="20"/>
              </w:rPr>
              <w:t>of</w:t>
            </w:r>
            <w:r w:rsidRPr="00BB11D1">
              <w:rPr>
                <w:rFonts w:asciiTheme="majorBidi" w:hAnsiTheme="majorBidi" w:cstheme="majorBidi"/>
                <w:spacing w:val="-24"/>
                <w:sz w:val="20"/>
              </w:rPr>
              <w:t xml:space="preserve"> </w:t>
            </w:r>
            <w:r w:rsidRPr="00BB11D1">
              <w:rPr>
                <w:rFonts w:asciiTheme="majorBidi" w:hAnsiTheme="majorBidi" w:cstheme="majorBidi"/>
                <w:sz w:val="20"/>
              </w:rPr>
              <w:t>illicit</w:t>
            </w:r>
            <w:r w:rsidRPr="00BB11D1">
              <w:rPr>
                <w:rFonts w:asciiTheme="majorBidi" w:hAnsiTheme="majorBidi" w:cstheme="majorBidi"/>
                <w:spacing w:val="-22"/>
                <w:sz w:val="20"/>
              </w:rPr>
              <w:t xml:space="preserve"> </w:t>
            </w:r>
            <w:r w:rsidRPr="00BB11D1">
              <w:rPr>
                <w:rFonts w:asciiTheme="majorBidi" w:hAnsiTheme="majorBidi" w:cstheme="majorBidi"/>
                <w:sz w:val="20"/>
              </w:rPr>
              <w:t>payment</w:t>
            </w:r>
            <w:r w:rsidRPr="00BB11D1">
              <w:rPr>
                <w:rFonts w:asciiTheme="majorBidi" w:hAnsiTheme="majorBidi" w:cstheme="majorBidi"/>
                <w:spacing w:val="-23"/>
                <w:sz w:val="20"/>
              </w:rPr>
              <w:t xml:space="preserve"> </w:t>
            </w:r>
            <w:r w:rsidRPr="00BB11D1">
              <w:rPr>
                <w:rFonts w:asciiTheme="majorBidi" w:hAnsiTheme="majorBidi" w:cstheme="majorBidi"/>
                <w:sz w:val="20"/>
              </w:rPr>
              <w:t>and</w:t>
            </w:r>
            <w:r w:rsidRPr="00BB11D1">
              <w:rPr>
                <w:rFonts w:asciiTheme="majorBidi" w:hAnsiTheme="majorBidi" w:cstheme="majorBidi"/>
                <w:spacing w:val="-22"/>
                <w:sz w:val="20"/>
              </w:rPr>
              <w:t xml:space="preserve"> </w:t>
            </w:r>
            <w:r w:rsidRPr="00BB11D1">
              <w:rPr>
                <w:rFonts w:asciiTheme="majorBidi" w:hAnsiTheme="majorBidi" w:cstheme="majorBidi"/>
                <w:sz w:val="20"/>
              </w:rPr>
              <w:t>saving</w:t>
            </w:r>
            <w:r w:rsidRPr="00BB11D1">
              <w:rPr>
                <w:rFonts w:asciiTheme="majorBidi" w:hAnsiTheme="majorBidi" w:cstheme="majorBidi"/>
                <w:spacing w:val="-23"/>
                <w:sz w:val="20"/>
              </w:rPr>
              <w:t xml:space="preserve"> </w:t>
            </w:r>
            <w:r w:rsidRPr="00BB11D1">
              <w:rPr>
                <w:rFonts w:asciiTheme="majorBidi" w:hAnsiTheme="majorBidi" w:cstheme="majorBidi"/>
                <w:sz w:val="20"/>
              </w:rPr>
              <w:t>activities,</w:t>
            </w:r>
            <w:r w:rsidRPr="00BB11D1">
              <w:rPr>
                <w:rFonts w:asciiTheme="majorBidi" w:hAnsiTheme="majorBidi" w:cstheme="majorBidi"/>
                <w:spacing w:val="-23"/>
                <w:sz w:val="20"/>
              </w:rPr>
              <w:t xml:space="preserve"> </w:t>
            </w:r>
            <w:r w:rsidRPr="00BB11D1">
              <w:rPr>
                <w:rFonts w:asciiTheme="majorBidi" w:hAnsiTheme="majorBidi" w:cstheme="majorBidi"/>
                <w:sz w:val="20"/>
              </w:rPr>
              <w:t>money laundering, and terrorist</w:t>
            </w:r>
            <w:r w:rsidRPr="00BB11D1">
              <w:rPr>
                <w:rFonts w:asciiTheme="majorBidi" w:hAnsiTheme="majorBidi" w:cstheme="majorBidi"/>
                <w:spacing w:val="-40"/>
                <w:sz w:val="20"/>
              </w:rPr>
              <w:t xml:space="preserve"> </w:t>
            </w:r>
            <w:r w:rsidRPr="00BB11D1">
              <w:rPr>
                <w:rFonts w:asciiTheme="majorBidi" w:hAnsiTheme="majorBidi" w:cstheme="majorBidi"/>
                <w:sz w:val="20"/>
              </w:rPr>
              <w:t>financing</w:t>
            </w:r>
          </w:p>
        </w:tc>
        <w:tc>
          <w:tcPr>
            <w:tcW w:w="4678"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Requires</w:t>
            </w:r>
            <w:r w:rsidRPr="00BB11D1">
              <w:rPr>
                <w:rFonts w:asciiTheme="majorBidi" w:hAnsiTheme="majorBidi" w:cstheme="majorBidi"/>
                <w:spacing w:val="-18"/>
                <w:sz w:val="20"/>
              </w:rPr>
              <w:t xml:space="preserve"> </w:t>
            </w:r>
            <w:r w:rsidRPr="00BB11D1">
              <w:rPr>
                <w:rFonts w:asciiTheme="majorBidi" w:hAnsiTheme="majorBidi" w:cstheme="majorBidi"/>
                <w:sz w:val="20"/>
              </w:rPr>
              <w:t>(i)</w:t>
            </w:r>
            <w:r w:rsidRPr="00BB11D1">
              <w:rPr>
                <w:rFonts w:asciiTheme="majorBidi" w:hAnsiTheme="majorBidi" w:cstheme="majorBidi"/>
                <w:spacing w:val="-18"/>
                <w:sz w:val="20"/>
              </w:rPr>
              <w:t xml:space="preserve"> </w:t>
            </w:r>
            <w:r w:rsidRPr="00BB11D1">
              <w:rPr>
                <w:rFonts w:asciiTheme="majorBidi" w:hAnsiTheme="majorBidi" w:cstheme="majorBidi"/>
                <w:sz w:val="20"/>
              </w:rPr>
              <w:t>discontinuation</w:t>
            </w:r>
            <w:r w:rsidRPr="00BB11D1">
              <w:rPr>
                <w:rFonts w:asciiTheme="majorBidi" w:hAnsiTheme="majorBidi" w:cstheme="majorBidi"/>
                <w:spacing w:val="-19"/>
                <w:sz w:val="20"/>
              </w:rPr>
              <w:t xml:space="preserve"> </w:t>
            </w:r>
            <w:r w:rsidRPr="00BB11D1">
              <w:rPr>
                <w:rFonts w:asciiTheme="majorBidi" w:hAnsiTheme="majorBidi" w:cstheme="majorBidi"/>
                <w:sz w:val="20"/>
              </w:rPr>
              <w:t>of</w:t>
            </w:r>
            <w:r w:rsidRPr="00BB11D1">
              <w:rPr>
                <w:rFonts w:asciiTheme="majorBidi" w:hAnsiTheme="majorBidi" w:cstheme="majorBidi"/>
                <w:spacing w:val="-18"/>
                <w:sz w:val="20"/>
              </w:rPr>
              <w:t xml:space="preserve"> </w:t>
            </w:r>
            <w:r w:rsidRPr="00BB11D1">
              <w:rPr>
                <w:rFonts w:asciiTheme="majorBidi" w:hAnsiTheme="majorBidi" w:cstheme="majorBidi"/>
                <w:sz w:val="20"/>
              </w:rPr>
              <w:t>banknotes</w:t>
            </w:r>
            <w:r w:rsidRPr="00BB11D1">
              <w:rPr>
                <w:rFonts w:asciiTheme="majorBidi" w:hAnsiTheme="majorBidi" w:cstheme="majorBidi"/>
                <w:spacing w:val="-17"/>
                <w:sz w:val="20"/>
              </w:rPr>
              <w:t xml:space="preserve"> </w:t>
            </w:r>
            <w:r w:rsidRPr="00BB11D1">
              <w:rPr>
                <w:rFonts w:asciiTheme="majorBidi" w:hAnsiTheme="majorBidi" w:cstheme="majorBidi"/>
                <w:sz w:val="20"/>
              </w:rPr>
              <w:t>(or</w:t>
            </w:r>
            <w:r w:rsidRPr="00BB11D1">
              <w:rPr>
                <w:rFonts w:asciiTheme="majorBidi" w:hAnsiTheme="majorBidi" w:cstheme="majorBidi"/>
                <w:spacing w:val="-19"/>
                <w:sz w:val="20"/>
              </w:rPr>
              <w:t xml:space="preserve"> </w:t>
            </w:r>
            <w:r w:rsidRPr="00BB11D1">
              <w:rPr>
                <w:rFonts w:asciiTheme="majorBidi" w:hAnsiTheme="majorBidi" w:cstheme="majorBidi"/>
                <w:sz w:val="20"/>
              </w:rPr>
              <w:t>at</w:t>
            </w:r>
            <w:r w:rsidRPr="00BB11D1">
              <w:rPr>
                <w:rFonts w:asciiTheme="majorBidi" w:hAnsiTheme="majorBidi" w:cstheme="majorBidi"/>
                <w:spacing w:val="-18"/>
                <w:sz w:val="20"/>
              </w:rPr>
              <w:t xml:space="preserve"> </w:t>
            </w:r>
            <w:r w:rsidRPr="00BB11D1">
              <w:rPr>
                <w:rFonts w:asciiTheme="majorBidi" w:hAnsiTheme="majorBidi" w:cstheme="majorBidi"/>
                <w:sz w:val="20"/>
              </w:rPr>
              <w:t>least</w:t>
            </w:r>
          </w:p>
          <w:p w:rsidR="00BB11D1" w:rsidRPr="00BB11D1" w:rsidRDefault="00BB11D1" w:rsidP="00451448">
            <w:pPr>
              <w:pStyle w:val="TableParagraph"/>
              <w:spacing w:before="5" w:line="240" w:lineRule="atLeast"/>
              <w:ind w:left="107"/>
              <w:rPr>
                <w:rFonts w:asciiTheme="majorBidi" w:hAnsiTheme="majorBidi" w:cstheme="majorBidi"/>
                <w:sz w:val="20"/>
              </w:rPr>
            </w:pPr>
            <w:r w:rsidRPr="00BB11D1">
              <w:rPr>
                <w:rFonts w:asciiTheme="majorBidi" w:hAnsiTheme="majorBidi" w:cstheme="majorBidi"/>
                <w:sz w:val="20"/>
              </w:rPr>
              <w:t>of larger denominations); (ii) CBDC to not take the form of anonymous token money</w:t>
            </w:r>
          </w:p>
        </w:tc>
      </w:tr>
      <w:tr w:rsidR="00BB11D1" w:rsidRPr="00BB11D1" w:rsidTr="00BB11D1">
        <w:trPr>
          <w:trHeight w:val="244"/>
          <w:jc w:val="center"/>
        </w:trPr>
        <w:tc>
          <w:tcPr>
            <w:tcW w:w="9512" w:type="dxa"/>
            <w:gridSpan w:val="2"/>
            <w:shd w:val="clear" w:color="auto" w:fill="F1F1F1"/>
          </w:tcPr>
          <w:p w:rsidR="00BB11D1" w:rsidRPr="00BB11D1" w:rsidRDefault="00BB11D1" w:rsidP="00451448">
            <w:pPr>
              <w:pStyle w:val="TableParagraph"/>
              <w:spacing w:before="4" w:line="220" w:lineRule="exact"/>
              <w:ind w:left="3825"/>
              <w:rPr>
                <w:rFonts w:asciiTheme="majorBidi" w:hAnsiTheme="majorBidi" w:cstheme="majorBidi"/>
                <w:b/>
                <w:sz w:val="20"/>
              </w:rPr>
            </w:pPr>
            <w:r w:rsidRPr="00BB11D1">
              <w:rPr>
                <w:rFonts w:asciiTheme="majorBidi" w:hAnsiTheme="majorBidi" w:cstheme="majorBidi"/>
                <w:b/>
                <w:sz w:val="20"/>
              </w:rPr>
              <w:t>C. Strengthen monetary policy</w:t>
            </w:r>
          </w:p>
        </w:tc>
      </w:tr>
      <w:tr w:rsidR="00BB11D1" w:rsidRPr="00BB11D1" w:rsidTr="00BB11D1">
        <w:trPr>
          <w:trHeight w:val="489"/>
          <w:jc w:val="center"/>
        </w:trPr>
        <w:tc>
          <w:tcPr>
            <w:tcW w:w="4834"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w w:val="95"/>
                <w:sz w:val="20"/>
              </w:rPr>
              <w:t>C.1</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Allows</w:t>
            </w:r>
            <w:r w:rsidRPr="00BB11D1">
              <w:rPr>
                <w:rFonts w:asciiTheme="majorBidi" w:hAnsiTheme="majorBidi" w:cstheme="majorBidi"/>
                <w:spacing w:val="-14"/>
                <w:w w:val="95"/>
                <w:sz w:val="20"/>
              </w:rPr>
              <w:t xml:space="preserve"> </w:t>
            </w:r>
            <w:r w:rsidRPr="00BB11D1">
              <w:rPr>
                <w:rFonts w:asciiTheme="majorBidi" w:hAnsiTheme="majorBidi" w:cstheme="majorBidi"/>
                <w:w w:val="95"/>
                <w:sz w:val="20"/>
              </w:rPr>
              <w:t>overcoming</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the</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ZLB</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as</w:t>
            </w:r>
            <w:r w:rsidRPr="00BB11D1">
              <w:rPr>
                <w:rFonts w:asciiTheme="majorBidi" w:hAnsiTheme="majorBidi" w:cstheme="majorBidi"/>
                <w:spacing w:val="-14"/>
                <w:w w:val="95"/>
                <w:sz w:val="20"/>
              </w:rPr>
              <w:t xml:space="preserve"> </w:t>
            </w:r>
            <w:r w:rsidRPr="00BB11D1">
              <w:rPr>
                <w:rFonts w:asciiTheme="majorBidi" w:hAnsiTheme="majorBidi" w:cstheme="majorBidi"/>
                <w:w w:val="95"/>
                <w:sz w:val="20"/>
              </w:rPr>
              <w:t>negative</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interest</w:t>
            </w:r>
            <w:r w:rsidRPr="00BB11D1">
              <w:rPr>
                <w:rFonts w:asciiTheme="majorBidi" w:hAnsiTheme="majorBidi" w:cstheme="majorBidi"/>
                <w:spacing w:val="-14"/>
                <w:w w:val="95"/>
                <w:sz w:val="20"/>
              </w:rPr>
              <w:t xml:space="preserve"> </w:t>
            </w:r>
            <w:r w:rsidRPr="00BB11D1">
              <w:rPr>
                <w:rFonts w:asciiTheme="majorBidi" w:hAnsiTheme="majorBidi" w:cstheme="majorBidi"/>
                <w:w w:val="95"/>
                <w:sz w:val="20"/>
              </w:rPr>
              <w:t>rates</w:t>
            </w:r>
            <w:r w:rsidRPr="00BB11D1">
              <w:rPr>
                <w:rFonts w:asciiTheme="majorBidi" w:hAnsiTheme="majorBidi" w:cstheme="majorBidi"/>
                <w:spacing w:val="-17"/>
                <w:w w:val="95"/>
                <w:sz w:val="20"/>
              </w:rPr>
              <w:t xml:space="preserve"> </w:t>
            </w:r>
            <w:r w:rsidRPr="00BB11D1">
              <w:rPr>
                <w:rFonts w:asciiTheme="majorBidi" w:hAnsiTheme="majorBidi" w:cstheme="majorBidi"/>
                <w:w w:val="95"/>
                <w:sz w:val="20"/>
              </w:rPr>
              <w:t>can</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be</w:t>
            </w:r>
          </w:p>
          <w:p w:rsidR="00BB11D1" w:rsidRPr="00BB11D1" w:rsidRDefault="00BB11D1" w:rsidP="00451448">
            <w:pPr>
              <w:pStyle w:val="TableParagraph"/>
              <w:spacing w:before="15" w:line="220" w:lineRule="exact"/>
              <w:ind w:left="107"/>
              <w:rPr>
                <w:rFonts w:asciiTheme="majorBidi" w:hAnsiTheme="majorBidi" w:cstheme="majorBidi"/>
                <w:sz w:val="20"/>
              </w:rPr>
            </w:pPr>
            <w:r w:rsidRPr="00BB11D1">
              <w:rPr>
                <w:rFonts w:asciiTheme="majorBidi" w:hAnsiTheme="majorBidi" w:cstheme="majorBidi"/>
                <w:sz w:val="20"/>
              </w:rPr>
              <w:t>applied to CBDC</w:t>
            </w:r>
          </w:p>
        </w:tc>
        <w:tc>
          <w:tcPr>
            <w:tcW w:w="4678"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Requires</w:t>
            </w:r>
            <w:r w:rsidRPr="00BB11D1">
              <w:rPr>
                <w:rFonts w:asciiTheme="majorBidi" w:hAnsiTheme="majorBidi" w:cstheme="majorBidi"/>
                <w:spacing w:val="-16"/>
                <w:sz w:val="20"/>
              </w:rPr>
              <w:t xml:space="preserve"> </w:t>
            </w:r>
            <w:r w:rsidRPr="00BB11D1">
              <w:rPr>
                <w:rFonts w:asciiTheme="majorBidi" w:hAnsiTheme="majorBidi" w:cstheme="majorBidi"/>
                <w:sz w:val="20"/>
              </w:rPr>
              <w:t>discontinuation</w:t>
            </w:r>
            <w:r w:rsidRPr="00BB11D1">
              <w:rPr>
                <w:rFonts w:asciiTheme="majorBidi" w:hAnsiTheme="majorBidi" w:cstheme="majorBidi"/>
                <w:spacing w:val="-17"/>
                <w:sz w:val="20"/>
              </w:rPr>
              <w:t xml:space="preserve"> </w:t>
            </w:r>
            <w:r w:rsidRPr="00BB11D1">
              <w:rPr>
                <w:rFonts w:asciiTheme="majorBidi" w:hAnsiTheme="majorBidi" w:cstheme="majorBidi"/>
                <w:sz w:val="20"/>
              </w:rPr>
              <w:t>of</w:t>
            </w:r>
            <w:r w:rsidRPr="00BB11D1">
              <w:rPr>
                <w:rFonts w:asciiTheme="majorBidi" w:hAnsiTheme="majorBidi" w:cstheme="majorBidi"/>
                <w:spacing w:val="-19"/>
                <w:sz w:val="20"/>
              </w:rPr>
              <w:t xml:space="preserve"> </w:t>
            </w:r>
            <w:r w:rsidRPr="00BB11D1">
              <w:rPr>
                <w:rFonts w:asciiTheme="majorBidi" w:hAnsiTheme="majorBidi" w:cstheme="majorBidi"/>
                <w:sz w:val="20"/>
              </w:rPr>
              <w:t>banknotes</w:t>
            </w:r>
            <w:r w:rsidRPr="00BB11D1">
              <w:rPr>
                <w:rFonts w:asciiTheme="majorBidi" w:hAnsiTheme="majorBidi" w:cstheme="majorBidi"/>
                <w:spacing w:val="-15"/>
                <w:sz w:val="20"/>
              </w:rPr>
              <w:t xml:space="preserve"> </w:t>
            </w:r>
            <w:r w:rsidRPr="00BB11D1">
              <w:rPr>
                <w:rFonts w:asciiTheme="majorBidi" w:hAnsiTheme="majorBidi" w:cstheme="majorBidi"/>
                <w:sz w:val="20"/>
              </w:rPr>
              <w:t>(or</w:t>
            </w:r>
            <w:r w:rsidRPr="00BB11D1">
              <w:rPr>
                <w:rFonts w:asciiTheme="majorBidi" w:hAnsiTheme="majorBidi" w:cstheme="majorBidi"/>
                <w:spacing w:val="-18"/>
                <w:sz w:val="20"/>
              </w:rPr>
              <w:t xml:space="preserve"> </w:t>
            </w:r>
            <w:r w:rsidRPr="00BB11D1">
              <w:rPr>
                <w:rFonts w:asciiTheme="majorBidi" w:hAnsiTheme="majorBidi" w:cstheme="majorBidi"/>
                <w:sz w:val="20"/>
              </w:rPr>
              <w:t>at</w:t>
            </w:r>
            <w:r w:rsidRPr="00BB11D1">
              <w:rPr>
                <w:rFonts w:asciiTheme="majorBidi" w:hAnsiTheme="majorBidi" w:cstheme="majorBidi"/>
                <w:spacing w:val="-16"/>
                <w:sz w:val="20"/>
              </w:rPr>
              <w:t xml:space="preserve"> </w:t>
            </w:r>
            <w:r w:rsidRPr="00BB11D1">
              <w:rPr>
                <w:rFonts w:asciiTheme="majorBidi" w:hAnsiTheme="majorBidi" w:cstheme="majorBidi"/>
                <w:sz w:val="20"/>
              </w:rPr>
              <w:t>least</w:t>
            </w:r>
            <w:r w:rsidRPr="00BB11D1">
              <w:rPr>
                <w:rFonts w:asciiTheme="majorBidi" w:hAnsiTheme="majorBidi" w:cstheme="majorBidi"/>
                <w:spacing w:val="-18"/>
                <w:sz w:val="20"/>
              </w:rPr>
              <w:t xml:space="preserve"> </w:t>
            </w:r>
            <w:r w:rsidRPr="00BB11D1">
              <w:rPr>
                <w:rFonts w:asciiTheme="majorBidi" w:hAnsiTheme="majorBidi" w:cstheme="majorBidi"/>
                <w:sz w:val="20"/>
              </w:rPr>
              <w:t>of</w:t>
            </w:r>
          </w:p>
          <w:p w:rsidR="00BB11D1" w:rsidRPr="00BB11D1" w:rsidRDefault="00BB11D1" w:rsidP="00451448">
            <w:pPr>
              <w:pStyle w:val="TableParagraph"/>
              <w:spacing w:before="15" w:line="220" w:lineRule="exact"/>
              <w:ind w:left="107"/>
              <w:rPr>
                <w:rFonts w:asciiTheme="majorBidi" w:hAnsiTheme="majorBidi" w:cstheme="majorBidi"/>
                <w:sz w:val="20"/>
              </w:rPr>
            </w:pPr>
            <w:r w:rsidRPr="00BB11D1">
              <w:rPr>
                <w:rFonts w:asciiTheme="majorBidi" w:hAnsiTheme="majorBidi" w:cstheme="majorBidi"/>
                <w:sz w:val="20"/>
              </w:rPr>
              <w:t>larger denominations)</w:t>
            </w:r>
          </w:p>
        </w:tc>
      </w:tr>
      <w:tr w:rsidR="00BB11D1" w:rsidRPr="00BB11D1" w:rsidTr="00BB11D1">
        <w:trPr>
          <w:trHeight w:val="489"/>
          <w:jc w:val="center"/>
        </w:trPr>
        <w:tc>
          <w:tcPr>
            <w:tcW w:w="4834"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C.2 Interest rates on CBDC provide for additional monetary</w:t>
            </w:r>
          </w:p>
          <w:p w:rsidR="00BB11D1" w:rsidRPr="00BB11D1" w:rsidRDefault="00BB11D1" w:rsidP="00451448">
            <w:pPr>
              <w:pStyle w:val="TableParagraph"/>
              <w:spacing w:before="15" w:line="220" w:lineRule="exact"/>
              <w:ind w:left="107"/>
              <w:rPr>
                <w:rFonts w:asciiTheme="majorBidi" w:hAnsiTheme="majorBidi" w:cstheme="majorBidi"/>
                <w:sz w:val="20"/>
              </w:rPr>
            </w:pPr>
            <w:r w:rsidRPr="00BB11D1">
              <w:rPr>
                <w:rFonts w:asciiTheme="majorBidi" w:hAnsiTheme="majorBidi" w:cstheme="majorBidi"/>
                <w:sz w:val="20"/>
              </w:rPr>
              <w:t>policy instruments, independently of ZLB</w:t>
            </w:r>
          </w:p>
        </w:tc>
        <w:tc>
          <w:tcPr>
            <w:tcW w:w="4678" w:type="dxa"/>
          </w:tcPr>
          <w:p w:rsidR="00BB11D1" w:rsidRPr="00BB11D1" w:rsidRDefault="00BB11D1" w:rsidP="00451448">
            <w:pPr>
              <w:pStyle w:val="TableParagraph"/>
              <w:rPr>
                <w:rFonts w:asciiTheme="majorBidi" w:hAnsiTheme="majorBidi" w:cstheme="majorBidi"/>
                <w:sz w:val="20"/>
              </w:rPr>
            </w:pPr>
          </w:p>
        </w:tc>
      </w:tr>
      <w:tr w:rsidR="00BB11D1" w:rsidRPr="00BB11D1" w:rsidTr="00BB11D1">
        <w:trPr>
          <w:trHeight w:val="242"/>
          <w:jc w:val="center"/>
        </w:trPr>
        <w:tc>
          <w:tcPr>
            <w:tcW w:w="4834" w:type="dxa"/>
          </w:tcPr>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C.3 Easier ability to provide helicopter money</w:t>
            </w:r>
          </w:p>
        </w:tc>
        <w:tc>
          <w:tcPr>
            <w:tcW w:w="4678" w:type="dxa"/>
          </w:tcPr>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Requires that each citizen has a CBDC account</w:t>
            </w:r>
          </w:p>
        </w:tc>
      </w:tr>
      <w:tr w:rsidR="00BB11D1" w:rsidRPr="00BB11D1" w:rsidTr="00BB11D1">
        <w:trPr>
          <w:trHeight w:val="244"/>
          <w:jc w:val="center"/>
        </w:trPr>
        <w:tc>
          <w:tcPr>
            <w:tcW w:w="9512" w:type="dxa"/>
            <w:gridSpan w:val="2"/>
            <w:shd w:val="clear" w:color="auto" w:fill="F1F1F1"/>
          </w:tcPr>
          <w:p w:rsidR="00BB11D1" w:rsidRPr="00BB11D1" w:rsidRDefault="00BB11D1" w:rsidP="00451448">
            <w:pPr>
              <w:pStyle w:val="TableParagraph"/>
              <w:spacing w:before="4" w:line="220" w:lineRule="exact"/>
              <w:ind w:left="3933"/>
              <w:rPr>
                <w:rFonts w:asciiTheme="majorBidi" w:hAnsiTheme="majorBidi" w:cstheme="majorBidi"/>
                <w:b/>
                <w:sz w:val="20"/>
              </w:rPr>
            </w:pPr>
            <w:r w:rsidRPr="00BB11D1">
              <w:rPr>
                <w:rFonts w:asciiTheme="majorBidi" w:hAnsiTheme="majorBidi" w:cstheme="majorBidi"/>
                <w:b/>
                <w:sz w:val="20"/>
              </w:rPr>
              <w:t>D. Sovereign money related</w:t>
            </w:r>
          </w:p>
        </w:tc>
      </w:tr>
      <w:tr w:rsidR="00BB11D1" w:rsidRPr="00BB11D1" w:rsidTr="00BB11D1">
        <w:trPr>
          <w:trHeight w:val="734"/>
          <w:jc w:val="center"/>
        </w:trPr>
        <w:tc>
          <w:tcPr>
            <w:tcW w:w="4834" w:type="dxa"/>
          </w:tcPr>
          <w:p w:rsidR="00BB11D1" w:rsidRPr="00BB11D1" w:rsidRDefault="00BB11D1" w:rsidP="00451448">
            <w:pPr>
              <w:pStyle w:val="TableParagraph"/>
              <w:spacing w:before="4" w:line="254" w:lineRule="auto"/>
              <w:ind w:left="107"/>
              <w:rPr>
                <w:rFonts w:asciiTheme="majorBidi" w:hAnsiTheme="majorBidi" w:cstheme="majorBidi"/>
                <w:sz w:val="20"/>
              </w:rPr>
            </w:pPr>
            <w:r w:rsidRPr="00BB11D1">
              <w:rPr>
                <w:rFonts w:asciiTheme="majorBidi" w:hAnsiTheme="majorBidi" w:cstheme="majorBidi"/>
                <w:w w:val="95"/>
                <w:sz w:val="20"/>
              </w:rPr>
              <w:t>D.1</w:t>
            </w:r>
            <w:r w:rsidRPr="00BB11D1">
              <w:rPr>
                <w:rFonts w:asciiTheme="majorBidi" w:hAnsiTheme="majorBidi" w:cstheme="majorBidi"/>
                <w:spacing w:val="-18"/>
                <w:w w:val="95"/>
                <w:sz w:val="20"/>
              </w:rPr>
              <w:t xml:space="preserve"> </w:t>
            </w:r>
            <w:r w:rsidRPr="00BB11D1">
              <w:rPr>
                <w:rFonts w:asciiTheme="majorBidi" w:hAnsiTheme="majorBidi" w:cstheme="majorBidi"/>
                <w:w w:val="95"/>
                <w:sz w:val="20"/>
              </w:rPr>
              <w:t>Improve</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financial</w:t>
            </w:r>
            <w:r w:rsidRPr="00BB11D1">
              <w:rPr>
                <w:rFonts w:asciiTheme="majorBidi" w:hAnsiTheme="majorBidi" w:cstheme="majorBidi"/>
                <w:spacing w:val="-17"/>
                <w:w w:val="95"/>
                <w:sz w:val="20"/>
              </w:rPr>
              <w:t xml:space="preserve"> </w:t>
            </w:r>
            <w:r w:rsidRPr="00BB11D1">
              <w:rPr>
                <w:rFonts w:asciiTheme="majorBidi" w:hAnsiTheme="majorBidi" w:cstheme="majorBidi"/>
                <w:w w:val="95"/>
                <w:sz w:val="20"/>
              </w:rPr>
              <w:t>stability</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and</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reduce</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moral</w:t>
            </w:r>
            <w:r w:rsidRPr="00BB11D1">
              <w:rPr>
                <w:rFonts w:asciiTheme="majorBidi" w:hAnsiTheme="majorBidi" w:cstheme="majorBidi"/>
                <w:spacing w:val="-17"/>
                <w:w w:val="95"/>
                <w:sz w:val="20"/>
              </w:rPr>
              <w:t xml:space="preserve"> </w:t>
            </w:r>
            <w:r w:rsidRPr="00BB11D1">
              <w:rPr>
                <w:rFonts w:asciiTheme="majorBidi" w:hAnsiTheme="majorBidi" w:cstheme="majorBidi"/>
                <w:w w:val="95"/>
                <w:sz w:val="20"/>
              </w:rPr>
              <w:t>hazard</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of</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 xml:space="preserve">banks </w:t>
            </w:r>
            <w:r w:rsidRPr="00BB11D1">
              <w:rPr>
                <w:rFonts w:asciiTheme="majorBidi" w:hAnsiTheme="majorBidi" w:cstheme="majorBidi"/>
                <w:sz w:val="20"/>
              </w:rPr>
              <w:t>by</w:t>
            </w:r>
            <w:r w:rsidRPr="00BB11D1">
              <w:rPr>
                <w:rFonts w:asciiTheme="majorBidi" w:hAnsiTheme="majorBidi" w:cstheme="majorBidi"/>
                <w:spacing w:val="34"/>
                <w:sz w:val="20"/>
              </w:rPr>
              <w:t xml:space="preserve"> </w:t>
            </w:r>
            <w:r w:rsidRPr="00BB11D1">
              <w:rPr>
                <w:rFonts w:asciiTheme="majorBidi" w:hAnsiTheme="majorBidi" w:cstheme="majorBidi"/>
                <w:sz w:val="20"/>
              </w:rPr>
              <w:t>downscaling</w:t>
            </w:r>
            <w:r w:rsidRPr="00BB11D1">
              <w:rPr>
                <w:rFonts w:asciiTheme="majorBidi" w:hAnsiTheme="majorBidi" w:cstheme="majorBidi"/>
                <w:spacing w:val="33"/>
                <w:sz w:val="20"/>
              </w:rPr>
              <w:t xml:space="preserve"> </w:t>
            </w:r>
            <w:r w:rsidRPr="00BB11D1">
              <w:rPr>
                <w:rFonts w:asciiTheme="majorBidi" w:hAnsiTheme="majorBidi" w:cstheme="majorBidi"/>
                <w:sz w:val="20"/>
              </w:rPr>
              <w:t>the</w:t>
            </w:r>
            <w:r w:rsidRPr="00BB11D1">
              <w:rPr>
                <w:rFonts w:asciiTheme="majorBidi" w:hAnsiTheme="majorBidi" w:cstheme="majorBidi"/>
                <w:spacing w:val="33"/>
                <w:sz w:val="20"/>
              </w:rPr>
              <w:t xml:space="preserve"> </w:t>
            </w:r>
            <w:r w:rsidRPr="00BB11D1">
              <w:rPr>
                <w:rFonts w:asciiTheme="majorBidi" w:hAnsiTheme="majorBidi" w:cstheme="majorBidi"/>
                <w:sz w:val="20"/>
              </w:rPr>
              <w:t>role</w:t>
            </w:r>
            <w:r w:rsidRPr="00BB11D1">
              <w:rPr>
                <w:rFonts w:asciiTheme="majorBidi" w:hAnsiTheme="majorBidi" w:cstheme="majorBidi"/>
                <w:spacing w:val="33"/>
                <w:sz w:val="20"/>
              </w:rPr>
              <w:t xml:space="preserve"> </w:t>
            </w:r>
            <w:r w:rsidRPr="00BB11D1">
              <w:rPr>
                <w:rFonts w:asciiTheme="majorBidi" w:hAnsiTheme="majorBidi" w:cstheme="majorBidi"/>
                <w:sz w:val="20"/>
              </w:rPr>
              <w:t>of</w:t>
            </w:r>
            <w:r w:rsidRPr="00BB11D1">
              <w:rPr>
                <w:rFonts w:asciiTheme="majorBidi" w:hAnsiTheme="majorBidi" w:cstheme="majorBidi"/>
                <w:spacing w:val="33"/>
                <w:sz w:val="20"/>
              </w:rPr>
              <w:t xml:space="preserve"> </w:t>
            </w:r>
            <w:r w:rsidRPr="00BB11D1">
              <w:rPr>
                <w:rFonts w:asciiTheme="majorBidi" w:hAnsiTheme="majorBidi" w:cstheme="majorBidi"/>
                <w:sz w:val="20"/>
              </w:rPr>
              <w:t>the</w:t>
            </w:r>
            <w:r w:rsidRPr="00BB11D1">
              <w:rPr>
                <w:rFonts w:asciiTheme="majorBidi" w:hAnsiTheme="majorBidi" w:cstheme="majorBidi"/>
                <w:spacing w:val="33"/>
                <w:sz w:val="20"/>
              </w:rPr>
              <w:t xml:space="preserve"> </w:t>
            </w:r>
            <w:r w:rsidRPr="00BB11D1">
              <w:rPr>
                <w:rFonts w:asciiTheme="majorBidi" w:hAnsiTheme="majorBidi" w:cstheme="majorBidi"/>
                <w:sz w:val="20"/>
              </w:rPr>
              <w:t>banking</w:t>
            </w:r>
            <w:r w:rsidRPr="00BB11D1">
              <w:rPr>
                <w:rFonts w:asciiTheme="majorBidi" w:hAnsiTheme="majorBidi" w:cstheme="majorBidi"/>
                <w:spacing w:val="33"/>
                <w:sz w:val="20"/>
              </w:rPr>
              <w:t xml:space="preserve"> </w:t>
            </w:r>
            <w:r w:rsidRPr="00BB11D1">
              <w:rPr>
                <w:rFonts w:asciiTheme="majorBidi" w:hAnsiTheme="majorBidi" w:cstheme="majorBidi"/>
                <w:sz w:val="20"/>
              </w:rPr>
              <w:t>system</w:t>
            </w:r>
            <w:r w:rsidRPr="00BB11D1">
              <w:rPr>
                <w:rFonts w:asciiTheme="majorBidi" w:hAnsiTheme="majorBidi" w:cstheme="majorBidi"/>
                <w:spacing w:val="33"/>
                <w:sz w:val="20"/>
              </w:rPr>
              <w:t xml:space="preserve"> </w:t>
            </w:r>
            <w:r w:rsidRPr="00BB11D1">
              <w:rPr>
                <w:rFonts w:asciiTheme="majorBidi" w:hAnsiTheme="majorBidi" w:cstheme="majorBidi"/>
                <w:sz w:val="20"/>
              </w:rPr>
              <w:t>in</w:t>
            </w:r>
            <w:r w:rsidRPr="00BB11D1">
              <w:rPr>
                <w:rFonts w:asciiTheme="majorBidi" w:hAnsiTheme="majorBidi" w:cstheme="majorBidi"/>
                <w:spacing w:val="34"/>
                <w:sz w:val="20"/>
              </w:rPr>
              <w:t xml:space="preserve"> </w:t>
            </w:r>
            <w:r w:rsidRPr="00BB11D1">
              <w:rPr>
                <w:rFonts w:asciiTheme="majorBidi" w:hAnsiTheme="majorBidi" w:cstheme="majorBidi"/>
                <w:sz w:val="20"/>
              </w:rPr>
              <w:t>money</w:t>
            </w:r>
          </w:p>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creation</w:t>
            </w:r>
          </w:p>
        </w:tc>
        <w:tc>
          <w:tcPr>
            <w:tcW w:w="4678" w:type="dxa"/>
          </w:tcPr>
          <w:p w:rsidR="00BB11D1" w:rsidRPr="00BB11D1" w:rsidRDefault="00BB11D1" w:rsidP="00451448">
            <w:pPr>
              <w:pStyle w:val="TableParagraph"/>
              <w:spacing w:before="4" w:line="254" w:lineRule="auto"/>
              <w:ind w:left="107" w:right="89"/>
              <w:rPr>
                <w:rFonts w:asciiTheme="majorBidi" w:hAnsiTheme="majorBidi" w:cstheme="majorBidi"/>
                <w:sz w:val="20"/>
              </w:rPr>
            </w:pPr>
            <w:r w:rsidRPr="00BB11D1">
              <w:rPr>
                <w:rFonts w:asciiTheme="majorBidi" w:hAnsiTheme="majorBidi" w:cstheme="majorBidi"/>
                <w:sz w:val="20"/>
              </w:rPr>
              <w:t>CBDC</w:t>
            </w:r>
            <w:r w:rsidRPr="00BB11D1">
              <w:rPr>
                <w:rFonts w:asciiTheme="majorBidi" w:hAnsiTheme="majorBidi" w:cstheme="majorBidi"/>
                <w:spacing w:val="-16"/>
                <w:sz w:val="20"/>
              </w:rPr>
              <w:t xml:space="preserve"> </w:t>
            </w:r>
            <w:r w:rsidRPr="00BB11D1">
              <w:rPr>
                <w:rFonts w:asciiTheme="majorBidi" w:hAnsiTheme="majorBidi" w:cstheme="majorBidi"/>
                <w:sz w:val="20"/>
              </w:rPr>
              <w:t>takes</w:t>
            </w:r>
            <w:r w:rsidRPr="00BB11D1">
              <w:rPr>
                <w:rFonts w:asciiTheme="majorBidi" w:hAnsiTheme="majorBidi" w:cstheme="majorBidi"/>
                <w:spacing w:val="-15"/>
                <w:sz w:val="20"/>
              </w:rPr>
              <w:t xml:space="preserve"> </w:t>
            </w:r>
            <w:r w:rsidRPr="00BB11D1">
              <w:rPr>
                <w:rFonts w:asciiTheme="majorBidi" w:hAnsiTheme="majorBidi" w:cstheme="majorBidi"/>
                <w:sz w:val="20"/>
              </w:rPr>
              <w:t>over</w:t>
            </w:r>
            <w:r w:rsidRPr="00BB11D1">
              <w:rPr>
                <w:rFonts w:asciiTheme="majorBidi" w:hAnsiTheme="majorBidi" w:cstheme="majorBidi"/>
                <w:spacing w:val="-16"/>
                <w:sz w:val="20"/>
              </w:rPr>
              <w:t xml:space="preserve"> </w:t>
            </w:r>
            <w:r w:rsidRPr="00BB11D1">
              <w:rPr>
                <w:rFonts w:asciiTheme="majorBidi" w:hAnsiTheme="majorBidi" w:cstheme="majorBidi"/>
                <w:sz w:val="20"/>
              </w:rPr>
              <w:t>to</w:t>
            </w:r>
            <w:r w:rsidRPr="00BB11D1">
              <w:rPr>
                <w:rFonts w:asciiTheme="majorBidi" w:hAnsiTheme="majorBidi" w:cstheme="majorBidi"/>
                <w:spacing w:val="-15"/>
                <w:sz w:val="20"/>
              </w:rPr>
              <w:t xml:space="preserve"> </w:t>
            </w:r>
            <w:r w:rsidRPr="00BB11D1">
              <w:rPr>
                <w:rFonts w:asciiTheme="majorBidi" w:hAnsiTheme="majorBidi" w:cstheme="majorBidi"/>
                <w:sz w:val="20"/>
              </w:rPr>
              <w:t>large</w:t>
            </w:r>
            <w:r w:rsidRPr="00BB11D1">
              <w:rPr>
                <w:rFonts w:asciiTheme="majorBidi" w:hAnsiTheme="majorBidi" w:cstheme="majorBidi"/>
                <w:spacing w:val="-16"/>
                <w:sz w:val="20"/>
              </w:rPr>
              <w:t xml:space="preserve"> </w:t>
            </w:r>
            <w:r w:rsidRPr="00BB11D1">
              <w:rPr>
                <w:rFonts w:asciiTheme="majorBidi" w:hAnsiTheme="majorBidi" w:cstheme="majorBidi"/>
                <w:sz w:val="20"/>
              </w:rPr>
              <w:t>or</w:t>
            </w:r>
            <w:r w:rsidRPr="00BB11D1">
              <w:rPr>
                <w:rFonts w:asciiTheme="majorBidi" w:hAnsiTheme="majorBidi" w:cstheme="majorBidi"/>
                <w:spacing w:val="-16"/>
                <w:sz w:val="20"/>
              </w:rPr>
              <w:t xml:space="preserve"> </w:t>
            </w:r>
            <w:r w:rsidRPr="00BB11D1">
              <w:rPr>
                <w:rFonts w:asciiTheme="majorBidi" w:hAnsiTheme="majorBidi" w:cstheme="majorBidi"/>
                <w:sz w:val="20"/>
              </w:rPr>
              <w:t>full</w:t>
            </w:r>
            <w:r w:rsidRPr="00BB11D1">
              <w:rPr>
                <w:rFonts w:asciiTheme="majorBidi" w:hAnsiTheme="majorBidi" w:cstheme="majorBidi"/>
                <w:spacing w:val="-15"/>
                <w:sz w:val="20"/>
              </w:rPr>
              <w:t xml:space="preserve"> </w:t>
            </w:r>
            <w:r w:rsidRPr="00BB11D1">
              <w:rPr>
                <w:rFonts w:asciiTheme="majorBidi" w:hAnsiTheme="majorBidi" w:cstheme="majorBidi"/>
                <w:sz w:val="20"/>
              </w:rPr>
              <w:t>extent</w:t>
            </w:r>
            <w:r w:rsidRPr="00BB11D1">
              <w:rPr>
                <w:rFonts w:asciiTheme="majorBidi" w:hAnsiTheme="majorBidi" w:cstheme="majorBidi"/>
                <w:spacing w:val="-16"/>
                <w:sz w:val="20"/>
              </w:rPr>
              <w:t xml:space="preserve"> </w:t>
            </w:r>
            <w:r w:rsidRPr="00BB11D1">
              <w:rPr>
                <w:rFonts w:asciiTheme="majorBidi" w:hAnsiTheme="majorBidi" w:cstheme="majorBidi"/>
                <w:sz w:val="20"/>
              </w:rPr>
              <w:t>sight</w:t>
            </w:r>
            <w:r w:rsidRPr="00BB11D1">
              <w:rPr>
                <w:rFonts w:asciiTheme="majorBidi" w:hAnsiTheme="majorBidi" w:cstheme="majorBidi"/>
                <w:spacing w:val="-15"/>
                <w:sz w:val="20"/>
              </w:rPr>
              <w:t xml:space="preserve"> </w:t>
            </w:r>
            <w:r w:rsidRPr="00BB11D1">
              <w:rPr>
                <w:rFonts w:asciiTheme="majorBidi" w:hAnsiTheme="majorBidi" w:cstheme="majorBidi"/>
                <w:sz w:val="20"/>
              </w:rPr>
              <w:t>deposit issuance by</w:t>
            </w:r>
            <w:r w:rsidRPr="00BB11D1">
              <w:rPr>
                <w:rFonts w:asciiTheme="majorBidi" w:hAnsiTheme="majorBidi" w:cstheme="majorBidi"/>
                <w:spacing w:val="-29"/>
                <w:sz w:val="20"/>
              </w:rPr>
              <w:t xml:space="preserve"> </w:t>
            </w:r>
            <w:r w:rsidRPr="00BB11D1">
              <w:rPr>
                <w:rFonts w:asciiTheme="majorBidi" w:hAnsiTheme="majorBidi" w:cstheme="majorBidi"/>
                <w:sz w:val="20"/>
              </w:rPr>
              <w:t>banks</w:t>
            </w:r>
          </w:p>
        </w:tc>
      </w:tr>
      <w:tr w:rsidR="00BB11D1" w:rsidRPr="00BB11D1" w:rsidTr="00BB11D1">
        <w:trPr>
          <w:trHeight w:val="486"/>
          <w:jc w:val="center"/>
        </w:trPr>
        <w:tc>
          <w:tcPr>
            <w:tcW w:w="4834"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D.2</w:t>
            </w:r>
            <w:r w:rsidRPr="00BB11D1">
              <w:rPr>
                <w:rFonts w:asciiTheme="majorBidi" w:hAnsiTheme="majorBidi" w:cstheme="majorBidi"/>
                <w:spacing w:val="-10"/>
                <w:sz w:val="20"/>
              </w:rPr>
              <w:t xml:space="preserve"> </w:t>
            </w:r>
            <w:r w:rsidRPr="00BB11D1">
              <w:rPr>
                <w:rFonts w:asciiTheme="majorBidi" w:hAnsiTheme="majorBidi" w:cstheme="majorBidi"/>
                <w:sz w:val="20"/>
              </w:rPr>
              <w:t>Larger</w:t>
            </w:r>
            <w:r w:rsidRPr="00BB11D1">
              <w:rPr>
                <w:rFonts w:asciiTheme="majorBidi" w:hAnsiTheme="majorBidi" w:cstheme="majorBidi"/>
                <w:spacing w:val="-10"/>
                <w:sz w:val="20"/>
              </w:rPr>
              <w:t xml:space="preserve"> </w:t>
            </w:r>
            <w:r w:rsidRPr="00BB11D1">
              <w:rPr>
                <w:rFonts w:asciiTheme="majorBidi" w:hAnsiTheme="majorBidi" w:cstheme="majorBidi"/>
                <w:sz w:val="20"/>
              </w:rPr>
              <w:t>seignorage</w:t>
            </w:r>
            <w:r w:rsidRPr="00BB11D1">
              <w:rPr>
                <w:rFonts w:asciiTheme="majorBidi" w:hAnsiTheme="majorBidi" w:cstheme="majorBidi"/>
                <w:spacing w:val="-9"/>
                <w:sz w:val="20"/>
              </w:rPr>
              <w:t xml:space="preserve"> </w:t>
            </w:r>
            <w:r w:rsidRPr="00BB11D1">
              <w:rPr>
                <w:rFonts w:asciiTheme="majorBidi" w:hAnsiTheme="majorBidi" w:cstheme="majorBidi"/>
                <w:sz w:val="20"/>
              </w:rPr>
              <w:t>income</w:t>
            </w:r>
            <w:r w:rsidRPr="00BB11D1">
              <w:rPr>
                <w:rFonts w:asciiTheme="majorBidi" w:hAnsiTheme="majorBidi" w:cstheme="majorBidi"/>
                <w:spacing w:val="-10"/>
                <w:sz w:val="20"/>
              </w:rPr>
              <w:t xml:space="preserve"> </w:t>
            </w:r>
            <w:r w:rsidRPr="00BB11D1">
              <w:rPr>
                <w:rFonts w:asciiTheme="majorBidi" w:hAnsiTheme="majorBidi" w:cstheme="majorBidi"/>
                <w:sz w:val="20"/>
              </w:rPr>
              <w:t>to</w:t>
            </w:r>
            <w:r w:rsidRPr="00BB11D1">
              <w:rPr>
                <w:rFonts w:asciiTheme="majorBidi" w:hAnsiTheme="majorBidi" w:cstheme="majorBidi"/>
                <w:spacing w:val="-10"/>
                <w:sz w:val="20"/>
              </w:rPr>
              <w:t xml:space="preserve"> </w:t>
            </w:r>
            <w:r w:rsidRPr="00BB11D1">
              <w:rPr>
                <w:rFonts w:asciiTheme="majorBidi" w:hAnsiTheme="majorBidi" w:cstheme="majorBidi"/>
                <w:sz w:val="20"/>
              </w:rPr>
              <w:t>state</w:t>
            </w:r>
            <w:r w:rsidRPr="00BB11D1">
              <w:rPr>
                <w:rFonts w:asciiTheme="majorBidi" w:hAnsiTheme="majorBidi" w:cstheme="majorBidi"/>
                <w:spacing w:val="-9"/>
                <w:sz w:val="20"/>
              </w:rPr>
              <w:t xml:space="preserve"> </w:t>
            </w:r>
            <w:r w:rsidRPr="00BB11D1">
              <w:rPr>
                <w:rFonts w:asciiTheme="majorBidi" w:hAnsiTheme="majorBidi" w:cstheme="majorBidi"/>
                <w:sz w:val="20"/>
              </w:rPr>
              <w:t>(and</w:t>
            </w:r>
            <w:r w:rsidRPr="00BB11D1">
              <w:rPr>
                <w:rFonts w:asciiTheme="majorBidi" w:hAnsiTheme="majorBidi" w:cstheme="majorBidi"/>
                <w:spacing w:val="-9"/>
                <w:sz w:val="20"/>
              </w:rPr>
              <w:t xml:space="preserve"> </w:t>
            </w:r>
            <w:r w:rsidRPr="00BB11D1">
              <w:rPr>
                <w:rFonts w:asciiTheme="majorBidi" w:hAnsiTheme="majorBidi" w:cstheme="majorBidi"/>
                <w:sz w:val="20"/>
              </w:rPr>
              <w:t>citizens)</w:t>
            </w:r>
            <w:r w:rsidRPr="00BB11D1">
              <w:rPr>
                <w:rFonts w:asciiTheme="majorBidi" w:hAnsiTheme="majorBidi" w:cstheme="majorBidi"/>
                <w:spacing w:val="-10"/>
                <w:sz w:val="20"/>
              </w:rPr>
              <w:t xml:space="preserve"> </w:t>
            </w:r>
            <w:r w:rsidRPr="00BB11D1">
              <w:rPr>
                <w:rFonts w:asciiTheme="majorBidi" w:hAnsiTheme="majorBidi" w:cstheme="majorBidi"/>
                <w:sz w:val="20"/>
              </w:rPr>
              <w:t>as</w:t>
            </w:r>
            <w:r w:rsidRPr="00BB11D1">
              <w:rPr>
                <w:rFonts w:asciiTheme="majorBidi" w:hAnsiTheme="majorBidi" w:cstheme="majorBidi"/>
                <w:spacing w:val="-10"/>
                <w:sz w:val="20"/>
              </w:rPr>
              <w:t xml:space="preserve"> </w:t>
            </w:r>
            <w:r w:rsidRPr="00BB11D1">
              <w:rPr>
                <w:rFonts w:asciiTheme="majorBidi" w:hAnsiTheme="majorBidi" w:cstheme="majorBidi"/>
                <w:sz w:val="20"/>
              </w:rPr>
              <w:t>state</w:t>
            </w:r>
          </w:p>
          <w:p w:rsidR="00BB11D1" w:rsidRPr="00BB11D1" w:rsidRDefault="00BB11D1" w:rsidP="00451448">
            <w:pPr>
              <w:pStyle w:val="TableParagraph"/>
              <w:spacing w:before="12" w:line="220" w:lineRule="exact"/>
              <w:ind w:left="107"/>
              <w:rPr>
                <w:rFonts w:asciiTheme="majorBidi" w:hAnsiTheme="majorBidi" w:cstheme="majorBidi"/>
                <w:sz w:val="20"/>
              </w:rPr>
            </w:pPr>
            <w:proofErr w:type="gramStart"/>
            <w:r w:rsidRPr="00BB11D1">
              <w:rPr>
                <w:rFonts w:asciiTheme="majorBidi" w:hAnsiTheme="majorBidi" w:cstheme="majorBidi"/>
                <w:sz w:val="20"/>
              </w:rPr>
              <w:t>takes</w:t>
            </w:r>
            <w:proofErr w:type="gramEnd"/>
            <w:r w:rsidRPr="00BB11D1">
              <w:rPr>
                <w:rFonts w:asciiTheme="majorBidi" w:hAnsiTheme="majorBidi" w:cstheme="majorBidi"/>
                <w:sz w:val="20"/>
              </w:rPr>
              <w:t xml:space="preserve"> back money creation from banks.</w:t>
            </w:r>
          </w:p>
        </w:tc>
        <w:tc>
          <w:tcPr>
            <w:tcW w:w="4678"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CBDC</w:t>
            </w:r>
            <w:r w:rsidRPr="00BB11D1">
              <w:rPr>
                <w:rFonts w:asciiTheme="majorBidi" w:hAnsiTheme="majorBidi" w:cstheme="majorBidi"/>
                <w:spacing w:val="-12"/>
                <w:sz w:val="20"/>
              </w:rPr>
              <w:t xml:space="preserve"> </w:t>
            </w:r>
            <w:r w:rsidRPr="00BB11D1">
              <w:rPr>
                <w:rFonts w:asciiTheme="majorBidi" w:hAnsiTheme="majorBidi" w:cstheme="majorBidi"/>
                <w:sz w:val="20"/>
              </w:rPr>
              <w:t>takes</w:t>
            </w:r>
            <w:r w:rsidRPr="00BB11D1">
              <w:rPr>
                <w:rFonts w:asciiTheme="majorBidi" w:hAnsiTheme="majorBidi" w:cstheme="majorBidi"/>
                <w:spacing w:val="-11"/>
                <w:sz w:val="20"/>
              </w:rPr>
              <w:t xml:space="preserve"> </w:t>
            </w:r>
            <w:r w:rsidRPr="00BB11D1">
              <w:rPr>
                <w:rFonts w:asciiTheme="majorBidi" w:hAnsiTheme="majorBidi" w:cstheme="majorBidi"/>
                <w:sz w:val="20"/>
              </w:rPr>
              <w:t>over</w:t>
            </w:r>
            <w:r w:rsidRPr="00BB11D1">
              <w:rPr>
                <w:rFonts w:asciiTheme="majorBidi" w:hAnsiTheme="majorBidi" w:cstheme="majorBidi"/>
                <w:spacing w:val="-11"/>
                <w:sz w:val="20"/>
              </w:rPr>
              <w:t xml:space="preserve"> </w:t>
            </w:r>
            <w:r w:rsidRPr="00BB11D1">
              <w:rPr>
                <w:rFonts w:asciiTheme="majorBidi" w:hAnsiTheme="majorBidi" w:cstheme="majorBidi"/>
                <w:sz w:val="20"/>
              </w:rPr>
              <w:t>to</w:t>
            </w:r>
            <w:r w:rsidRPr="00BB11D1">
              <w:rPr>
                <w:rFonts w:asciiTheme="majorBidi" w:hAnsiTheme="majorBidi" w:cstheme="majorBidi"/>
                <w:spacing w:val="-11"/>
                <w:sz w:val="20"/>
              </w:rPr>
              <w:t xml:space="preserve"> </w:t>
            </w:r>
            <w:r w:rsidRPr="00BB11D1">
              <w:rPr>
                <w:rFonts w:asciiTheme="majorBidi" w:hAnsiTheme="majorBidi" w:cstheme="majorBidi"/>
                <w:sz w:val="20"/>
              </w:rPr>
              <w:t>large</w:t>
            </w:r>
            <w:r w:rsidRPr="00BB11D1">
              <w:rPr>
                <w:rFonts w:asciiTheme="majorBidi" w:hAnsiTheme="majorBidi" w:cstheme="majorBidi"/>
                <w:spacing w:val="-12"/>
                <w:sz w:val="20"/>
              </w:rPr>
              <w:t xml:space="preserve"> </w:t>
            </w:r>
            <w:r w:rsidRPr="00BB11D1">
              <w:rPr>
                <w:rFonts w:asciiTheme="majorBidi" w:hAnsiTheme="majorBidi" w:cstheme="majorBidi"/>
                <w:sz w:val="20"/>
              </w:rPr>
              <w:t>or</w:t>
            </w:r>
            <w:r w:rsidRPr="00BB11D1">
              <w:rPr>
                <w:rFonts w:asciiTheme="majorBidi" w:hAnsiTheme="majorBidi" w:cstheme="majorBidi"/>
                <w:spacing w:val="-11"/>
                <w:sz w:val="20"/>
              </w:rPr>
              <w:t xml:space="preserve"> </w:t>
            </w:r>
            <w:r w:rsidRPr="00BB11D1">
              <w:rPr>
                <w:rFonts w:asciiTheme="majorBidi" w:hAnsiTheme="majorBidi" w:cstheme="majorBidi"/>
                <w:sz w:val="20"/>
              </w:rPr>
              <w:t>full</w:t>
            </w:r>
            <w:r w:rsidRPr="00BB11D1">
              <w:rPr>
                <w:rFonts w:asciiTheme="majorBidi" w:hAnsiTheme="majorBidi" w:cstheme="majorBidi"/>
                <w:spacing w:val="-11"/>
                <w:sz w:val="20"/>
              </w:rPr>
              <w:t xml:space="preserve"> </w:t>
            </w:r>
            <w:r w:rsidRPr="00BB11D1">
              <w:rPr>
                <w:rFonts w:asciiTheme="majorBidi" w:hAnsiTheme="majorBidi" w:cstheme="majorBidi"/>
                <w:sz w:val="20"/>
              </w:rPr>
              <w:t>extent</w:t>
            </w:r>
            <w:r w:rsidRPr="00BB11D1">
              <w:rPr>
                <w:rFonts w:asciiTheme="majorBidi" w:hAnsiTheme="majorBidi" w:cstheme="majorBidi"/>
                <w:spacing w:val="-11"/>
                <w:sz w:val="20"/>
              </w:rPr>
              <w:t xml:space="preserve"> </w:t>
            </w:r>
            <w:r w:rsidRPr="00BB11D1">
              <w:rPr>
                <w:rFonts w:asciiTheme="majorBidi" w:hAnsiTheme="majorBidi" w:cstheme="majorBidi"/>
                <w:sz w:val="20"/>
              </w:rPr>
              <w:t>sight</w:t>
            </w:r>
            <w:r w:rsidRPr="00BB11D1">
              <w:rPr>
                <w:rFonts w:asciiTheme="majorBidi" w:hAnsiTheme="majorBidi" w:cstheme="majorBidi"/>
                <w:spacing w:val="-12"/>
                <w:sz w:val="20"/>
              </w:rPr>
              <w:t xml:space="preserve"> </w:t>
            </w:r>
            <w:r w:rsidRPr="00BB11D1">
              <w:rPr>
                <w:rFonts w:asciiTheme="majorBidi" w:hAnsiTheme="majorBidi" w:cstheme="majorBidi"/>
                <w:sz w:val="20"/>
              </w:rPr>
              <w:t>deposit</w:t>
            </w:r>
          </w:p>
          <w:p w:rsidR="00BB11D1" w:rsidRPr="00BB11D1" w:rsidRDefault="00BB11D1" w:rsidP="00451448">
            <w:pPr>
              <w:pStyle w:val="TableParagraph"/>
              <w:spacing w:before="12" w:line="220" w:lineRule="exact"/>
              <w:ind w:left="107"/>
              <w:rPr>
                <w:rFonts w:asciiTheme="majorBidi" w:hAnsiTheme="majorBidi" w:cstheme="majorBidi"/>
                <w:sz w:val="20"/>
              </w:rPr>
            </w:pPr>
            <w:r w:rsidRPr="00BB11D1">
              <w:rPr>
                <w:rFonts w:asciiTheme="majorBidi" w:hAnsiTheme="majorBidi" w:cstheme="majorBidi"/>
                <w:sz w:val="20"/>
              </w:rPr>
              <w:t>issuance by banks</w:t>
            </w:r>
          </w:p>
        </w:tc>
      </w:tr>
    </w:tbl>
    <w:p w:rsidR="000255A4" w:rsidRPr="00BB11D1" w:rsidRDefault="000255A4" w:rsidP="006A2441">
      <w:pPr>
        <w:pStyle w:val="BodyText"/>
        <w:bidi/>
        <w:rPr>
          <w:rFonts w:asciiTheme="majorBidi" w:hAnsiTheme="majorBidi" w:cstheme="majorBidi"/>
          <w:i/>
          <w:color w:val="FF0000"/>
        </w:rPr>
      </w:pPr>
    </w:p>
    <w:p w:rsidR="000255A4" w:rsidRDefault="000255A4" w:rsidP="006A2441">
      <w:pPr>
        <w:pStyle w:val="BodyText"/>
        <w:bidi/>
        <w:spacing w:before="10"/>
        <w:rPr>
          <w:rFonts w:asciiTheme="majorBidi" w:hAnsiTheme="majorBidi" w:cstheme="majorBidi"/>
          <w:i/>
          <w:color w:val="FF0000"/>
          <w:sz w:val="24"/>
          <w:lang w:bidi="ar-SA"/>
        </w:rPr>
      </w:pPr>
    </w:p>
    <w:p w:rsidR="0010677D" w:rsidRDefault="0010677D" w:rsidP="0010677D">
      <w:pPr>
        <w:pStyle w:val="BodyText"/>
        <w:bidi/>
        <w:spacing w:before="10"/>
        <w:rPr>
          <w:rFonts w:asciiTheme="majorBidi" w:hAnsiTheme="majorBidi" w:cstheme="majorBidi"/>
          <w:i/>
          <w:color w:val="FF0000"/>
          <w:sz w:val="24"/>
          <w:lang w:bidi="ar-SA"/>
        </w:rPr>
      </w:pPr>
    </w:p>
    <w:p w:rsidR="0010677D" w:rsidRDefault="0010677D" w:rsidP="0010677D">
      <w:pPr>
        <w:pStyle w:val="BodyText"/>
        <w:bidi/>
        <w:spacing w:before="10"/>
        <w:rPr>
          <w:rFonts w:asciiTheme="majorBidi" w:hAnsiTheme="majorBidi" w:cstheme="majorBidi"/>
          <w:i/>
          <w:color w:val="FF0000"/>
          <w:sz w:val="24"/>
          <w:lang w:bidi="ar-SA"/>
        </w:rPr>
      </w:pPr>
    </w:p>
    <w:p w:rsidR="00BB11D1" w:rsidRPr="00BB11D1" w:rsidRDefault="00BB11D1" w:rsidP="00BB11D1">
      <w:pPr>
        <w:pStyle w:val="BodyText"/>
        <w:bidi/>
        <w:spacing w:before="10"/>
        <w:rPr>
          <w:rFonts w:asciiTheme="majorBidi" w:hAnsiTheme="majorBidi" w:cstheme="majorBidi"/>
          <w:i/>
          <w:color w:val="FF0000"/>
          <w:sz w:val="24"/>
        </w:rPr>
      </w:pPr>
    </w:p>
    <w:p w:rsidR="000255A4" w:rsidRPr="00BB11D1" w:rsidRDefault="009C2E3C" w:rsidP="006A2441">
      <w:pPr>
        <w:pStyle w:val="BodyText"/>
        <w:bidi/>
        <w:spacing w:before="1"/>
        <w:ind w:left="249"/>
        <w:jc w:val="both"/>
        <w:rPr>
          <w:rFonts w:asciiTheme="majorBidi" w:hAnsiTheme="majorBidi" w:cstheme="majorBidi"/>
        </w:rPr>
      </w:pPr>
      <w:r w:rsidRPr="00BB11D1">
        <w:rPr>
          <w:rFonts w:asciiTheme="majorBidi" w:hAnsiTheme="majorBidi" w:cstheme="majorBidi"/>
          <w:rtl/>
          <w:lang w:bidi="ar-SA"/>
        </w:rPr>
        <w:lastRenderedPageBreak/>
        <w:t>النظر</w:t>
      </w:r>
      <w:r w:rsidRPr="00BB11D1">
        <w:rPr>
          <w:rFonts w:asciiTheme="majorBidi" w:hAnsiTheme="majorBidi" w:cstheme="majorBidi"/>
        </w:rPr>
        <w:t xml:space="preserve"> </w:t>
      </w:r>
      <w:r w:rsidRPr="00BB11D1">
        <w:rPr>
          <w:rFonts w:asciiTheme="majorBidi" w:hAnsiTheme="majorBidi" w:cstheme="majorBidi"/>
          <w:rtl/>
          <w:lang w:bidi="ar-SA"/>
        </w:rPr>
        <w:t>في</w:t>
      </w:r>
      <w:r w:rsidRPr="00BB11D1">
        <w:rPr>
          <w:rFonts w:asciiTheme="majorBidi" w:hAnsiTheme="majorBidi" w:cstheme="majorBidi"/>
        </w:rPr>
        <w:t xml:space="preserve"> </w:t>
      </w:r>
      <w:r w:rsidRPr="00BB11D1">
        <w:rPr>
          <w:rFonts w:asciiTheme="majorBidi" w:hAnsiTheme="majorBidi" w:cstheme="majorBidi"/>
          <w:rtl/>
          <w:lang w:bidi="ar-SA"/>
        </w:rPr>
        <w:t>هذه</w:t>
      </w:r>
      <w:r w:rsidRPr="00BB11D1">
        <w:rPr>
          <w:rFonts w:asciiTheme="majorBidi" w:hAnsiTheme="majorBidi" w:cstheme="majorBidi"/>
        </w:rPr>
        <w:t xml:space="preserve"> </w:t>
      </w:r>
      <w:r w:rsidRPr="00BB11D1">
        <w:rPr>
          <w:rFonts w:asciiTheme="majorBidi" w:hAnsiTheme="majorBidi" w:cstheme="majorBidi"/>
          <w:rtl/>
          <w:lang w:bidi="ar-SA"/>
        </w:rPr>
        <w:t>الحجج</w:t>
      </w:r>
      <w:r w:rsidRPr="00BB11D1">
        <w:rPr>
          <w:rFonts w:asciiTheme="majorBidi" w:hAnsiTheme="majorBidi" w:cstheme="majorBidi"/>
        </w:rPr>
        <w:t xml:space="preserve"> </w:t>
      </w:r>
      <w:r w:rsidRPr="00BB11D1">
        <w:rPr>
          <w:rFonts w:asciiTheme="majorBidi" w:hAnsiTheme="majorBidi" w:cstheme="majorBidi"/>
          <w:rtl/>
          <w:lang w:bidi="ar-SA"/>
        </w:rPr>
        <w:t>الممكنة</w:t>
      </w:r>
      <w:r w:rsidRPr="00BB11D1">
        <w:rPr>
          <w:rFonts w:asciiTheme="majorBidi" w:hAnsiTheme="majorBidi" w:cstheme="majorBidi"/>
        </w:rPr>
        <w:t xml:space="preserve"> </w:t>
      </w:r>
      <w:r w:rsidRPr="00BB11D1">
        <w:rPr>
          <w:rFonts w:asciiTheme="majorBidi" w:hAnsiTheme="majorBidi" w:cstheme="majorBidi"/>
          <w:rtl/>
          <w:lang w:bidi="ar-SA"/>
        </w:rPr>
        <w:t>لصالح</w:t>
      </w:r>
      <w:r w:rsidRPr="00BB11D1">
        <w:rPr>
          <w:rFonts w:asciiTheme="majorBidi" w:hAnsiTheme="majorBidi" w:cstheme="majorBidi"/>
        </w:rPr>
        <w:t xml:space="preserve"> CBDC </w:t>
      </w:r>
      <w:r w:rsidRPr="00BB11D1">
        <w:rPr>
          <w:rFonts w:asciiTheme="majorBidi" w:hAnsiTheme="majorBidi" w:cstheme="majorBidi"/>
          <w:rtl/>
          <w:lang w:bidi="ar-SA"/>
        </w:rPr>
        <w:t>بمزيد</w:t>
      </w:r>
      <w:r w:rsidRPr="00BB11D1">
        <w:rPr>
          <w:rFonts w:asciiTheme="majorBidi" w:hAnsiTheme="majorBidi" w:cstheme="majorBidi"/>
        </w:rPr>
        <w:t xml:space="preserve"> </w:t>
      </w:r>
      <w:r w:rsidRPr="00BB11D1">
        <w:rPr>
          <w:rFonts w:asciiTheme="majorBidi" w:hAnsiTheme="majorBidi" w:cstheme="majorBidi"/>
          <w:rtl/>
          <w:lang w:bidi="ar-SA"/>
        </w:rPr>
        <w:t>من</w:t>
      </w:r>
      <w:r w:rsidRPr="00BB11D1">
        <w:rPr>
          <w:rFonts w:asciiTheme="majorBidi" w:hAnsiTheme="majorBidi" w:cstheme="majorBidi"/>
        </w:rPr>
        <w:t xml:space="preserve"> </w:t>
      </w:r>
      <w:r w:rsidRPr="00BB11D1">
        <w:rPr>
          <w:rFonts w:asciiTheme="majorBidi" w:hAnsiTheme="majorBidi" w:cstheme="majorBidi"/>
          <w:rtl/>
          <w:lang w:bidi="ar-SA"/>
        </w:rPr>
        <w:t>التفاصيل</w:t>
      </w:r>
      <w:r w:rsidRPr="00BB11D1">
        <w:rPr>
          <w:rFonts w:asciiTheme="majorBidi" w:hAnsiTheme="majorBidi" w:cstheme="majorBidi"/>
        </w:rPr>
        <w:t xml:space="preserve"> </w:t>
      </w:r>
      <w:r w:rsidRPr="00BB11D1">
        <w:rPr>
          <w:rFonts w:asciiTheme="majorBidi" w:hAnsiTheme="majorBidi" w:cstheme="majorBidi"/>
          <w:rtl/>
          <w:lang w:bidi="ar-SA"/>
        </w:rPr>
        <w:t>أدناه</w:t>
      </w:r>
      <w:r w:rsidRPr="00BB11D1">
        <w:rPr>
          <w:rFonts w:asciiTheme="majorBidi" w:hAnsiTheme="majorBidi" w:cstheme="majorBidi"/>
        </w:rPr>
        <w:t>.</w:t>
      </w:r>
    </w:p>
    <w:p w:rsidR="000255A4" w:rsidRPr="00BB11D1" w:rsidRDefault="000255A4" w:rsidP="006A2441">
      <w:pPr>
        <w:pStyle w:val="BodyText"/>
        <w:bidi/>
        <w:spacing w:before="8"/>
        <w:rPr>
          <w:rFonts w:asciiTheme="majorBidi" w:hAnsiTheme="majorBidi" w:cstheme="majorBidi"/>
          <w:sz w:val="24"/>
        </w:rPr>
      </w:pPr>
    </w:p>
    <w:p w:rsidR="000255A4" w:rsidRPr="00BB11D1" w:rsidRDefault="009C2E3C" w:rsidP="00BB11D1">
      <w:pPr>
        <w:pStyle w:val="Heading3"/>
        <w:numPr>
          <w:ilvl w:val="0"/>
          <w:numId w:val="12"/>
        </w:numPr>
        <w:tabs>
          <w:tab w:val="left" w:pos="517"/>
        </w:tabs>
        <w:bidi/>
        <w:spacing w:before="1" w:line="480" w:lineRule="auto"/>
        <w:ind w:hanging="268"/>
        <w:rPr>
          <w:rFonts w:asciiTheme="majorBidi" w:hAnsiTheme="majorBidi" w:cstheme="majorBidi"/>
        </w:rPr>
      </w:pPr>
      <w:r w:rsidRPr="00BB11D1">
        <w:rPr>
          <w:rFonts w:asciiTheme="majorBidi" w:hAnsiTheme="majorBidi" w:cstheme="majorBidi"/>
          <w:rtl/>
          <w:lang w:bidi="ar-SA"/>
        </w:rPr>
        <w:t>مدفوعات</w:t>
      </w:r>
      <w:r w:rsidRPr="00BB11D1">
        <w:rPr>
          <w:rFonts w:asciiTheme="majorBidi" w:hAnsiTheme="majorBidi" w:cstheme="majorBidi"/>
        </w:rPr>
        <w:t xml:space="preserve"> </w:t>
      </w:r>
      <w:r w:rsidRPr="00BB11D1">
        <w:rPr>
          <w:rFonts w:asciiTheme="majorBidi" w:hAnsiTheme="majorBidi" w:cstheme="majorBidi"/>
          <w:rtl/>
          <w:lang w:bidi="ar-SA"/>
        </w:rPr>
        <w:t>التجزئة</w:t>
      </w:r>
      <w:r w:rsidRPr="00BB11D1">
        <w:rPr>
          <w:rFonts w:asciiTheme="majorBidi" w:hAnsiTheme="majorBidi" w:cstheme="majorBidi"/>
        </w:rPr>
        <w:t xml:space="preserve"> </w:t>
      </w:r>
      <w:r w:rsidR="006A2441" w:rsidRPr="00BB11D1">
        <w:rPr>
          <w:rFonts w:asciiTheme="majorBidi" w:hAnsiTheme="majorBidi" w:cstheme="majorBidi"/>
          <w:rtl/>
          <w:lang w:bidi="ar-LB"/>
        </w:rPr>
        <w:t>الفعالة</w:t>
      </w:r>
    </w:p>
    <w:p w:rsidR="006A2441" w:rsidRPr="00BB11D1" w:rsidRDefault="006A244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يوفر </w:t>
      </w:r>
      <w:r w:rsidRPr="00BB11D1">
        <w:rPr>
          <w:rFonts w:asciiTheme="majorBidi" w:hAnsiTheme="majorBidi" w:cstheme="majorBidi"/>
        </w:rPr>
        <w:t>CBDC</w:t>
      </w:r>
      <w:r w:rsidRPr="00BB11D1">
        <w:rPr>
          <w:rFonts w:asciiTheme="majorBidi" w:hAnsiTheme="majorBidi" w:cstheme="majorBidi"/>
          <w:rtl/>
          <w:lang w:bidi="ar-SA"/>
        </w:rPr>
        <w:t xml:space="preserve"> عددًا من المزايا فيما يتعلق بالراحة والكفاءة والاستقرار وسهولة الوصول إلى الدفع بالتجزئة. في حين أن المدفوعات الإلكترونية بكل مكاسبها في الكفاءة كانت ممكنة لعدة عقود على أساس أموال البنك التجاري ، فإن تقديم المدفوعات الإلكترونية مباشرة بأموال البنك المركزي يمكن أن يكون له مزايا إضافية. يمكن العثور على تحليل شامل لهذه المبررات الخاصة بـ </w:t>
      </w:r>
      <w:r w:rsidRPr="00BB11D1">
        <w:rPr>
          <w:rFonts w:asciiTheme="majorBidi" w:hAnsiTheme="majorBidi" w:cstheme="majorBidi"/>
        </w:rPr>
        <w:t>CBDC</w:t>
      </w:r>
      <w:r w:rsidRPr="00BB11D1">
        <w:rPr>
          <w:rFonts w:asciiTheme="majorBidi" w:hAnsiTheme="majorBidi" w:cstheme="majorBidi"/>
          <w:rtl/>
          <w:lang w:bidi="ar-SA"/>
        </w:rPr>
        <w:t xml:space="preserve"> على سبيل المثال في التقرير الثاني لـ </w:t>
      </w:r>
      <w:r w:rsidRPr="00BB11D1">
        <w:rPr>
          <w:rFonts w:asciiTheme="majorBidi" w:hAnsiTheme="majorBidi" w:cstheme="majorBidi"/>
        </w:rPr>
        <w:t>Sveriges Riksbank (2018</w:t>
      </w:r>
      <w:r w:rsidRPr="00BB11D1">
        <w:rPr>
          <w:rFonts w:asciiTheme="majorBidi" w:hAnsiTheme="majorBidi" w:cstheme="majorBidi"/>
          <w:rtl/>
          <w:lang w:bidi="ar-SA"/>
        </w:rPr>
        <w:t>) عن مشروع الكرونا الإلكترونية.</w:t>
      </w:r>
    </w:p>
    <w:p w:rsidR="000255A4" w:rsidRPr="00BB11D1" w:rsidRDefault="006A2441" w:rsidP="006A2441">
      <w:pPr>
        <w:bidi/>
        <w:spacing w:line="480" w:lineRule="auto"/>
        <w:jc w:val="both"/>
        <w:rPr>
          <w:rFonts w:asciiTheme="majorBidi" w:hAnsiTheme="majorBidi" w:cstheme="majorBidi"/>
        </w:rPr>
      </w:pPr>
      <w:r w:rsidRPr="00BB11D1">
        <w:rPr>
          <w:rFonts w:asciiTheme="majorBidi" w:hAnsiTheme="majorBidi" w:cstheme="majorBidi"/>
          <w:rtl/>
          <w:lang w:bidi="ar-SA"/>
        </w:rPr>
        <w:t xml:space="preserve">باختصار ، فإن انهيار الطلب على النقد في غياب </w:t>
      </w:r>
      <w:r w:rsidRPr="00BB11D1">
        <w:rPr>
          <w:rFonts w:asciiTheme="majorBidi" w:hAnsiTheme="majorBidi" w:cstheme="majorBidi"/>
        </w:rPr>
        <w:t>CBDC</w:t>
      </w:r>
      <w:r w:rsidRPr="00BB11D1">
        <w:rPr>
          <w:rFonts w:asciiTheme="majorBidi" w:hAnsiTheme="majorBidi" w:cstheme="majorBidi"/>
          <w:rtl/>
          <w:lang w:bidi="ar-SA"/>
        </w:rPr>
        <w:t xml:space="preserve"> يعني ضمناً أن المواطنين لن يعودوا قادرين على الوصول إلى ميزانية البنك المركزي. في تلك الحالة من العالم ، تعتمد الثقة في العملة اعتمادًا كليًا على الثقة في الوسطاء الماليين الذين يصدرون ويديرون الأموال التجارية. يخلص بنك </w:t>
      </w:r>
      <w:r w:rsidRPr="00BB11D1">
        <w:rPr>
          <w:rFonts w:asciiTheme="majorBidi" w:hAnsiTheme="majorBidi" w:cstheme="majorBidi"/>
        </w:rPr>
        <w:t>Riksbank</w:t>
      </w:r>
      <w:r w:rsidRPr="00BB11D1">
        <w:rPr>
          <w:rFonts w:asciiTheme="majorBidi" w:hAnsiTheme="majorBidi" w:cstheme="majorBidi"/>
          <w:rtl/>
          <w:lang w:bidi="ar-SA"/>
        </w:rPr>
        <w:t xml:space="preserve"> على أساس تقريره بأن "التركيز المقترح لهذا البرنامج يجب أن يكون على تطوير الكرونا الإلكترونية التي تشكل قيمة مسبقة الدفع (النقود الإلكترونية) بدون فوائد ومعاملات قابلة للتتبع". تقرير بارونتيني وهولدن (2019 ، 3-4) أيضًا عن تجريبي تم إجراؤه مؤخرًا من قِبل البنك المركزي لأوروغواي ، والذي سيكون مؤهلاً ليكون تجربة </w:t>
      </w:r>
      <w:r w:rsidRPr="00BB11D1">
        <w:rPr>
          <w:rFonts w:asciiTheme="majorBidi" w:hAnsiTheme="majorBidi" w:cstheme="majorBidi"/>
        </w:rPr>
        <w:t>CBDC</w:t>
      </w:r>
      <w:r w:rsidRPr="00BB11D1">
        <w:rPr>
          <w:rFonts w:asciiTheme="majorBidi" w:hAnsiTheme="majorBidi" w:cstheme="majorBidi"/>
          <w:rtl/>
          <w:lang w:bidi="ar-SA"/>
        </w:rPr>
        <w:t xml:space="preserve"> الأكثر تقدماً وملموسة حتى الآن ، والتي كانت جزءًا من برنامج الإدماج المالي.</w:t>
      </w:r>
    </w:p>
    <w:p w:rsidR="000255A4" w:rsidRPr="00BB11D1" w:rsidRDefault="006A2441" w:rsidP="006A2441">
      <w:pPr>
        <w:pStyle w:val="BodyText"/>
        <w:bidi/>
        <w:spacing w:before="8"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وبالتالي يمكن التمييز بين عدد من الحجج التي تعزز حالة </w:t>
      </w:r>
      <w:r w:rsidR="00BB11D1">
        <w:rPr>
          <w:rFonts w:asciiTheme="majorBidi" w:hAnsiTheme="majorBidi" w:cstheme="majorBidi"/>
          <w:lang w:bidi="ar-SA"/>
        </w:rPr>
        <w:t>CBDC</w:t>
      </w:r>
      <w:r w:rsidRPr="00BB11D1">
        <w:rPr>
          <w:rFonts w:asciiTheme="majorBidi" w:hAnsiTheme="majorBidi" w:cstheme="majorBidi"/>
          <w:rtl/>
          <w:lang w:bidi="ar-SA"/>
        </w:rPr>
        <w:t xml:space="preserve"> لدعم مدفوعات التجزئة الفعالة: (1) تلاشي الطلب على الأوراق النقدية ؛ (2) الوصول غير المرضي للأسهم ذات الصلة من الأسر إلى النظام المصرفي التجاري ، والذي يمكن أن يحدث في كل من البلدان الأقل نموا (مع نظام مصرفي متخلف عموما) والبلدان ذات التفاوت المرتفع نسبيا في الدخل ، مثل الولايات المتحدة (انظر </w:t>
      </w:r>
      <w:r w:rsidRPr="00BB11D1">
        <w:rPr>
          <w:rFonts w:asciiTheme="majorBidi" w:hAnsiTheme="majorBidi" w:cstheme="majorBidi"/>
        </w:rPr>
        <w:t xml:space="preserve">Rogoff </w:t>
      </w:r>
      <w:r w:rsidRPr="00BB11D1">
        <w:rPr>
          <w:rFonts w:asciiTheme="majorBidi" w:hAnsiTheme="majorBidi" w:cstheme="majorBidi"/>
          <w:rtl/>
          <w:lang w:bidi="ar-SA"/>
        </w:rPr>
        <w:t xml:space="preserve">، </w:t>
      </w:r>
      <w:r w:rsidRPr="00BB11D1">
        <w:rPr>
          <w:rFonts w:asciiTheme="majorBidi" w:hAnsiTheme="majorBidi" w:cstheme="majorBidi"/>
        </w:rPr>
        <w:t>2016</w:t>
      </w:r>
      <w:r w:rsidRPr="00BB11D1">
        <w:rPr>
          <w:rFonts w:asciiTheme="majorBidi" w:hAnsiTheme="majorBidi" w:cstheme="majorBidi"/>
          <w:rtl/>
          <w:lang w:bidi="ar-SA"/>
        </w:rPr>
        <w:t xml:space="preserve"> )؛ (3) بنية تحتية لمبيعات التجزئة غير مستقرة أو مركزة بشكل كبير. يفيد مسح </w:t>
      </w:r>
      <w:r w:rsidRPr="00BB11D1">
        <w:rPr>
          <w:rFonts w:asciiTheme="majorBidi" w:hAnsiTheme="majorBidi" w:cstheme="majorBidi"/>
        </w:rPr>
        <w:t>CBDC</w:t>
      </w:r>
      <w:r w:rsidRPr="00BB11D1">
        <w:rPr>
          <w:rFonts w:asciiTheme="majorBidi" w:hAnsiTheme="majorBidi" w:cstheme="majorBidi"/>
          <w:rtl/>
          <w:lang w:bidi="ar-SA"/>
        </w:rPr>
        <w:t xml:space="preserve"> بين البنوك المركزية لـ </w:t>
      </w:r>
      <w:r w:rsidRPr="00BB11D1">
        <w:rPr>
          <w:rFonts w:asciiTheme="majorBidi" w:hAnsiTheme="majorBidi" w:cstheme="majorBidi"/>
        </w:rPr>
        <w:t>Barontini and Holden (2019</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8</w:t>
      </w:r>
      <w:r w:rsidRPr="00BB11D1">
        <w:rPr>
          <w:rFonts w:asciiTheme="majorBidi" w:hAnsiTheme="majorBidi" w:cstheme="majorBidi"/>
          <w:rtl/>
          <w:lang w:bidi="ar-SA"/>
        </w:rPr>
        <w:t xml:space="preserve">) أنه بالنسبة للبنوك المركزية ، فإن الأسباب الأربعة الأكثر شيوعًا للنظر في </w:t>
      </w:r>
      <w:r w:rsidRPr="00BB11D1">
        <w:rPr>
          <w:rFonts w:asciiTheme="majorBidi" w:hAnsiTheme="majorBidi" w:cstheme="majorBidi"/>
        </w:rPr>
        <w:t>CBDC</w:t>
      </w:r>
      <w:r w:rsidRPr="00BB11D1">
        <w:rPr>
          <w:rFonts w:asciiTheme="majorBidi" w:hAnsiTheme="majorBidi" w:cstheme="majorBidi"/>
          <w:rtl/>
          <w:lang w:bidi="ar-SA"/>
        </w:rPr>
        <w:t xml:space="preserve"> هي ، وفق ترتيب الأهمية هذا ، (1) سلامة الدفع ؛ (2) كفاءة الدفع ؛ (3) الاستقرار المالي و (4) الإدماج المالي. يبدو أن الاستقرار المالي هو الوحيد الذي يندرج ضمن الفئة "أ" من الحجج لصالح </w:t>
      </w:r>
      <w:r w:rsidR="00BB11D1">
        <w:rPr>
          <w:rFonts w:asciiTheme="majorBidi" w:hAnsiTheme="majorBidi" w:cstheme="majorBidi"/>
          <w:lang w:bidi="ar-SA"/>
        </w:rPr>
        <w:t>CBDC</w:t>
      </w:r>
      <w:r w:rsidRPr="00BB11D1">
        <w:rPr>
          <w:rFonts w:asciiTheme="majorBidi" w:hAnsiTheme="majorBidi" w:cstheme="majorBidi"/>
          <w:rtl/>
          <w:lang w:bidi="ar-SA"/>
        </w:rPr>
        <w:t>.</w:t>
      </w:r>
    </w:p>
    <w:p w:rsidR="006A2441" w:rsidRPr="00BB11D1" w:rsidRDefault="006A2441" w:rsidP="006A2441">
      <w:pPr>
        <w:pStyle w:val="BodyText"/>
        <w:bidi/>
        <w:spacing w:before="8"/>
        <w:rPr>
          <w:rFonts w:asciiTheme="majorBidi" w:hAnsiTheme="majorBidi" w:cstheme="majorBidi"/>
          <w:sz w:val="23"/>
        </w:rPr>
      </w:pPr>
    </w:p>
    <w:p w:rsidR="006A2441" w:rsidRPr="00BB11D1" w:rsidRDefault="009C2E3C" w:rsidP="006A2441">
      <w:pPr>
        <w:pStyle w:val="Heading3"/>
        <w:numPr>
          <w:ilvl w:val="0"/>
          <w:numId w:val="12"/>
        </w:numPr>
        <w:tabs>
          <w:tab w:val="left" w:pos="505"/>
        </w:tabs>
        <w:bidi/>
        <w:spacing w:before="14" w:line="254" w:lineRule="auto"/>
        <w:ind w:right="767"/>
        <w:jc w:val="both"/>
        <w:rPr>
          <w:rFonts w:asciiTheme="majorBidi" w:hAnsiTheme="majorBidi" w:cstheme="majorBidi"/>
        </w:rPr>
      </w:pPr>
      <w:r w:rsidRPr="00BB11D1">
        <w:rPr>
          <w:rFonts w:asciiTheme="majorBidi" w:hAnsiTheme="majorBidi" w:cstheme="majorBidi"/>
          <w:rtl/>
          <w:lang w:bidi="ar-SA"/>
        </w:rPr>
        <w:t>منع</w:t>
      </w:r>
      <w:r w:rsidR="006A2441" w:rsidRPr="00BB11D1">
        <w:rPr>
          <w:rFonts w:asciiTheme="majorBidi" w:hAnsiTheme="majorBidi" w:cstheme="majorBidi"/>
          <w:rtl/>
          <w:lang w:bidi="ar-SA"/>
        </w:rPr>
        <w:t xml:space="preserve"> الدفع غير المشروع وتخزين القيمة بأموال البنك المركزي</w:t>
      </w:r>
    </w:p>
    <w:p w:rsidR="006A2441" w:rsidRPr="00BB11D1" w:rsidRDefault="006A2441" w:rsidP="006A2441">
      <w:pPr>
        <w:pStyle w:val="Heading3"/>
        <w:tabs>
          <w:tab w:val="left" w:pos="505"/>
        </w:tabs>
        <w:bidi/>
        <w:spacing w:before="14" w:line="254" w:lineRule="auto"/>
        <w:ind w:left="516" w:right="767"/>
        <w:jc w:val="both"/>
        <w:rPr>
          <w:rFonts w:asciiTheme="majorBidi" w:hAnsiTheme="majorBidi" w:cstheme="majorBidi"/>
        </w:rPr>
      </w:pPr>
    </w:p>
    <w:p w:rsidR="000255A4" w:rsidRPr="00BB11D1" w:rsidRDefault="006A2441" w:rsidP="006A2441">
      <w:pPr>
        <w:pStyle w:val="BodyText"/>
        <w:bidi/>
        <w:spacing w:before="8" w:line="480" w:lineRule="auto"/>
        <w:jc w:val="both"/>
        <w:rPr>
          <w:rFonts w:asciiTheme="majorBidi" w:hAnsiTheme="majorBidi" w:cstheme="majorBidi"/>
          <w:sz w:val="23"/>
        </w:rPr>
      </w:pPr>
      <w:r w:rsidRPr="00BB11D1">
        <w:rPr>
          <w:rFonts w:asciiTheme="majorBidi" w:hAnsiTheme="majorBidi" w:cstheme="majorBidi"/>
          <w:rtl/>
          <w:lang w:bidi="ar-SA"/>
        </w:rPr>
        <w:t xml:space="preserve">هذه الحجة ، التي تفترض التوقف أو على الأقل انخفاض كبير في دور الأوراق النقدية ، يتم تطويرها بأكثر التفاصيل من خلال مثال: روغوف (2016). من الواضح أن هذا الدافع من </w:t>
      </w:r>
      <w:r w:rsidRPr="00BB11D1">
        <w:rPr>
          <w:rFonts w:asciiTheme="majorBidi" w:hAnsiTheme="majorBidi" w:cstheme="majorBidi"/>
          <w:lang w:bidi="ar-SA"/>
        </w:rPr>
        <w:t>CBDC</w:t>
      </w:r>
      <w:r w:rsidRPr="00BB11D1">
        <w:rPr>
          <w:rFonts w:asciiTheme="majorBidi" w:hAnsiTheme="majorBidi" w:cstheme="majorBidi"/>
          <w:rtl/>
          <w:lang w:bidi="ar-SA"/>
        </w:rPr>
        <w:t xml:space="preserve"> لن ينطبق إذا كان </w:t>
      </w:r>
      <w:r w:rsidRPr="00BB11D1">
        <w:rPr>
          <w:rFonts w:asciiTheme="majorBidi" w:hAnsiTheme="majorBidi" w:cstheme="majorBidi"/>
          <w:lang w:bidi="ar-SA"/>
        </w:rPr>
        <w:t>CBDC</w:t>
      </w:r>
      <w:r w:rsidRPr="00BB11D1">
        <w:rPr>
          <w:rFonts w:asciiTheme="majorBidi" w:hAnsiTheme="majorBidi" w:cstheme="majorBidi"/>
          <w:rtl/>
          <w:lang w:bidi="ar-SA"/>
        </w:rPr>
        <w:t xml:space="preserve"> يدور كأموال رمزية مجهولة المصدر حتى بالنسبة للمبالغ العالية. البعض ، مثل </w:t>
      </w:r>
      <w:r w:rsidRPr="00BB11D1">
        <w:rPr>
          <w:rFonts w:asciiTheme="majorBidi" w:hAnsiTheme="majorBidi" w:cstheme="majorBidi"/>
          <w:lang w:bidi="ar-SA"/>
        </w:rPr>
        <w:t>Häring (2018</w:t>
      </w:r>
      <w:r w:rsidRPr="00BB11D1">
        <w:rPr>
          <w:rFonts w:asciiTheme="majorBidi" w:hAnsiTheme="majorBidi" w:cstheme="majorBidi"/>
          <w:rtl/>
          <w:lang w:bidi="ar-SA"/>
        </w:rPr>
        <w:t xml:space="preserve">) ، الذين سبق شغلهم بشدة مع خصوصية المدفوعات والخوف من أن تجار التجزئة على الإنترنت وسلطات الدولة يستخدمون بيانات الدفع للحد من حرية المواطنين في نهاية المطاف ، لن يوافقوا على هذه الحجة المحددة ل </w:t>
      </w:r>
      <w:r w:rsidRPr="00BB11D1">
        <w:rPr>
          <w:rFonts w:asciiTheme="majorBidi" w:hAnsiTheme="majorBidi" w:cstheme="majorBidi"/>
          <w:lang w:bidi="ar-SA"/>
        </w:rPr>
        <w:t>CBDC</w:t>
      </w:r>
      <w:r w:rsidRPr="00BB11D1">
        <w:rPr>
          <w:rFonts w:asciiTheme="majorBidi" w:eastAsia="Trebuchet MS" w:hAnsiTheme="majorBidi" w:cstheme="majorBidi"/>
          <w:b/>
          <w:bCs/>
          <w:sz w:val="24"/>
          <w:szCs w:val="24"/>
          <w:rtl/>
          <w:lang w:bidi="ar-SA"/>
        </w:rPr>
        <w:t>.</w:t>
      </w:r>
    </w:p>
    <w:p w:rsidR="000255A4" w:rsidRPr="00BB11D1" w:rsidRDefault="009C2E3C" w:rsidP="00BB11D1">
      <w:pPr>
        <w:pStyle w:val="Heading3"/>
        <w:numPr>
          <w:ilvl w:val="1"/>
          <w:numId w:val="11"/>
        </w:numPr>
        <w:tabs>
          <w:tab w:val="left" w:pos="620"/>
        </w:tabs>
        <w:bidi/>
        <w:spacing w:line="480" w:lineRule="auto"/>
        <w:rPr>
          <w:rFonts w:asciiTheme="majorBidi" w:hAnsiTheme="majorBidi" w:cstheme="majorBidi"/>
        </w:rPr>
      </w:pPr>
      <w:r w:rsidRPr="00BB11D1">
        <w:rPr>
          <w:rFonts w:asciiTheme="majorBidi" w:hAnsiTheme="majorBidi" w:cstheme="majorBidi"/>
          <w:rtl/>
          <w:lang w:bidi="ar-SA"/>
        </w:rPr>
        <w:t>يسمح</w:t>
      </w:r>
      <w:r w:rsidRPr="00BB11D1">
        <w:rPr>
          <w:rFonts w:asciiTheme="majorBidi" w:hAnsiTheme="majorBidi" w:cstheme="majorBidi"/>
        </w:rPr>
        <w:t xml:space="preserve"> </w:t>
      </w:r>
      <w:r w:rsidR="006A2441" w:rsidRPr="00BB11D1">
        <w:rPr>
          <w:rFonts w:asciiTheme="majorBidi" w:hAnsiTheme="majorBidi" w:cstheme="majorBidi"/>
          <w:rtl/>
          <w:lang w:bidi="ar-SA"/>
        </w:rPr>
        <w:t xml:space="preserve">بالتغلب على </w:t>
      </w:r>
      <w:r w:rsidR="006A2441" w:rsidRPr="00BB11D1">
        <w:rPr>
          <w:rFonts w:asciiTheme="majorBidi" w:hAnsiTheme="majorBidi" w:cstheme="majorBidi"/>
          <w:lang w:bidi="ar-SA"/>
        </w:rPr>
        <w:t>ZLB</w:t>
      </w:r>
      <w:r w:rsidR="006A2441" w:rsidRPr="00BB11D1">
        <w:rPr>
          <w:rFonts w:asciiTheme="majorBidi" w:hAnsiTheme="majorBidi" w:cstheme="majorBidi"/>
          <w:rtl/>
          <w:lang w:bidi="ar-SA"/>
        </w:rPr>
        <w:t xml:space="preserve"> كما قد تفرض أسعار الفائدة السلبية على </w:t>
      </w:r>
      <w:r w:rsidR="006A2441" w:rsidRPr="00BB11D1">
        <w:rPr>
          <w:rFonts w:asciiTheme="majorBidi" w:hAnsiTheme="majorBidi" w:cstheme="majorBidi"/>
          <w:lang w:bidi="ar-SA"/>
        </w:rPr>
        <w:t>CBDC</w:t>
      </w:r>
    </w:p>
    <w:p w:rsidR="000255A4" w:rsidRPr="00BB11D1" w:rsidRDefault="006A2441" w:rsidP="00BB11D1">
      <w:pPr>
        <w:pStyle w:val="BodyText"/>
        <w:bidi/>
        <w:spacing w:before="9" w:line="480" w:lineRule="auto"/>
        <w:jc w:val="both"/>
        <w:rPr>
          <w:rFonts w:asciiTheme="majorBidi" w:hAnsiTheme="majorBidi" w:cstheme="majorBidi"/>
          <w:sz w:val="23"/>
        </w:rPr>
      </w:pPr>
      <w:r w:rsidRPr="00BB11D1">
        <w:rPr>
          <w:rFonts w:asciiTheme="majorBidi" w:hAnsiTheme="majorBidi" w:cstheme="majorBidi"/>
          <w:w w:val="95"/>
          <w:rtl/>
          <w:lang w:bidi="ar-SA"/>
        </w:rPr>
        <w:t xml:space="preserve">على سبيل المثال ، يجادل ديسون وهودجسون (2016) بأنه "إذا تم استخدام النقد الرقمي لاستبدال النقد الفعلي بالكامل ، فقد يسمح ذلك بدفع </w:t>
      </w:r>
      <w:r w:rsidRPr="00BB11D1">
        <w:rPr>
          <w:rFonts w:asciiTheme="majorBidi" w:hAnsiTheme="majorBidi" w:cstheme="majorBidi"/>
          <w:w w:val="95"/>
          <w:rtl/>
          <w:lang w:bidi="ar-SA"/>
        </w:rPr>
        <w:lastRenderedPageBreak/>
        <w:t xml:space="preserve">أسعار الفائدة إلى ما دون الحد الأدنى الصفري". يطور </w:t>
      </w:r>
      <w:r w:rsidRPr="00BB11D1">
        <w:rPr>
          <w:rFonts w:asciiTheme="majorBidi" w:hAnsiTheme="majorBidi" w:cstheme="majorBidi"/>
          <w:w w:val="95"/>
        </w:rPr>
        <w:t>Rogoff (2016</w:t>
      </w:r>
      <w:r w:rsidRPr="00BB11D1">
        <w:rPr>
          <w:rFonts w:asciiTheme="majorBidi" w:hAnsiTheme="majorBidi" w:cstheme="majorBidi"/>
          <w:w w:val="95"/>
          <w:rtl/>
          <w:lang w:bidi="ar-SA"/>
        </w:rPr>
        <w:t>) هذه الحجة بالتفصيل. من خلال السماح للتغلب على الحد الأدنى الصفري ("</w:t>
      </w:r>
      <w:r w:rsidRPr="00BB11D1">
        <w:rPr>
          <w:rFonts w:asciiTheme="majorBidi" w:hAnsiTheme="majorBidi" w:cstheme="majorBidi"/>
          <w:w w:val="95"/>
        </w:rPr>
        <w:t>ZLB</w:t>
      </w:r>
      <w:r w:rsidRPr="00BB11D1">
        <w:rPr>
          <w:rFonts w:asciiTheme="majorBidi" w:hAnsiTheme="majorBidi" w:cstheme="majorBidi"/>
          <w:w w:val="95"/>
          <w:rtl/>
          <w:lang w:bidi="ar-SA"/>
        </w:rPr>
        <w:t>") وبالتالي تحرير سياسات سعر الفائدة السلبية ("</w:t>
      </w:r>
      <w:r w:rsidRPr="00BB11D1">
        <w:rPr>
          <w:rFonts w:asciiTheme="majorBidi" w:hAnsiTheme="majorBidi" w:cstheme="majorBidi"/>
          <w:w w:val="95"/>
        </w:rPr>
        <w:t>NIRP</w:t>
      </w:r>
      <w:r w:rsidRPr="00BB11D1">
        <w:rPr>
          <w:rFonts w:asciiTheme="majorBidi" w:hAnsiTheme="majorBidi" w:cstheme="majorBidi"/>
          <w:w w:val="95"/>
          <w:rtl/>
          <w:lang w:bidi="ar-SA"/>
        </w:rPr>
        <w:t xml:space="preserve">") من القيود الحالية ، فإن عالمًا به أموال البنك المركزي الرقمية فقط يسمح - وفقًا لهذا الرأي - بالنقد النقدي القوي التحفيز في ركود حاد و / أو أزمة مالية. هذا لا يمكن فقط تجنب الركود والبطالة و / أو الانكماش ولكن أيضًا الحاجة إلى اللجوء إلى تدابير السياسة النقدية غير المعيارية التي لها آثار جانبية سلبية أكثر من </w:t>
      </w:r>
      <w:r w:rsidRPr="00BB11D1">
        <w:rPr>
          <w:rFonts w:asciiTheme="majorBidi" w:hAnsiTheme="majorBidi" w:cstheme="majorBidi"/>
          <w:w w:val="95"/>
        </w:rPr>
        <w:t>NIRP</w:t>
      </w:r>
      <w:r w:rsidRPr="00BB11D1">
        <w:rPr>
          <w:rFonts w:asciiTheme="majorBidi" w:hAnsiTheme="majorBidi" w:cstheme="majorBidi"/>
          <w:w w:val="95"/>
          <w:rtl/>
          <w:lang w:bidi="ar-SA"/>
        </w:rPr>
        <w:t xml:space="preserve">. من الواضح أن معارضي </w:t>
      </w:r>
      <w:r w:rsidRPr="00BB11D1">
        <w:rPr>
          <w:rFonts w:asciiTheme="majorBidi" w:hAnsiTheme="majorBidi" w:cstheme="majorBidi"/>
          <w:w w:val="95"/>
        </w:rPr>
        <w:t>NIRP</w:t>
      </w:r>
      <w:r w:rsidRPr="00BB11D1">
        <w:rPr>
          <w:rFonts w:asciiTheme="majorBidi" w:hAnsiTheme="majorBidi" w:cstheme="majorBidi"/>
          <w:w w:val="95"/>
          <w:rtl/>
          <w:lang w:bidi="ar-SA"/>
        </w:rPr>
        <w:t xml:space="preserve"> يكرهون هذه الحجة لصالح </w:t>
      </w:r>
      <w:r w:rsidRPr="00BB11D1">
        <w:rPr>
          <w:rFonts w:asciiTheme="majorBidi" w:hAnsiTheme="majorBidi" w:cstheme="majorBidi"/>
          <w:w w:val="95"/>
        </w:rPr>
        <w:t>CBDC</w:t>
      </w:r>
      <w:r w:rsidRPr="00BB11D1">
        <w:rPr>
          <w:rFonts w:asciiTheme="majorBidi" w:hAnsiTheme="majorBidi" w:cstheme="majorBidi"/>
          <w:w w:val="95"/>
          <w:rtl/>
          <w:lang w:bidi="ar-SA"/>
        </w:rPr>
        <w:t xml:space="preserve"> ، وبالتالي سوف يرون </w:t>
      </w:r>
      <w:r w:rsidRPr="00BB11D1">
        <w:rPr>
          <w:rFonts w:asciiTheme="majorBidi" w:hAnsiTheme="majorBidi" w:cstheme="majorBidi"/>
          <w:w w:val="95"/>
        </w:rPr>
        <w:t>CBDC</w:t>
      </w:r>
      <w:r w:rsidRPr="00BB11D1">
        <w:rPr>
          <w:rFonts w:asciiTheme="majorBidi" w:hAnsiTheme="majorBidi" w:cstheme="majorBidi"/>
          <w:w w:val="95"/>
          <w:rtl/>
          <w:lang w:bidi="ar-SA"/>
        </w:rPr>
        <w:t xml:space="preserve"> كأداة للتغلب على القيود السابقة المتمثلة في "القمع المالي" و "مصادرة" المدخر.</w:t>
      </w:r>
    </w:p>
    <w:p w:rsidR="00BB11D1" w:rsidRDefault="009C2E3C" w:rsidP="00BB11D1">
      <w:pPr>
        <w:pStyle w:val="Heading3"/>
        <w:numPr>
          <w:ilvl w:val="1"/>
          <w:numId w:val="11"/>
        </w:numPr>
        <w:tabs>
          <w:tab w:val="left" w:pos="620"/>
        </w:tabs>
        <w:bidi/>
        <w:spacing w:line="480" w:lineRule="auto"/>
        <w:ind w:hanging="371"/>
        <w:rPr>
          <w:rFonts w:asciiTheme="majorBidi" w:hAnsiTheme="majorBidi" w:cstheme="majorBidi"/>
        </w:rPr>
      </w:pPr>
      <w:r w:rsidRPr="00BB11D1">
        <w:rPr>
          <w:rFonts w:asciiTheme="majorBidi" w:hAnsiTheme="majorBidi" w:cstheme="majorBidi"/>
          <w:rtl/>
          <w:lang w:bidi="ar-SA"/>
        </w:rPr>
        <w:t>الفائدة</w:t>
      </w:r>
      <w:r w:rsidRPr="00BB11D1">
        <w:rPr>
          <w:rFonts w:asciiTheme="majorBidi" w:hAnsiTheme="majorBidi" w:cstheme="majorBidi"/>
        </w:rPr>
        <w:t xml:space="preserve"> </w:t>
      </w:r>
      <w:r w:rsidRPr="00BB11D1">
        <w:rPr>
          <w:rFonts w:asciiTheme="majorBidi" w:hAnsiTheme="majorBidi" w:cstheme="majorBidi"/>
          <w:rtl/>
          <w:lang w:bidi="ar-SA"/>
        </w:rPr>
        <w:t>على</w:t>
      </w:r>
      <w:r w:rsidRPr="00BB11D1">
        <w:rPr>
          <w:rFonts w:asciiTheme="majorBidi" w:hAnsiTheme="majorBidi" w:cstheme="majorBidi"/>
        </w:rPr>
        <w:t xml:space="preserve"> CBDC </w:t>
      </w:r>
      <w:r w:rsidRPr="00BB11D1">
        <w:rPr>
          <w:rFonts w:asciiTheme="majorBidi" w:hAnsiTheme="majorBidi" w:cstheme="majorBidi"/>
          <w:rtl/>
          <w:lang w:bidi="ar-SA"/>
        </w:rPr>
        <w:t>توفر</w:t>
      </w:r>
      <w:r w:rsidRPr="00BB11D1">
        <w:rPr>
          <w:rFonts w:asciiTheme="majorBidi" w:hAnsiTheme="majorBidi" w:cstheme="majorBidi"/>
        </w:rPr>
        <w:t xml:space="preserve"> </w:t>
      </w:r>
      <w:r w:rsidRPr="00BB11D1">
        <w:rPr>
          <w:rFonts w:asciiTheme="majorBidi" w:hAnsiTheme="majorBidi" w:cstheme="majorBidi"/>
          <w:rtl/>
          <w:lang w:bidi="ar-SA"/>
        </w:rPr>
        <w:t>أداة</w:t>
      </w:r>
      <w:r w:rsidRPr="00BB11D1">
        <w:rPr>
          <w:rFonts w:asciiTheme="majorBidi" w:hAnsiTheme="majorBidi" w:cstheme="majorBidi"/>
        </w:rPr>
        <w:t xml:space="preserve"> </w:t>
      </w:r>
      <w:r w:rsidRPr="00BB11D1">
        <w:rPr>
          <w:rFonts w:asciiTheme="majorBidi" w:hAnsiTheme="majorBidi" w:cstheme="majorBidi"/>
          <w:rtl/>
          <w:lang w:bidi="ar-SA"/>
        </w:rPr>
        <w:t>السياسة</w:t>
      </w:r>
      <w:r w:rsidRPr="00BB11D1">
        <w:rPr>
          <w:rFonts w:asciiTheme="majorBidi" w:hAnsiTheme="majorBidi" w:cstheme="majorBidi"/>
        </w:rPr>
        <w:t xml:space="preserve"> </w:t>
      </w:r>
      <w:r w:rsidRPr="00BB11D1">
        <w:rPr>
          <w:rFonts w:asciiTheme="majorBidi" w:hAnsiTheme="majorBidi" w:cstheme="majorBidi"/>
          <w:rtl/>
          <w:lang w:bidi="ar-SA"/>
        </w:rPr>
        <w:t>النقدية</w:t>
      </w:r>
      <w:r w:rsidRPr="00BB11D1">
        <w:rPr>
          <w:rFonts w:asciiTheme="majorBidi" w:hAnsiTheme="majorBidi" w:cstheme="majorBidi"/>
        </w:rPr>
        <w:t xml:space="preserve"> </w:t>
      </w:r>
      <w:r w:rsidRPr="00BB11D1">
        <w:rPr>
          <w:rFonts w:asciiTheme="majorBidi" w:hAnsiTheme="majorBidi" w:cstheme="majorBidi"/>
          <w:rtl/>
          <w:lang w:bidi="ar-SA"/>
        </w:rPr>
        <w:t>الإضافية</w:t>
      </w:r>
    </w:p>
    <w:p w:rsidR="000255A4" w:rsidRPr="00BB11D1" w:rsidRDefault="006A2441" w:rsidP="00BB11D1">
      <w:pPr>
        <w:pStyle w:val="Heading3"/>
        <w:tabs>
          <w:tab w:val="left" w:pos="620"/>
        </w:tabs>
        <w:bidi/>
        <w:spacing w:line="480" w:lineRule="auto"/>
        <w:ind w:left="0"/>
        <w:jc w:val="both"/>
        <w:rPr>
          <w:rFonts w:asciiTheme="majorBidi" w:hAnsiTheme="majorBidi" w:cstheme="majorBidi"/>
          <w:b w:val="0"/>
          <w:bCs w:val="0"/>
        </w:rPr>
      </w:pPr>
      <w:r w:rsidRPr="00BB11D1">
        <w:rPr>
          <w:rFonts w:asciiTheme="majorBidi" w:hAnsiTheme="majorBidi" w:cstheme="majorBidi"/>
          <w:b w:val="0"/>
          <w:bCs w:val="0"/>
          <w:w w:val="95"/>
          <w:rtl/>
          <w:lang w:bidi="ar-SA"/>
        </w:rPr>
        <w:t xml:space="preserve">جادل عدد من المؤلفين بأن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يوسع نطاق خيارات السياسة النقدية ، وذلك أساسًا لأن أسعار الفائدة المتغيرة على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ستوفر أداة سياسة نقدية جديدة غير زائدة عن الحاجة تسمح بتحسين الفعالية الكلية للسياسة النقدية. تم تطوير هذه الفكرة بشكل أكبر بواسطة </w:t>
      </w:r>
      <w:r w:rsidRPr="00BB11D1">
        <w:rPr>
          <w:rFonts w:asciiTheme="majorBidi" w:hAnsiTheme="majorBidi" w:cstheme="majorBidi"/>
          <w:b w:val="0"/>
          <w:bCs w:val="0"/>
          <w:w w:val="95"/>
        </w:rPr>
        <w:t>Barrdear</w:t>
      </w:r>
      <w:r w:rsidRPr="00BB11D1">
        <w:rPr>
          <w:rFonts w:asciiTheme="majorBidi" w:hAnsiTheme="majorBidi" w:cstheme="majorBidi"/>
          <w:b w:val="0"/>
          <w:bCs w:val="0"/>
          <w:w w:val="95"/>
          <w:rtl/>
          <w:lang w:bidi="ar-SA"/>
        </w:rPr>
        <w:t xml:space="preserve"> و </w:t>
      </w:r>
      <w:r w:rsidRPr="00BB11D1">
        <w:rPr>
          <w:rFonts w:asciiTheme="majorBidi" w:hAnsiTheme="majorBidi" w:cstheme="majorBidi"/>
          <w:b w:val="0"/>
          <w:bCs w:val="0"/>
          <w:w w:val="95"/>
        </w:rPr>
        <w:t>Kumhof (2016</w:t>
      </w:r>
      <w:r w:rsidRPr="00BB11D1">
        <w:rPr>
          <w:rFonts w:asciiTheme="majorBidi" w:hAnsiTheme="majorBidi" w:cstheme="majorBidi"/>
          <w:b w:val="0"/>
          <w:bCs w:val="0"/>
          <w:w w:val="95"/>
          <w:lang w:bidi="ar-SA"/>
        </w:rPr>
        <w:t xml:space="preserve"> </w:t>
      </w:r>
      <w:r w:rsidRPr="00BB11D1">
        <w:rPr>
          <w:rFonts w:asciiTheme="majorBidi" w:hAnsiTheme="majorBidi" w:cstheme="majorBidi"/>
          <w:b w:val="0"/>
          <w:bCs w:val="0"/>
          <w:w w:val="95"/>
          <w:rtl/>
          <w:lang w:bidi="ar-SA"/>
        </w:rPr>
        <w:t xml:space="preserve">، </w:t>
      </w:r>
      <w:r w:rsidRPr="00BB11D1">
        <w:rPr>
          <w:rFonts w:asciiTheme="majorBidi" w:hAnsiTheme="majorBidi" w:cstheme="majorBidi"/>
          <w:b w:val="0"/>
          <w:bCs w:val="0"/>
          <w:w w:val="95"/>
        </w:rPr>
        <w:t>3</w:t>
      </w:r>
      <w:r w:rsidRPr="00BB11D1">
        <w:rPr>
          <w:rFonts w:asciiTheme="majorBidi" w:hAnsiTheme="majorBidi" w:cstheme="majorBidi"/>
          <w:b w:val="0"/>
          <w:bCs w:val="0"/>
          <w:w w:val="95"/>
          <w:rtl/>
          <w:lang w:bidi="ar-SA"/>
        </w:rPr>
        <w:t xml:space="preserve">) الذين وجدوا أن "نظام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يمكن أن يساهم في تثبيت دورة العمل ، من خلال منح صناع السياسة الوصول إلى أداة سياسة ثانية تتحكم في كمية أو سعر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بطريقة عكس الدورية. تصبح أداة السياسة الثانية هذه فعالة بشكل خاص استجابةً لصدمات الطلب على النقود الخاصة وإنشاء الأموال الخاصة ... "المعنى وآخرون (2017) يحللون أيضًا كيف يمكن لـ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إثراء مجموعة أدوات السياسة النقدية وكيف سيؤثر ذلك على آلية الإرسال ، ويأتي إلى استنتاج مفاده أن كل هذا يتوقف على تفاصيل تصميم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أخيرًا ، يجادل </w:t>
      </w:r>
      <w:r w:rsidRPr="00BB11D1">
        <w:rPr>
          <w:rFonts w:asciiTheme="majorBidi" w:hAnsiTheme="majorBidi" w:cstheme="majorBidi"/>
          <w:b w:val="0"/>
          <w:bCs w:val="0"/>
          <w:w w:val="95"/>
        </w:rPr>
        <w:t>Berentsen</w:t>
      </w:r>
      <w:r w:rsidRPr="00BB11D1">
        <w:rPr>
          <w:rFonts w:asciiTheme="majorBidi" w:hAnsiTheme="majorBidi" w:cstheme="majorBidi"/>
          <w:b w:val="0"/>
          <w:bCs w:val="0"/>
          <w:w w:val="95"/>
          <w:rtl/>
          <w:lang w:bidi="ar-SA"/>
        </w:rPr>
        <w:t xml:space="preserve"> و </w:t>
      </w:r>
      <w:r w:rsidRPr="00BB11D1">
        <w:rPr>
          <w:rFonts w:asciiTheme="majorBidi" w:hAnsiTheme="majorBidi" w:cstheme="majorBidi"/>
          <w:b w:val="0"/>
          <w:bCs w:val="0"/>
          <w:w w:val="95"/>
        </w:rPr>
        <w:t xml:space="preserve">Schär (2018 </w:t>
      </w:r>
      <w:r w:rsidRPr="00BB11D1">
        <w:rPr>
          <w:rFonts w:asciiTheme="majorBidi" w:hAnsiTheme="majorBidi" w:cstheme="majorBidi"/>
          <w:b w:val="0"/>
          <w:bCs w:val="0"/>
          <w:w w:val="95"/>
          <w:rtl/>
          <w:lang w:bidi="ar-SA"/>
        </w:rPr>
        <w:t xml:space="preserve">، </w:t>
      </w:r>
      <w:r w:rsidRPr="00BB11D1">
        <w:rPr>
          <w:rFonts w:asciiTheme="majorBidi" w:hAnsiTheme="majorBidi" w:cstheme="majorBidi"/>
          <w:b w:val="0"/>
          <w:bCs w:val="0"/>
          <w:w w:val="95"/>
        </w:rPr>
        <w:t>102</w:t>
      </w:r>
      <w:r w:rsidRPr="00BB11D1">
        <w:rPr>
          <w:rFonts w:asciiTheme="majorBidi" w:hAnsiTheme="majorBidi" w:cstheme="majorBidi"/>
          <w:b w:val="0"/>
          <w:bCs w:val="0"/>
          <w:w w:val="95"/>
          <w:rtl/>
          <w:lang w:bidi="ar-SA"/>
        </w:rPr>
        <w:t xml:space="preserve">) بأن الفائدة على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ستعمل على تبسيط السياسة النقدية لأن "البنك المركزي سيستخدم ببساطة سعر الفائدة المدفوع على هذه الحسابات كأداة سياسية رئيسية". مانشيني-غريفولي وآخرون. (2018 ، 25) تأخذ وجهة نظر مفادها أن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من غير المرجح أن تؤثر على القنوات الرئيسية لنقل السياسة النقدية ، وهو أيضا الافتراض المتخذ هنا.</w:t>
      </w:r>
    </w:p>
    <w:p w:rsidR="000255A4" w:rsidRPr="00BB11D1" w:rsidRDefault="009C2E3C" w:rsidP="00BB11D1">
      <w:pPr>
        <w:pStyle w:val="Heading3"/>
        <w:numPr>
          <w:ilvl w:val="1"/>
          <w:numId w:val="11"/>
        </w:numPr>
        <w:tabs>
          <w:tab w:val="left" w:pos="620"/>
        </w:tabs>
        <w:bidi/>
        <w:spacing w:before="1" w:line="480" w:lineRule="auto"/>
        <w:ind w:hanging="371"/>
        <w:rPr>
          <w:rFonts w:asciiTheme="majorBidi" w:hAnsiTheme="majorBidi" w:cstheme="majorBidi"/>
        </w:rPr>
      </w:pPr>
      <w:r w:rsidRPr="00BB11D1">
        <w:rPr>
          <w:rFonts w:asciiTheme="majorBidi" w:hAnsiTheme="majorBidi" w:cstheme="majorBidi"/>
          <w:rtl/>
          <w:lang w:bidi="ar-SA"/>
        </w:rPr>
        <w:t>القدرة</w:t>
      </w:r>
      <w:r w:rsidRPr="00BB11D1">
        <w:rPr>
          <w:rFonts w:asciiTheme="majorBidi" w:hAnsiTheme="majorBidi" w:cstheme="majorBidi"/>
        </w:rPr>
        <w:t xml:space="preserve"> </w:t>
      </w:r>
      <w:r w:rsidRPr="00BB11D1">
        <w:rPr>
          <w:rFonts w:asciiTheme="majorBidi" w:hAnsiTheme="majorBidi" w:cstheme="majorBidi"/>
          <w:rtl/>
          <w:lang w:bidi="ar-SA"/>
        </w:rPr>
        <w:t>أسهل</w:t>
      </w:r>
      <w:r w:rsidRPr="00BB11D1">
        <w:rPr>
          <w:rFonts w:asciiTheme="majorBidi" w:hAnsiTheme="majorBidi" w:cstheme="majorBidi"/>
        </w:rPr>
        <w:t xml:space="preserve"> </w:t>
      </w:r>
      <w:r w:rsidRPr="00BB11D1">
        <w:rPr>
          <w:rFonts w:asciiTheme="majorBidi" w:hAnsiTheme="majorBidi" w:cstheme="majorBidi"/>
          <w:rtl/>
          <w:lang w:bidi="ar-SA"/>
        </w:rPr>
        <w:t>لتوفير</w:t>
      </w:r>
      <w:r w:rsidRPr="00BB11D1">
        <w:rPr>
          <w:rFonts w:asciiTheme="majorBidi" w:hAnsiTheme="majorBidi" w:cstheme="majorBidi"/>
        </w:rPr>
        <w:t xml:space="preserve"> </w:t>
      </w:r>
      <w:r w:rsidRPr="00BB11D1">
        <w:rPr>
          <w:rFonts w:asciiTheme="majorBidi" w:hAnsiTheme="majorBidi" w:cstheme="majorBidi"/>
          <w:rtl/>
          <w:lang w:bidi="ar-SA"/>
        </w:rPr>
        <w:t>المال</w:t>
      </w:r>
      <w:r w:rsidRPr="00BB11D1">
        <w:rPr>
          <w:rFonts w:asciiTheme="majorBidi" w:hAnsiTheme="majorBidi" w:cstheme="majorBidi"/>
        </w:rPr>
        <w:t xml:space="preserve"> </w:t>
      </w:r>
      <w:r w:rsidRPr="00BB11D1">
        <w:rPr>
          <w:rFonts w:asciiTheme="majorBidi" w:hAnsiTheme="majorBidi" w:cstheme="majorBidi"/>
          <w:rtl/>
          <w:lang w:bidi="ar-SA"/>
        </w:rPr>
        <w:t>مروحية</w:t>
      </w:r>
    </w:p>
    <w:p w:rsidR="000255A4" w:rsidRPr="00BB11D1" w:rsidRDefault="006A244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w w:val="95"/>
          <w:rtl/>
          <w:lang w:bidi="ar-SA"/>
        </w:rPr>
        <w:t>مرة أخرى ، على سبيل المثال يجادل دايسون وهودجسون (2016) بأن "النقود الرقمية يمكن استخدامها كأداة لزيادة الطلب الكلي عن طريق" إسقاط طائرات الهليكوبتر "من النقد الرقمي الذي تم إنشاؤه حديثًا لجميع المواطنين ، مما يسهل تحقيق هدف السياسة النقدية لبنك إنجلترا المزيد." من الواضح ، سيتم مشاركة أهمية هذه الحجة فقط من قبل مؤيدي أموال طائرات الهليكوبتر. علاوة على ذلك ، يمكن القول إنها حجة ضعيفة نسبيًا لأنها تسهل فقط توزيع أموال طائرات الهليكوبتر (ولكنها ليست شرطًا مسبقًا).</w:t>
      </w:r>
    </w:p>
    <w:p w:rsidR="006A2441" w:rsidRPr="00BB11D1" w:rsidRDefault="009C2E3C" w:rsidP="00BB11D1">
      <w:pPr>
        <w:pStyle w:val="Heading3"/>
        <w:numPr>
          <w:ilvl w:val="1"/>
          <w:numId w:val="10"/>
        </w:numPr>
        <w:tabs>
          <w:tab w:val="left" w:pos="644"/>
        </w:tabs>
        <w:bidi/>
        <w:spacing w:before="14" w:line="480" w:lineRule="auto"/>
        <w:ind w:right="765"/>
        <w:jc w:val="both"/>
        <w:rPr>
          <w:rFonts w:asciiTheme="majorBidi" w:hAnsiTheme="majorBidi" w:cstheme="majorBidi"/>
        </w:rPr>
      </w:pPr>
      <w:r w:rsidRPr="00BB11D1">
        <w:rPr>
          <w:rFonts w:asciiTheme="majorBidi" w:hAnsiTheme="majorBidi" w:cstheme="majorBidi"/>
          <w:rtl/>
          <w:lang w:bidi="ar-SA"/>
        </w:rPr>
        <w:t>تحسين</w:t>
      </w:r>
      <w:r w:rsidR="006A2441" w:rsidRPr="00BB11D1">
        <w:rPr>
          <w:rFonts w:asciiTheme="majorBidi" w:hAnsiTheme="majorBidi" w:cstheme="majorBidi"/>
          <w:rtl/>
          <w:lang w:bidi="ar-SA"/>
        </w:rPr>
        <w:t xml:space="preserve"> الاستقرار المالي وتقليل المخاطر الأخلاقية عن طريق تخفيض حجم البنوك</w:t>
      </w:r>
    </w:p>
    <w:p w:rsidR="000255A4" w:rsidRPr="00BB11D1" w:rsidRDefault="006A2441" w:rsidP="00BB11D1">
      <w:pPr>
        <w:pStyle w:val="BodyText"/>
        <w:bidi/>
        <w:spacing w:before="7" w:line="480" w:lineRule="auto"/>
        <w:jc w:val="both"/>
        <w:rPr>
          <w:rFonts w:asciiTheme="majorBidi" w:hAnsiTheme="majorBidi" w:cstheme="majorBidi"/>
          <w:w w:val="95"/>
          <w:rtl/>
          <w:lang w:bidi="ar-SA"/>
        </w:rPr>
      </w:pPr>
      <w:r w:rsidRPr="00BB11D1">
        <w:rPr>
          <w:rFonts w:asciiTheme="majorBidi" w:hAnsiTheme="majorBidi" w:cstheme="majorBidi"/>
          <w:w w:val="95"/>
          <w:rtl/>
          <w:lang w:bidi="ar-SA"/>
        </w:rPr>
        <w:t xml:space="preserve">تتعلق الحججان </w:t>
      </w:r>
      <w:r w:rsidRPr="00BB11D1">
        <w:rPr>
          <w:rFonts w:asciiTheme="majorBidi" w:hAnsiTheme="majorBidi" w:cstheme="majorBidi"/>
          <w:w w:val="95"/>
          <w:lang w:bidi="ar-SA"/>
        </w:rPr>
        <w:t>D1</w:t>
      </w:r>
      <w:r w:rsidRPr="00BB11D1">
        <w:rPr>
          <w:rFonts w:asciiTheme="majorBidi" w:hAnsiTheme="majorBidi" w:cstheme="majorBidi"/>
          <w:w w:val="95"/>
          <w:rtl/>
          <w:lang w:bidi="ar-SA"/>
        </w:rPr>
        <w:t xml:space="preserve"> و </w:t>
      </w:r>
      <w:r w:rsidRPr="00BB11D1">
        <w:rPr>
          <w:rFonts w:asciiTheme="majorBidi" w:hAnsiTheme="majorBidi" w:cstheme="majorBidi"/>
          <w:w w:val="95"/>
          <w:lang w:bidi="ar-SA"/>
        </w:rPr>
        <w:t>D2</w:t>
      </w:r>
      <w:r w:rsidRPr="00BB11D1">
        <w:rPr>
          <w:rFonts w:asciiTheme="majorBidi" w:hAnsiTheme="majorBidi" w:cstheme="majorBidi"/>
          <w:w w:val="95"/>
          <w:rtl/>
          <w:lang w:bidi="ar-SA"/>
        </w:rPr>
        <w:t xml:space="preserve"> لصالح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بالرؤية القائلة بأن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هي أداة لجعل فكرة "المال السيادي" مجدية ، أي نظام نقدي لم تعد البنوك "تخلق" ودائع تحتية وبالتالي وسيلة للدفع (</w:t>
      </w:r>
      <w:r w:rsidRPr="00BB11D1">
        <w:rPr>
          <w:rFonts w:asciiTheme="majorBidi" w:hAnsiTheme="majorBidi" w:cstheme="majorBidi"/>
          <w:w w:val="95"/>
          <w:lang w:bidi="ar-SA"/>
        </w:rPr>
        <w:t>Benes and Kumhof</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2012</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Häring</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2018</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214-223</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Mayer and Huber</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2014</w:t>
      </w:r>
      <w:r w:rsidRPr="00BB11D1">
        <w:rPr>
          <w:rFonts w:asciiTheme="majorBidi" w:hAnsiTheme="majorBidi" w:cstheme="majorBidi"/>
          <w:w w:val="95"/>
          <w:rtl/>
          <w:lang w:bidi="ar-SA"/>
        </w:rPr>
        <w:t xml:space="preserve">). على سبيل المثال ، يعتبر دايسون وهودجسون (2016) أن </w:t>
      </w:r>
      <w:r w:rsidR="00BB11D1">
        <w:rPr>
          <w:rFonts w:asciiTheme="majorBidi" w:hAnsiTheme="majorBidi" w:cstheme="majorBidi"/>
          <w:w w:val="95"/>
          <w:lang w:bidi="ar-SA"/>
        </w:rPr>
        <w:t>CBDC</w:t>
      </w:r>
      <w:r w:rsidRPr="00BB11D1">
        <w:rPr>
          <w:rFonts w:asciiTheme="majorBidi" w:hAnsiTheme="majorBidi" w:cstheme="majorBidi"/>
          <w:w w:val="95"/>
          <w:rtl/>
          <w:lang w:bidi="ar-SA"/>
        </w:rPr>
        <w:t xml:space="preserve"> "يمكن أن تجعل النظام المالي أكثر أمانًا: السماح </w:t>
      </w:r>
      <w:r w:rsidRPr="00BB11D1">
        <w:rPr>
          <w:rFonts w:asciiTheme="majorBidi" w:hAnsiTheme="majorBidi" w:cstheme="majorBidi"/>
          <w:w w:val="95"/>
          <w:rtl/>
          <w:lang w:bidi="ar-SA"/>
        </w:rPr>
        <w:lastRenderedPageBreak/>
        <w:t xml:space="preserve">للأفراد وشركات القطاع الخاص والمؤسسات المالية غير المصرفية بالاستقرار مباشرة في أموال البنك المركزي (بدلاً من الودائع المصرفية) يقلل التركيز بشكل كبير السيولة ومخاطر الائتمان في أنظمة الدفع. وهذا بدوره يقلل من الأهمية النظامية للبنوك الكبيرة ، وبالتالي يقلل من الآثار الخارجية السلبية لعدم الاستقرار المالي للبنوك على المجتمع. بالإضافة إلى ذلك ، من خلال توفير بديل حقيقي خالٍ من المخاطر للودائع المصرفية ، فإن التحول من الودائع المصرفية إلى النقد الرقمي يقلل الحاجة إلى ضمانات حكومية على الودائع ، مما يلغي مصدر الخطر الأخلاقي من النظام المالي ". يلخص </w:t>
      </w:r>
      <w:r w:rsidRPr="00BB11D1">
        <w:rPr>
          <w:rFonts w:asciiTheme="majorBidi" w:hAnsiTheme="majorBidi" w:cstheme="majorBidi"/>
          <w:w w:val="95"/>
          <w:lang w:bidi="ar-SA"/>
        </w:rPr>
        <w:t xml:space="preserve">Huber (1999 </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5-6</w:t>
      </w:r>
      <w:r w:rsidRPr="00BB11D1">
        <w:rPr>
          <w:rFonts w:asciiTheme="majorBidi" w:hAnsiTheme="majorBidi" w:cstheme="majorBidi"/>
          <w:w w:val="95"/>
          <w:rtl/>
          <w:lang w:bidi="ar-SA"/>
        </w:rPr>
        <w:t>) ، أحد الداعمين الألمان الرئيسيين لـ "الأموال السيادية" ، اقتراح المال السيادي على النحو التالي:</w:t>
      </w:r>
    </w:p>
    <w:p w:rsidR="000255A4" w:rsidRPr="00BB11D1" w:rsidRDefault="006A2441" w:rsidP="00BB11D1">
      <w:pPr>
        <w:pStyle w:val="BodyText"/>
        <w:bidi/>
        <w:spacing w:before="7" w:line="480" w:lineRule="auto"/>
        <w:jc w:val="both"/>
        <w:rPr>
          <w:rFonts w:asciiTheme="majorBidi" w:hAnsiTheme="majorBidi" w:cstheme="majorBidi"/>
          <w:iCs/>
          <w:sz w:val="20"/>
          <w:szCs w:val="20"/>
        </w:rPr>
      </w:pPr>
      <w:r w:rsidRPr="00BB11D1">
        <w:rPr>
          <w:rFonts w:asciiTheme="majorBidi" w:hAnsiTheme="majorBidi" w:cstheme="majorBidi"/>
          <w:iCs/>
          <w:sz w:val="20"/>
          <w:szCs w:val="20"/>
          <w:rtl/>
          <w:lang w:bidi="ar-SA"/>
        </w:rPr>
        <w:t xml:space="preserve">"يقول اقتراح المال السيادي: امنح البنك المركزي السيطرة الكاملة دون أي عائق على إجمالي عرض النقود على أساس قانوني لصلاحية عامة لإنشاء النقود. بمعنى آخر ، أن يكون لديك قاعدة النقود بالكامل - نقدًا وغير نقدي - تصدر حصريًا من قبل البنك المركزي. وهذا يعني إلغاء قدرة القطاع المصرفي على إنشاء أموال غير نقدية في شكل ودائع تحت الطلب. اليوم ، هناك قاعدة نقود مختلطة مكونة من نوع من المال أنشأه البنك المركزي ونوع آخر من الأموال (الودائع تحت الطلب) التي أنشأتها البنوك. لا تزال الأموال السيادية تتضمن نظامًا مصرفيًا ذا مستويين ، لكن هذا لا يعني وجود قاعدة نقود مختلطة بعد الآن ، بدلاً من ذلك ، مجرد نوع واحد من المال من مصدر واحد ، يسهل فهمه ، والتعامل معه والسيطرة عليه. لا يتطلب المال السيادي إجراء تغييرات معينة في الهياكل المؤسسية والسوقية. ببساطة ، ستكون البنوك وسطاء ائتمان ولن يكونوا منشئي الائتمان. سيخسرون </w:t>
      </w:r>
      <w:r w:rsidRPr="00BB11D1">
        <w:rPr>
          <w:rFonts w:asciiTheme="majorBidi" w:hAnsiTheme="majorBidi" w:cstheme="majorBidi"/>
          <w:iCs/>
          <w:sz w:val="20"/>
          <w:szCs w:val="20"/>
        </w:rPr>
        <w:t>seignorage</w:t>
      </w:r>
      <w:r w:rsidRPr="00BB11D1">
        <w:rPr>
          <w:rFonts w:asciiTheme="majorBidi" w:hAnsiTheme="majorBidi" w:cstheme="majorBidi"/>
          <w:iCs/>
          <w:sz w:val="20"/>
          <w:szCs w:val="20"/>
          <w:rtl/>
          <w:lang w:bidi="ar-SA"/>
        </w:rPr>
        <w:t xml:space="preserve"> اليوم ، الربح الإضافي من إنشاء أموال غير نقدية. بصرف النظر عن ذلك ، فإن الربحية العادية للأعمال المصرفية ستبقى على حالها. ستكون البنوك قادرة دون أي قيود على مواصلة القيام بجميع أنواع الأعمال التي تقوم بها الآن ، ... ".</w:t>
      </w:r>
    </w:p>
    <w:p w:rsidR="000255A4" w:rsidRPr="00BB11D1" w:rsidRDefault="000255A4" w:rsidP="006A2441">
      <w:pPr>
        <w:pStyle w:val="BodyText"/>
        <w:bidi/>
        <w:spacing w:before="7"/>
        <w:rPr>
          <w:rFonts w:asciiTheme="majorBidi" w:hAnsiTheme="majorBidi" w:cstheme="majorBidi"/>
          <w:i/>
          <w:sz w:val="23"/>
        </w:rPr>
      </w:pPr>
    </w:p>
    <w:p w:rsidR="000255A4" w:rsidRPr="00BB11D1" w:rsidRDefault="006A2441" w:rsidP="006A2441">
      <w:pPr>
        <w:pStyle w:val="Heading4"/>
        <w:numPr>
          <w:ilvl w:val="1"/>
          <w:numId w:val="10"/>
        </w:numPr>
        <w:tabs>
          <w:tab w:val="left" w:pos="610"/>
        </w:tabs>
        <w:bidi/>
        <w:spacing w:before="1"/>
        <w:rPr>
          <w:rFonts w:asciiTheme="majorBidi" w:hAnsiTheme="majorBidi" w:cstheme="majorBidi"/>
        </w:rPr>
      </w:pPr>
      <w:r w:rsidRPr="00BB11D1">
        <w:rPr>
          <w:rFonts w:asciiTheme="majorBidi" w:hAnsiTheme="majorBidi" w:cstheme="majorBidi"/>
          <w:rtl/>
          <w:lang w:bidi="ar-SA"/>
        </w:rPr>
        <w:t xml:space="preserve"> إعادة توجيه دخل </w:t>
      </w:r>
      <w:r w:rsidRPr="00BB11D1">
        <w:rPr>
          <w:rFonts w:asciiTheme="majorBidi" w:hAnsiTheme="majorBidi" w:cstheme="majorBidi"/>
        </w:rPr>
        <w:t>Seignorage</w:t>
      </w:r>
      <w:r w:rsidRPr="00BB11D1">
        <w:rPr>
          <w:rFonts w:asciiTheme="majorBidi" w:hAnsiTheme="majorBidi" w:cstheme="majorBidi"/>
          <w:rtl/>
          <w:lang w:bidi="ar-SA"/>
        </w:rPr>
        <w:t xml:space="preserve"> إلى الدولة (والمواطنين)</w:t>
      </w:r>
    </w:p>
    <w:p w:rsidR="006A2441" w:rsidRPr="00BB11D1" w:rsidRDefault="006A2441" w:rsidP="006A2441">
      <w:pPr>
        <w:pStyle w:val="Heading4"/>
        <w:tabs>
          <w:tab w:val="left" w:pos="610"/>
        </w:tabs>
        <w:bidi/>
        <w:spacing w:before="1"/>
        <w:ind w:left="643"/>
        <w:rPr>
          <w:rFonts w:asciiTheme="majorBidi" w:hAnsiTheme="majorBidi" w:cstheme="majorBidi"/>
        </w:rPr>
      </w:pPr>
    </w:p>
    <w:p w:rsidR="006A2441" w:rsidRPr="00BB11D1" w:rsidRDefault="006A2441" w:rsidP="006A244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جادل مؤيدو الأموال السيادية بأن بنك دبي التجاري يمكن أن يستعيد جزءًا من عمليات التصرف ، وأيضًا إذا انخفضت الأموال النقدية. يولي ماير وهوبر (2014) أهمية كبيرة للمزايا المالية المفترضة للأموال السيادية. ويقدرون ذلك على سبيل المثال في منطقة اليورو ، ستصل إيرادات الدولة السنوية الإضافية إلى أكثر من 100 مليار يورو (بافتراض مستوى سعر الفائدة قبل عام 2008). من الواضح ، مع المستويات المنخفضة الحالية لأسعار الفائدة، والتوقعات المستقبلية لأسعار الفائدة في المستقبل كما هو السعر في منحنيات العائد ، أصبحت هذه الحجة غير ذات صلة إلى حد ما في الوقت الحاضر.</w:t>
      </w:r>
    </w:p>
    <w:p w:rsidR="000255A4" w:rsidRPr="00BB11D1" w:rsidRDefault="006A2441" w:rsidP="00BB11D1">
      <w:pPr>
        <w:bidi/>
        <w:spacing w:line="480" w:lineRule="auto"/>
        <w:jc w:val="mediumKashida"/>
        <w:rPr>
          <w:rFonts w:asciiTheme="majorBidi" w:hAnsiTheme="majorBidi" w:cstheme="majorBidi"/>
          <w:sz w:val="20"/>
        </w:rPr>
      </w:pPr>
      <w:r w:rsidRPr="00BB11D1">
        <w:rPr>
          <w:rFonts w:asciiTheme="majorBidi" w:hAnsiTheme="majorBidi" w:cstheme="majorBidi"/>
          <w:rtl/>
          <w:lang w:bidi="ar-SA"/>
        </w:rPr>
        <w:t xml:space="preserve">بشكل عام ، يمكن للمرء أن يستنتج من مراجعة الحجج لصالح </w:t>
      </w:r>
      <w:r w:rsidRPr="00BB11D1">
        <w:rPr>
          <w:rFonts w:asciiTheme="majorBidi" w:hAnsiTheme="majorBidi" w:cstheme="majorBidi"/>
        </w:rPr>
        <w:t>CBDC</w:t>
      </w:r>
      <w:r w:rsidRPr="00BB11D1">
        <w:rPr>
          <w:rFonts w:asciiTheme="majorBidi" w:hAnsiTheme="majorBidi" w:cstheme="majorBidi"/>
          <w:rtl/>
          <w:lang w:bidi="ar-SA"/>
        </w:rPr>
        <w:t xml:space="preserve"> بأن مزايا </w:t>
      </w:r>
      <w:r w:rsidRPr="00BB11D1">
        <w:rPr>
          <w:rFonts w:asciiTheme="majorBidi" w:hAnsiTheme="majorBidi" w:cstheme="majorBidi"/>
        </w:rPr>
        <w:t>CBDC</w:t>
      </w:r>
      <w:r w:rsidRPr="00BB11D1">
        <w:rPr>
          <w:rFonts w:asciiTheme="majorBidi" w:hAnsiTheme="majorBidi" w:cstheme="majorBidi"/>
          <w:rtl/>
          <w:lang w:bidi="ar-SA"/>
        </w:rPr>
        <w:t xml:space="preserve"> من النوع </w:t>
      </w:r>
      <w:r w:rsidRPr="00BB11D1">
        <w:rPr>
          <w:rFonts w:asciiTheme="majorBidi" w:hAnsiTheme="majorBidi" w:cstheme="majorBidi"/>
        </w:rPr>
        <w:t>A</w:t>
      </w:r>
      <w:r w:rsidRPr="00BB11D1">
        <w:rPr>
          <w:rFonts w:asciiTheme="majorBidi" w:hAnsiTheme="majorBidi" w:cstheme="majorBidi"/>
          <w:rtl/>
          <w:lang w:bidi="ar-SA"/>
        </w:rPr>
        <w:t xml:space="preserve"> ، أي المساهمة في نظام دفع فعال ومرن ويمكن الوصول إليه وقابل للتنافس ، لا تبدو مثيرة للجدل نسبيًا ، دون أن تكون هذه في حد ذاتها كافية لتبرير </w:t>
      </w:r>
      <w:r w:rsidRPr="00BB11D1">
        <w:rPr>
          <w:rFonts w:asciiTheme="majorBidi" w:hAnsiTheme="majorBidi" w:cstheme="majorBidi"/>
        </w:rPr>
        <w:t>CBDC</w:t>
      </w:r>
      <w:r w:rsidRPr="00BB11D1">
        <w:rPr>
          <w:rFonts w:asciiTheme="majorBidi" w:hAnsiTheme="majorBidi" w:cstheme="majorBidi"/>
          <w:rtl/>
          <w:lang w:bidi="ar-SA"/>
        </w:rPr>
        <w:t xml:space="preserve">. تعتبر الحجة </w:t>
      </w:r>
      <w:r w:rsidRPr="00BB11D1">
        <w:rPr>
          <w:rFonts w:asciiTheme="majorBidi" w:hAnsiTheme="majorBidi" w:cstheme="majorBidi"/>
        </w:rPr>
        <w:t>B</w:t>
      </w:r>
      <w:r w:rsidRPr="00BB11D1">
        <w:rPr>
          <w:rFonts w:asciiTheme="majorBidi" w:hAnsiTheme="majorBidi" w:cstheme="majorBidi"/>
          <w:rtl/>
          <w:lang w:bidi="ar-SA"/>
        </w:rPr>
        <w:t xml:space="preserve"> أكثر إثارة للجدل ، لكن يبدو أن هذا الخلاف يقع خارج نطاق كفاءة نظام الدفع والاستقرار النقدي والمالي. سيتم مشاركة الوسيطة </w:t>
      </w:r>
      <w:r w:rsidRPr="00BB11D1">
        <w:rPr>
          <w:rFonts w:asciiTheme="majorBidi" w:hAnsiTheme="majorBidi" w:cstheme="majorBidi"/>
        </w:rPr>
        <w:t>C1</w:t>
      </w:r>
      <w:r w:rsidRPr="00BB11D1">
        <w:rPr>
          <w:rFonts w:asciiTheme="majorBidi" w:hAnsiTheme="majorBidi" w:cstheme="majorBidi"/>
          <w:rtl/>
          <w:lang w:bidi="ar-SA"/>
        </w:rPr>
        <w:t xml:space="preserve"> من قبل الاقتصاديين النقديين الذين يدعمون </w:t>
      </w:r>
      <w:r w:rsidRPr="00BB11D1">
        <w:rPr>
          <w:rFonts w:asciiTheme="majorBidi" w:hAnsiTheme="majorBidi" w:cstheme="majorBidi"/>
        </w:rPr>
        <w:t>NIRP</w:t>
      </w:r>
      <w:r w:rsidRPr="00BB11D1">
        <w:rPr>
          <w:rFonts w:asciiTheme="majorBidi" w:hAnsiTheme="majorBidi" w:cstheme="majorBidi"/>
          <w:rtl/>
          <w:lang w:bidi="ar-SA"/>
        </w:rPr>
        <w:t xml:space="preserve"> ، ولكن سيتم رفضهم من قبل أولئك الذين يعتبرون </w:t>
      </w:r>
      <w:r w:rsidRPr="00BB11D1">
        <w:rPr>
          <w:rFonts w:asciiTheme="majorBidi" w:hAnsiTheme="majorBidi" w:cstheme="majorBidi"/>
        </w:rPr>
        <w:t>NIRP</w:t>
      </w:r>
      <w:r w:rsidRPr="00BB11D1">
        <w:rPr>
          <w:rFonts w:asciiTheme="majorBidi" w:hAnsiTheme="majorBidi" w:cstheme="majorBidi"/>
          <w:rtl/>
          <w:lang w:bidi="ar-SA"/>
        </w:rPr>
        <w:t xml:space="preserve"> شكلاً من أشكال القمع المالي. من المحتمل أن يتم رفض الحجج </w:t>
      </w:r>
      <w:r w:rsidRPr="00BB11D1">
        <w:rPr>
          <w:rFonts w:asciiTheme="majorBidi" w:hAnsiTheme="majorBidi" w:cstheme="majorBidi"/>
        </w:rPr>
        <w:t>C2</w:t>
      </w:r>
      <w:r w:rsidRPr="00BB11D1">
        <w:rPr>
          <w:rFonts w:asciiTheme="majorBidi" w:hAnsiTheme="majorBidi" w:cstheme="majorBidi"/>
          <w:rtl/>
          <w:lang w:bidi="ar-SA"/>
        </w:rPr>
        <w:t xml:space="preserve"> و </w:t>
      </w:r>
      <w:r w:rsidRPr="00BB11D1">
        <w:rPr>
          <w:rFonts w:asciiTheme="majorBidi" w:hAnsiTheme="majorBidi" w:cstheme="majorBidi"/>
        </w:rPr>
        <w:t>C3</w:t>
      </w:r>
      <w:r w:rsidRPr="00BB11D1">
        <w:rPr>
          <w:rFonts w:asciiTheme="majorBidi" w:hAnsiTheme="majorBidi" w:cstheme="majorBidi"/>
          <w:rtl/>
          <w:lang w:bidi="ar-SA"/>
        </w:rPr>
        <w:t xml:space="preserve"> من قبل غالبية الاقتصاديين النقديين المحترفين. أخيرًا ، الحجج المتعلقة بالأموال السيادية (</w:t>
      </w:r>
      <w:r w:rsidRPr="00BB11D1">
        <w:rPr>
          <w:rFonts w:asciiTheme="majorBidi" w:hAnsiTheme="majorBidi" w:cstheme="majorBidi"/>
        </w:rPr>
        <w:t>D</w:t>
      </w:r>
      <w:r w:rsidRPr="00BB11D1">
        <w:rPr>
          <w:rFonts w:asciiTheme="majorBidi" w:hAnsiTheme="majorBidi" w:cstheme="majorBidi"/>
          <w:rtl/>
          <w:lang w:bidi="ar-SA"/>
        </w:rPr>
        <w:t xml:space="preserve">) مثيرة للجدل بشكل عام ، ومرة ​​أخرى من المرجح أن يرفضها معظم الاقتصاديين النقديين. علاوة على ذلك ، كما سيتم مناقشته في القسمين 3 و 4 ، فقد تم اعتبار الوساطة في النظام المصرفي واحدة من العوائق والمخاطر الرئيسية لـ </w:t>
      </w:r>
      <w:r w:rsidRPr="00BB11D1">
        <w:rPr>
          <w:rFonts w:asciiTheme="majorBidi" w:hAnsiTheme="majorBidi" w:cstheme="majorBidi"/>
        </w:rPr>
        <w:t>CBDC</w:t>
      </w:r>
      <w:r w:rsidRPr="00BB11D1">
        <w:rPr>
          <w:rFonts w:asciiTheme="majorBidi" w:hAnsiTheme="majorBidi" w:cstheme="majorBidi"/>
          <w:rtl/>
          <w:lang w:bidi="ar-SA"/>
        </w:rPr>
        <w:t>.</w:t>
      </w:r>
    </w:p>
    <w:p w:rsidR="006A2441" w:rsidRPr="00BB11D1" w:rsidRDefault="006A2441" w:rsidP="00BB11D1">
      <w:pPr>
        <w:pStyle w:val="BodyText"/>
        <w:bidi/>
        <w:spacing w:before="5" w:line="480" w:lineRule="auto"/>
        <w:jc w:val="both"/>
        <w:rPr>
          <w:rFonts w:asciiTheme="majorBidi" w:hAnsiTheme="majorBidi" w:cstheme="majorBidi"/>
        </w:rPr>
      </w:pPr>
      <w:bookmarkStart w:id="6" w:name="_bookmark3"/>
      <w:bookmarkStart w:id="7" w:name="_bookmark2"/>
      <w:bookmarkStart w:id="8" w:name="2_The_structural_bank_disintermediation_"/>
      <w:bookmarkEnd w:id="6"/>
      <w:bookmarkEnd w:id="7"/>
      <w:bookmarkEnd w:id="8"/>
      <w:r w:rsidRPr="00BB11D1">
        <w:rPr>
          <w:rFonts w:asciiTheme="majorBidi" w:hAnsiTheme="majorBidi" w:cstheme="majorBidi"/>
          <w:rtl/>
          <w:lang w:bidi="ar-SA"/>
        </w:rPr>
        <w:lastRenderedPageBreak/>
        <w:t xml:space="preserve">لذلك ، لعزل القضية الأكثر وضوحًا وتواضعًا لـ </w:t>
      </w:r>
      <w:r w:rsidRPr="00BB11D1">
        <w:rPr>
          <w:rFonts w:asciiTheme="majorBidi" w:hAnsiTheme="majorBidi" w:cstheme="majorBidi"/>
        </w:rPr>
        <w:t>CBDC</w:t>
      </w:r>
      <w:r w:rsidRPr="00BB11D1">
        <w:rPr>
          <w:rFonts w:asciiTheme="majorBidi" w:hAnsiTheme="majorBidi" w:cstheme="majorBidi"/>
          <w:rtl/>
          <w:lang w:bidi="ar-SA"/>
        </w:rPr>
        <w:t xml:space="preserve"> والتي من المحتمل أن يتم مشاركتها من قبل معظم الاقتصاديين ، أي أنها يمكن أن تكون بمثابة وسيلة دفع فعالة للبيع بالتجزئة (الوسيطة </w:t>
      </w:r>
      <w:r w:rsidRPr="00BB11D1">
        <w:rPr>
          <w:rFonts w:asciiTheme="majorBidi" w:hAnsiTheme="majorBidi" w:cstheme="majorBidi"/>
        </w:rPr>
        <w:t>A</w:t>
      </w:r>
      <w:r w:rsidRPr="00BB11D1">
        <w:rPr>
          <w:rFonts w:asciiTheme="majorBidi" w:hAnsiTheme="majorBidi" w:cstheme="majorBidi"/>
          <w:rtl/>
          <w:lang w:bidi="ar-SA"/>
        </w:rPr>
        <w:t xml:space="preserve">) من الخطر المتصور أن </w:t>
      </w:r>
      <w:r w:rsidRPr="00BB11D1">
        <w:rPr>
          <w:rFonts w:asciiTheme="majorBidi" w:hAnsiTheme="majorBidi" w:cstheme="majorBidi"/>
        </w:rPr>
        <w:t>CBDC</w:t>
      </w:r>
      <w:r w:rsidRPr="00BB11D1">
        <w:rPr>
          <w:rFonts w:asciiTheme="majorBidi" w:hAnsiTheme="majorBidi" w:cstheme="majorBidi"/>
          <w:rtl/>
          <w:lang w:bidi="ar-SA"/>
        </w:rPr>
        <w:t xml:space="preserve"> يؤدي بشكل غير مقصود إلى أموال السيادية النظام المالي (لأنه من شأنه أن يعزز الجاذبية النسبية لأموال البنك المركزي بالنسبة للودائع المصرفية) ، يبدو من الضروري أن تكون قادرًا على توجيه إصدار </w:t>
      </w:r>
      <w:r w:rsidRPr="00BB11D1">
        <w:rPr>
          <w:rFonts w:asciiTheme="majorBidi" w:hAnsiTheme="majorBidi" w:cstheme="majorBidi"/>
        </w:rPr>
        <w:t>CBDC</w:t>
      </w:r>
      <w:r w:rsidRPr="00BB11D1">
        <w:rPr>
          <w:rFonts w:asciiTheme="majorBidi" w:hAnsiTheme="majorBidi" w:cstheme="majorBidi"/>
          <w:rtl/>
          <w:lang w:bidi="ar-SA"/>
        </w:rPr>
        <w:t xml:space="preserve"> بحيث يخدم كفاءة مدفوعات التجزئة ، دون وضع بالضرورة في شك في الأمر النقدي من خلال جعل </w:t>
      </w:r>
      <w:r w:rsidRPr="00BB11D1">
        <w:rPr>
          <w:rFonts w:asciiTheme="majorBidi" w:hAnsiTheme="majorBidi" w:cstheme="majorBidi"/>
        </w:rPr>
        <w:t>CBDC</w:t>
      </w:r>
      <w:r w:rsidRPr="00BB11D1">
        <w:rPr>
          <w:rFonts w:asciiTheme="majorBidi" w:hAnsiTheme="majorBidi" w:cstheme="majorBidi"/>
          <w:rtl/>
          <w:lang w:bidi="ar-SA"/>
        </w:rPr>
        <w:t xml:space="preserve"> شكلاً رئيسيًا من عناصر القيمة</w:t>
      </w:r>
      <w:r w:rsidR="00BB11D1">
        <w:rPr>
          <w:rStyle w:val="FootnoteReference"/>
          <w:rFonts w:asciiTheme="majorBidi" w:hAnsiTheme="majorBidi" w:cstheme="majorBidi"/>
          <w:rtl/>
          <w:lang w:bidi="ar-SA"/>
        </w:rPr>
        <w:footnoteReference w:id="3"/>
      </w:r>
      <w:r w:rsidRPr="00BB11D1">
        <w:rPr>
          <w:rFonts w:asciiTheme="majorBidi" w:hAnsiTheme="majorBidi" w:cstheme="majorBidi"/>
          <w:rtl/>
          <w:lang w:bidi="ar-SA"/>
        </w:rPr>
        <w:t xml:space="preserve">. سيُناقش في هذه الورقة أن مثل هذا التوجيه ممكن ، وبأقل تغيير جوهري من الأصيل على سبيل المثال في اقتراح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None (2018</w:t>
      </w:r>
      <w:r w:rsidRPr="00BB11D1">
        <w:rPr>
          <w:rFonts w:asciiTheme="majorBidi" w:hAnsiTheme="majorBidi" w:cstheme="majorBidi"/>
          <w:rtl/>
          <w:lang w:bidi="ar-SA"/>
        </w:rPr>
        <w:t xml:space="preserve">). يبدو أن الأداة التي تم اختبارها جيدًا للأجر المتدرج هي وسيلة لضمان التحكم في حجم </w:t>
      </w:r>
      <w:r w:rsidRPr="00BB11D1">
        <w:rPr>
          <w:rFonts w:asciiTheme="majorBidi" w:hAnsiTheme="majorBidi" w:cstheme="majorBidi"/>
        </w:rPr>
        <w:t>CBDC</w:t>
      </w:r>
      <w:r w:rsidRPr="00BB11D1">
        <w:rPr>
          <w:rFonts w:asciiTheme="majorBidi" w:hAnsiTheme="majorBidi" w:cstheme="majorBidi"/>
          <w:rtl/>
          <w:lang w:bidi="ar-SA"/>
        </w:rPr>
        <w:t xml:space="preserve"> جيدًا. سيوضح نظام الحسابات المالية الذي تم معايرته في منطقة اليورو آليات وآثار </w:t>
      </w:r>
      <w:r w:rsidRPr="00BB11D1">
        <w:rPr>
          <w:rFonts w:asciiTheme="majorBidi" w:hAnsiTheme="majorBidi" w:cstheme="majorBidi"/>
        </w:rPr>
        <w:t>CBDC</w:t>
      </w:r>
      <w:r w:rsidRPr="00BB11D1">
        <w:rPr>
          <w:rFonts w:asciiTheme="majorBidi" w:hAnsiTheme="majorBidi" w:cstheme="majorBidi"/>
          <w:rtl/>
          <w:lang w:bidi="ar-SA"/>
        </w:rPr>
        <w:t xml:space="preserve"> وسيسمح بعرض تدفقات الأموال المترتبة.</w:t>
      </w:r>
    </w:p>
    <w:p w:rsidR="000255A4" w:rsidRPr="00BB11D1" w:rsidRDefault="006A2441" w:rsidP="00BB11D1">
      <w:pPr>
        <w:pStyle w:val="BodyText"/>
        <w:bidi/>
        <w:spacing w:before="5"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ما تبقى من هذه الورقة العائدات على النحو التالي. يناقش القسم 2 ما يعتبره البعض المشكلة الرئيسية في </w:t>
      </w:r>
      <w:r w:rsidRPr="00BB11D1">
        <w:rPr>
          <w:rFonts w:asciiTheme="majorBidi" w:hAnsiTheme="majorBidi" w:cstheme="majorBidi"/>
        </w:rPr>
        <w:t>CBDC</w:t>
      </w:r>
      <w:r w:rsidRPr="00BB11D1">
        <w:rPr>
          <w:rFonts w:asciiTheme="majorBidi" w:hAnsiTheme="majorBidi" w:cstheme="majorBidi"/>
          <w:rtl/>
          <w:lang w:bidi="ar-SA"/>
        </w:rPr>
        <w:t xml:space="preserve"> ، أي أن </w:t>
      </w:r>
      <w:r w:rsidRPr="00BB11D1">
        <w:rPr>
          <w:rFonts w:asciiTheme="majorBidi" w:hAnsiTheme="majorBidi" w:cstheme="majorBidi"/>
        </w:rPr>
        <w:t>CBDC</w:t>
      </w:r>
      <w:r w:rsidRPr="00BB11D1">
        <w:rPr>
          <w:rFonts w:asciiTheme="majorBidi" w:hAnsiTheme="majorBidi" w:cstheme="majorBidi"/>
          <w:rtl/>
          <w:lang w:bidi="ar-SA"/>
        </w:rPr>
        <w:t xml:space="preserve"> سوف يتدخل بطريقة هيكلية في النظام المصرفي (كونه ما يعتبره دعاة المال السيادي بمثابة تحسن كبير للنظام المالي والمجتمع). يقدم القسم 2 أيضًا إطار الحسابات المالية الذي يوضح تأثير </w:t>
      </w:r>
      <w:r w:rsidR="00BB11D1">
        <w:rPr>
          <w:rFonts w:asciiTheme="majorBidi" w:hAnsiTheme="majorBidi" w:cstheme="majorBidi"/>
          <w:lang w:bidi="ar-SA"/>
        </w:rPr>
        <w:t>CBDC</w:t>
      </w:r>
      <w:r w:rsidRPr="00BB11D1">
        <w:rPr>
          <w:rFonts w:asciiTheme="majorBidi" w:hAnsiTheme="majorBidi" w:cstheme="majorBidi"/>
          <w:rtl/>
          <w:lang w:bidi="ar-SA"/>
        </w:rPr>
        <w:t xml:space="preserve"> على الهيكل المالي الذي سيتم استخدامه في أشكال مختلفة خلال الورقة</w:t>
      </w:r>
      <w:r w:rsidR="00BB11D1">
        <w:rPr>
          <w:rStyle w:val="FootnoteReference"/>
          <w:rFonts w:asciiTheme="majorBidi" w:hAnsiTheme="majorBidi" w:cstheme="majorBidi"/>
          <w:rtl/>
          <w:lang w:bidi="ar-SA"/>
        </w:rPr>
        <w:footnoteReference w:id="4"/>
      </w:r>
      <w:r w:rsidRPr="00BB11D1">
        <w:rPr>
          <w:rFonts w:asciiTheme="majorBidi" w:hAnsiTheme="majorBidi" w:cstheme="majorBidi"/>
          <w:rtl/>
          <w:lang w:bidi="ar-SA"/>
        </w:rPr>
        <w:t xml:space="preserve">. يناقش القسم 3 الخطر الثاني المرتبط بـ </w:t>
      </w:r>
      <w:r w:rsidRPr="00BB11D1">
        <w:rPr>
          <w:rFonts w:asciiTheme="majorBidi" w:hAnsiTheme="majorBidi" w:cstheme="majorBidi"/>
        </w:rPr>
        <w:t>CBDC</w:t>
      </w:r>
      <w:r w:rsidRPr="00BB11D1">
        <w:rPr>
          <w:rFonts w:asciiTheme="majorBidi" w:hAnsiTheme="majorBidi" w:cstheme="majorBidi"/>
          <w:rtl/>
          <w:lang w:bidi="ar-SA"/>
        </w:rPr>
        <w:t xml:space="preserve"> ، أي أنه سيسهل نفاد ودائع البنوك في أموال البنك المركزي في حالات الأزمات المالية (على سبيل المثال لا الهيكلي ، ولكن قلل "الوساطة الدورية"). يناقش القسم 4 حل الحد الأقصى البسيط لمعالجة المشكلات التي تم استكشافها في القسمين السابقين ، بالإضافة إلى سبل الانتصاف التي اقترحها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 كونهما أكثر الطرق تفصيلا حتى الآن لتبديد تلك المخاوف. يقترح القسم 5 منهجًا بديلاً يمكن تبسيطه ، حيث يتم التحكم في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خلال نظام المكافآت المتدرج. سيسمح ذلك بالتحكم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عند مستوى يجعل حجم الميزانية العمومية للبنك المركزي ثابتًا على نطاق واسع ويقلل بشكل كبير القيود السياسية المفروضة على 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من خلال أسعار فائدة منخفضة أو سلبية. يحلل القسم 6 إلى أي مدى السيطرة على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شأنها أن تنطوي في الوقت نفسه على حيادية </w:t>
      </w:r>
      <w:r w:rsidRPr="00BB11D1">
        <w:rPr>
          <w:rFonts w:asciiTheme="majorBidi" w:hAnsiTheme="majorBidi" w:cstheme="majorBidi"/>
        </w:rPr>
        <w:t>CBDC</w:t>
      </w:r>
      <w:r w:rsidRPr="00BB11D1">
        <w:rPr>
          <w:rFonts w:asciiTheme="majorBidi" w:hAnsiTheme="majorBidi" w:cstheme="majorBidi"/>
          <w:rtl/>
          <w:lang w:bidi="ar-SA"/>
        </w:rPr>
        <w:t xml:space="preserve"> للنظام المالي. يقارن القسم 7 </w:t>
      </w:r>
      <w:r w:rsidRPr="00BB11D1">
        <w:rPr>
          <w:rFonts w:asciiTheme="majorBidi" w:hAnsiTheme="majorBidi" w:cstheme="majorBidi"/>
        </w:rPr>
        <w:t>CBDC</w:t>
      </w:r>
      <w:r w:rsidRPr="00BB11D1">
        <w:rPr>
          <w:rFonts w:asciiTheme="majorBidi" w:hAnsiTheme="majorBidi" w:cstheme="majorBidi"/>
          <w:rtl/>
          <w:lang w:bidi="ar-SA"/>
        </w:rPr>
        <w:t xml:space="preserve"> بمبادرات الأموال الرقمية الخاصة من حيث التأثير على النظام المالي. الباب 8 يختتم.</w:t>
      </w:r>
    </w:p>
    <w:p w:rsidR="006A2441" w:rsidRPr="00BB11D1" w:rsidRDefault="006A2441">
      <w:pPr>
        <w:rPr>
          <w:rFonts w:asciiTheme="majorBidi" w:hAnsiTheme="majorBidi" w:cstheme="majorBidi"/>
          <w:rtl/>
          <w:lang w:bidi="ar-LB"/>
        </w:rPr>
      </w:pPr>
      <w:r w:rsidRPr="00BB11D1">
        <w:rPr>
          <w:rFonts w:asciiTheme="majorBidi" w:hAnsiTheme="majorBidi" w:cstheme="majorBidi"/>
          <w:rtl/>
          <w:lang w:bidi="ar-LB"/>
        </w:rPr>
        <w:br w:type="page"/>
      </w:r>
    </w:p>
    <w:p w:rsidR="006A2441" w:rsidRPr="00BB11D1" w:rsidRDefault="006A2441" w:rsidP="006A2441">
      <w:pPr>
        <w:pStyle w:val="BodyText"/>
        <w:bidi/>
        <w:spacing w:before="5"/>
        <w:rPr>
          <w:rFonts w:asciiTheme="majorBidi" w:hAnsiTheme="majorBidi" w:cstheme="majorBidi"/>
        </w:rPr>
      </w:pPr>
    </w:p>
    <w:p w:rsidR="000255A4" w:rsidRPr="00BB11D1" w:rsidRDefault="009C2E3C" w:rsidP="00BB11D1">
      <w:pPr>
        <w:pStyle w:val="Heading2"/>
        <w:numPr>
          <w:ilvl w:val="0"/>
          <w:numId w:val="13"/>
        </w:numPr>
        <w:tabs>
          <w:tab w:val="left" w:pos="529"/>
        </w:tabs>
        <w:bidi/>
        <w:spacing w:before="0" w:line="480" w:lineRule="auto"/>
        <w:ind w:hanging="280"/>
        <w:rPr>
          <w:rFonts w:asciiTheme="majorBidi" w:hAnsiTheme="majorBidi" w:cstheme="majorBidi"/>
        </w:rPr>
      </w:pPr>
      <w:r w:rsidRPr="00BB11D1">
        <w:rPr>
          <w:rFonts w:asciiTheme="majorBidi" w:hAnsiTheme="majorBidi" w:cstheme="majorBidi"/>
          <w:rtl/>
          <w:lang w:bidi="ar-SA"/>
        </w:rPr>
        <w:t>قضية</w:t>
      </w:r>
      <w:r w:rsidRPr="00BB11D1">
        <w:rPr>
          <w:rFonts w:asciiTheme="majorBidi" w:hAnsiTheme="majorBidi" w:cstheme="majorBidi"/>
        </w:rPr>
        <w:t xml:space="preserve"> </w:t>
      </w:r>
      <w:r w:rsidR="006A2441" w:rsidRPr="00BB11D1">
        <w:rPr>
          <w:rFonts w:asciiTheme="majorBidi" w:hAnsiTheme="majorBidi" w:cstheme="majorBidi"/>
          <w:rtl/>
          <w:lang w:bidi="ar-LB"/>
        </w:rPr>
        <w:t>و</w:t>
      </w:r>
      <w:r w:rsidRPr="00BB11D1">
        <w:rPr>
          <w:rFonts w:asciiTheme="majorBidi" w:hAnsiTheme="majorBidi" w:cstheme="majorBidi"/>
          <w:rtl/>
          <w:lang w:bidi="ar-SA"/>
        </w:rPr>
        <w:t>ساطة</w:t>
      </w:r>
      <w:r w:rsidRPr="00BB11D1">
        <w:rPr>
          <w:rFonts w:asciiTheme="majorBidi" w:hAnsiTheme="majorBidi" w:cstheme="majorBidi"/>
        </w:rPr>
        <w:t xml:space="preserve"> </w:t>
      </w:r>
      <w:r w:rsidRPr="00BB11D1">
        <w:rPr>
          <w:rFonts w:asciiTheme="majorBidi" w:hAnsiTheme="majorBidi" w:cstheme="majorBidi"/>
          <w:rtl/>
          <w:lang w:bidi="ar-SA"/>
        </w:rPr>
        <w:t>البنك</w:t>
      </w:r>
      <w:r w:rsidRPr="00BB11D1">
        <w:rPr>
          <w:rFonts w:asciiTheme="majorBidi" w:hAnsiTheme="majorBidi" w:cstheme="majorBidi"/>
        </w:rPr>
        <w:t xml:space="preserve"> </w:t>
      </w:r>
      <w:r w:rsidRPr="00BB11D1">
        <w:rPr>
          <w:rFonts w:asciiTheme="majorBidi" w:hAnsiTheme="majorBidi" w:cstheme="majorBidi"/>
          <w:rtl/>
          <w:lang w:bidi="ar-SA"/>
        </w:rPr>
        <w:t>الهيكلي</w:t>
      </w:r>
    </w:p>
    <w:p w:rsidR="000255A4" w:rsidRPr="00BB11D1" w:rsidRDefault="006A2441" w:rsidP="00BB11D1">
      <w:pPr>
        <w:pStyle w:val="BodyText"/>
        <w:bidi/>
        <w:spacing w:before="6" w:line="480" w:lineRule="auto"/>
        <w:jc w:val="both"/>
        <w:rPr>
          <w:rFonts w:asciiTheme="majorBidi" w:hAnsiTheme="majorBidi" w:cstheme="majorBidi"/>
          <w:sz w:val="23"/>
        </w:rPr>
      </w:pPr>
      <w:r w:rsidRPr="00BB11D1">
        <w:rPr>
          <w:rFonts w:asciiTheme="majorBidi" w:hAnsiTheme="majorBidi" w:cstheme="majorBidi"/>
          <w:rtl/>
          <w:lang w:bidi="ar-SA"/>
        </w:rPr>
        <w:t xml:space="preserve">لقد وجد </w:t>
      </w:r>
      <w:r w:rsidRPr="00BB11D1">
        <w:rPr>
          <w:rFonts w:asciiTheme="majorBidi" w:hAnsiTheme="majorBidi" w:cstheme="majorBidi"/>
        </w:rPr>
        <w:t>CBDC</w:t>
      </w:r>
      <w:r w:rsidRPr="00BB11D1">
        <w:rPr>
          <w:rFonts w:asciiTheme="majorBidi" w:hAnsiTheme="majorBidi" w:cstheme="majorBidi"/>
          <w:rtl/>
          <w:lang w:bidi="ar-SA"/>
        </w:rPr>
        <w:t xml:space="preserve"> دعمًا وتسبب في مخاوف قوية فيما يتعلق بتأثيره على هيكل وحجم الوساطة المصرفية. يرى المدافعون عن "الأموال السيادية" أن الوساطة المصرفية هي بالضبط هدف </w:t>
      </w:r>
      <w:r w:rsidRPr="00BB11D1">
        <w:rPr>
          <w:rFonts w:asciiTheme="majorBidi" w:hAnsiTheme="majorBidi" w:cstheme="majorBidi"/>
        </w:rPr>
        <w:t>CBDC</w:t>
      </w:r>
      <w:r w:rsidRPr="00BB11D1">
        <w:rPr>
          <w:rFonts w:asciiTheme="majorBidi" w:hAnsiTheme="majorBidi" w:cstheme="majorBidi"/>
          <w:rtl/>
          <w:lang w:bidi="ar-SA"/>
        </w:rPr>
        <w:t xml:space="preserve">. بالفعل قام </w:t>
      </w:r>
      <w:r w:rsidRPr="00BB11D1">
        <w:rPr>
          <w:rFonts w:asciiTheme="majorBidi" w:hAnsiTheme="majorBidi" w:cstheme="majorBidi"/>
        </w:rPr>
        <w:t xml:space="preserve">Huber (1999 </w:t>
      </w:r>
      <w:r w:rsidRPr="00BB11D1">
        <w:rPr>
          <w:rFonts w:asciiTheme="majorBidi" w:hAnsiTheme="majorBidi" w:cstheme="majorBidi"/>
          <w:rtl/>
          <w:lang w:bidi="ar-SA"/>
        </w:rPr>
        <w:t xml:space="preserve">، </w:t>
      </w:r>
      <w:r w:rsidRPr="00BB11D1">
        <w:rPr>
          <w:rFonts w:asciiTheme="majorBidi" w:hAnsiTheme="majorBidi" w:cstheme="majorBidi"/>
        </w:rPr>
        <w:t>18</w:t>
      </w:r>
      <w:r w:rsidRPr="00BB11D1">
        <w:rPr>
          <w:rFonts w:asciiTheme="majorBidi" w:hAnsiTheme="majorBidi" w:cstheme="majorBidi"/>
          <w:rtl/>
          <w:lang w:bidi="ar-SA"/>
        </w:rPr>
        <w:t>) ، المدافع عن "الأموال السيادية" ، بتحديد الآثار المالية المترتبة على أموال البنك المركزي بشكل صحيح بدلاً من الودائع التي أصدرها البنك:</w:t>
      </w:r>
    </w:p>
    <w:p w:rsidR="000255A4" w:rsidRPr="00BB11D1" w:rsidRDefault="006A2441" w:rsidP="006A2441">
      <w:pPr>
        <w:bidi/>
        <w:spacing w:before="1" w:line="480" w:lineRule="auto"/>
        <w:ind w:left="969" w:right="766" w:firstLine="45"/>
        <w:jc w:val="both"/>
        <w:rPr>
          <w:rFonts w:asciiTheme="majorBidi" w:hAnsiTheme="majorBidi" w:cstheme="majorBidi"/>
          <w:iCs/>
          <w:sz w:val="18"/>
          <w:szCs w:val="18"/>
          <w:rtl/>
          <w:lang w:bidi="ar-SA"/>
        </w:rPr>
      </w:pPr>
      <w:r w:rsidRPr="00BB11D1">
        <w:rPr>
          <w:rFonts w:asciiTheme="majorBidi" w:hAnsiTheme="majorBidi" w:cstheme="majorBidi"/>
          <w:iCs/>
          <w:sz w:val="18"/>
          <w:szCs w:val="20"/>
          <w:rtl/>
          <w:lang w:bidi="ar-SA"/>
        </w:rPr>
        <w:t>"لا تزال المطالبات الائتمانية لأحد البنوك بشأن عملاء الحصول على القروض ؛ تختفي الالتزامات النقدية للبنك إلى العملاء الذين يحتفظون بالحساب ، وتختفي المطالبات النقدية لعملاء المحافظة على الحساب على قدم المساواة ؛ في مقابل هذا الأخير تظهر مطالبة ائتمان البنك المركزي على البنك. هؤلاء ستكون المطالبات الائتمانية جزءًا من الأصول المدرجة في الميزانية العمومية للبنك المركزي ، والتي تتوافق مع مبالغ الأموال غير النقدية التي يتم تسجيلها في جانب المسؤولية (لا ينطبق أي منهما اليوم). "</w:t>
      </w:r>
    </w:p>
    <w:p w:rsidR="006A2441" w:rsidRPr="00BB11D1" w:rsidRDefault="006A2441" w:rsidP="006A2441">
      <w:pPr>
        <w:bidi/>
        <w:spacing w:before="1" w:line="254" w:lineRule="auto"/>
        <w:ind w:left="969" w:right="766" w:firstLine="45"/>
        <w:jc w:val="both"/>
        <w:rPr>
          <w:rFonts w:asciiTheme="majorBidi" w:hAnsiTheme="majorBidi" w:cstheme="majorBidi"/>
          <w:i/>
          <w:iCs/>
          <w:sz w:val="20"/>
          <w:szCs w:val="20"/>
          <w:rtl/>
          <w:lang w:bidi="ar-SA"/>
        </w:rPr>
      </w:pPr>
    </w:p>
    <w:p w:rsidR="006A2441" w:rsidRPr="00BB11D1" w:rsidRDefault="006A2441" w:rsidP="006A244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رفض آخرون بشدة فكرة تضخيم </w:t>
      </w:r>
      <w:r w:rsidR="00BB11D1">
        <w:rPr>
          <w:rFonts w:asciiTheme="majorBidi" w:hAnsiTheme="majorBidi" w:cstheme="majorBidi"/>
          <w:lang w:bidi="ar-SA"/>
        </w:rPr>
        <w:t>CBDC</w:t>
      </w:r>
      <w:r w:rsidRPr="00BB11D1">
        <w:rPr>
          <w:rFonts w:asciiTheme="majorBidi" w:hAnsiTheme="majorBidi" w:cstheme="majorBidi"/>
          <w:rtl/>
          <w:lang w:bidi="ar-SA"/>
        </w:rPr>
        <w:t xml:space="preserve"> لميزانية البنك المركزي على حساب تموي</w:t>
      </w:r>
      <w:r w:rsidR="00BB11D1">
        <w:rPr>
          <w:rFonts w:asciiTheme="majorBidi" w:hAnsiTheme="majorBidi" w:cstheme="majorBidi"/>
          <w:rtl/>
          <w:lang w:bidi="ar-SA"/>
        </w:rPr>
        <w:t>ل ودائع البنوك. على سبيل المثال</w:t>
      </w:r>
      <w:r w:rsidRPr="00BB11D1">
        <w:rPr>
          <w:rFonts w:asciiTheme="majorBidi" w:hAnsiTheme="majorBidi" w:cstheme="majorBidi"/>
          <w:rtl/>
          <w:lang w:bidi="ar-SA"/>
        </w:rPr>
        <w:t xml:space="preserve">، يقول بولوك (2018) ، في شهادة أمام اللجنة الفرعية للسياسة النقدية وتجارة لجنة الخدمات المالية بمجلس النواب بالولايات المتحدة ، إن </w:t>
      </w:r>
      <w:r w:rsidRPr="00BB11D1">
        <w:rPr>
          <w:rFonts w:asciiTheme="majorBidi" w:hAnsiTheme="majorBidi" w:cstheme="majorBidi"/>
          <w:lang w:bidi="ar-SA"/>
        </w:rPr>
        <w:t>CBDC</w:t>
      </w:r>
      <w:r w:rsidRPr="00BB11D1">
        <w:rPr>
          <w:rFonts w:asciiTheme="majorBidi" w:hAnsiTheme="majorBidi" w:cstheme="majorBidi"/>
          <w:rtl/>
          <w:lang w:bidi="ar-SA"/>
        </w:rPr>
        <w:t xml:space="preserve"> سيؤدي إلى تشوهات مختلفة على وجه التحديد بسبب عدم وساطة البنوك: سيستفيد البنك من ميزة تنافسية غير عادلة في تحصيل الودائع وتحصيل القوة والحصة السوقية غير المبررة (من المحتمل أن يسيء استخدام سلطاته التنظيمية لتعزيز مزاياه غير العادلة) ، من ناحية أخرى ، سيكون له عيوب تنافسية في توفير الائتمان ، وهو ما سيكون عليه تجاهل الأمر الذي يؤدي إلى عدم الكفاءة وتضارب المصالح والخسائر المالية التي يتحملها دافع الضرائب في النهاية.</w:t>
      </w:r>
    </w:p>
    <w:p w:rsidR="006A2441" w:rsidRPr="00BB11D1" w:rsidRDefault="006A2441" w:rsidP="006A244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تحدد </w:t>
      </w:r>
      <w:r w:rsidRPr="00BB11D1">
        <w:rPr>
          <w:rFonts w:asciiTheme="majorBidi" w:hAnsiTheme="majorBidi" w:cstheme="majorBidi"/>
          <w:lang w:bidi="ar-SA"/>
        </w:rPr>
        <w:t>Niepelt (2018</w:t>
      </w:r>
      <w:r w:rsidRPr="00BB11D1">
        <w:rPr>
          <w:rFonts w:asciiTheme="majorBidi" w:hAnsiTheme="majorBidi" w:cstheme="majorBidi"/>
          <w:rtl/>
          <w:lang w:bidi="ar-SA"/>
        </w:rPr>
        <w:t xml:space="preserve">) إطارًا مفاهيميًا يمكن من خلاله تحليل تأثيرات </w:t>
      </w:r>
      <w:r w:rsidRPr="00BB11D1">
        <w:rPr>
          <w:rFonts w:asciiTheme="majorBidi" w:hAnsiTheme="majorBidi" w:cstheme="majorBidi"/>
          <w:lang w:bidi="ar-SA"/>
        </w:rPr>
        <w:t>equlibrium</w:t>
      </w:r>
      <w:r w:rsidRPr="00BB11D1">
        <w:rPr>
          <w:rFonts w:asciiTheme="majorBidi" w:hAnsiTheme="majorBidi" w:cstheme="majorBidi"/>
          <w:rtl/>
          <w:lang w:bidi="ar-SA"/>
        </w:rPr>
        <w:t xml:space="preserve"> النهائية للتخلص البنكي الهيكلي بشكل أكثر شمولًا ، ويجادل بأنه من منظور الرعاية الاجتماعية ، قد يتم تطبيق اقتراح معادلة حتى تبرر قضايا حوافز محددة استنتاجات مختلفة.</w:t>
      </w:r>
    </w:p>
    <w:p w:rsidR="006A2441" w:rsidRPr="00BB11D1" w:rsidRDefault="006A2441" w:rsidP="006A2441">
      <w:pPr>
        <w:pStyle w:val="BodyText"/>
        <w:bidi/>
        <w:spacing w:before="6" w:line="480" w:lineRule="auto"/>
        <w:jc w:val="both"/>
        <w:rPr>
          <w:rFonts w:asciiTheme="majorBidi" w:hAnsiTheme="majorBidi" w:cstheme="majorBidi"/>
          <w:i/>
          <w:iCs/>
          <w:sz w:val="20"/>
          <w:szCs w:val="20"/>
          <w:rtl/>
          <w:lang w:bidi="ar-SA"/>
        </w:rPr>
      </w:pPr>
      <w:r w:rsidRPr="00BB11D1">
        <w:rPr>
          <w:rFonts w:asciiTheme="majorBidi" w:hAnsiTheme="majorBidi" w:cstheme="majorBidi"/>
          <w:rtl/>
          <w:lang w:bidi="ar-SA"/>
        </w:rPr>
        <w:t xml:space="preserve">يعبر </w:t>
      </w:r>
      <w:r w:rsidRPr="00BB11D1">
        <w:rPr>
          <w:rFonts w:asciiTheme="majorBidi" w:hAnsiTheme="majorBidi" w:cstheme="majorBidi"/>
          <w:lang w:bidi="ar-SA"/>
        </w:rPr>
        <w:t xml:space="preserve">CPMI-MC (2018 </w:t>
      </w:r>
      <w:r w:rsidRPr="00BB11D1">
        <w:rPr>
          <w:rFonts w:asciiTheme="majorBidi" w:hAnsiTheme="majorBidi" w:cstheme="majorBidi"/>
          <w:rtl/>
          <w:lang w:bidi="ar-SA"/>
        </w:rPr>
        <w:t xml:space="preserve">، </w:t>
      </w:r>
      <w:r w:rsidRPr="00BB11D1">
        <w:rPr>
          <w:rFonts w:asciiTheme="majorBidi" w:hAnsiTheme="majorBidi" w:cstheme="majorBidi"/>
          <w:lang w:bidi="ar-SA"/>
        </w:rPr>
        <w:t>2</w:t>
      </w:r>
      <w:r w:rsidRPr="00BB11D1">
        <w:rPr>
          <w:rFonts w:asciiTheme="majorBidi" w:hAnsiTheme="majorBidi" w:cstheme="majorBidi"/>
          <w:rtl/>
          <w:lang w:bidi="ar-SA"/>
        </w:rPr>
        <w:t xml:space="preserve">) عن مخاوف من أن هيكلية </w:t>
      </w:r>
      <w:r w:rsidRPr="00BB11D1">
        <w:rPr>
          <w:rFonts w:asciiTheme="majorBidi" w:hAnsiTheme="majorBidi" w:cstheme="majorBidi"/>
          <w:lang w:bidi="ar-SA"/>
        </w:rPr>
        <w:t>CBDC</w:t>
      </w:r>
      <w:r w:rsidRPr="00BB11D1">
        <w:rPr>
          <w:rFonts w:asciiTheme="majorBidi" w:hAnsiTheme="majorBidi" w:cstheme="majorBidi"/>
          <w:rtl/>
          <w:lang w:bidi="ar-SA"/>
        </w:rPr>
        <w:t xml:space="preserve"> يمكن أن يكون لها آثار سلبية على تخصيص الائتمان وبالتالي الكفاءة الاقتصادية:</w:t>
      </w:r>
    </w:p>
    <w:p w:rsidR="006A2441" w:rsidRPr="00BB11D1" w:rsidRDefault="006A2441" w:rsidP="006A2441">
      <w:pPr>
        <w:bidi/>
        <w:spacing w:before="1" w:line="480" w:lineRule="auto"/>
        <w:ind w:left="969" w:right="766" w:firstLine="45"/>
        <w:jc w:val="both"/>
        <w:rPr>
          <w:rFonts w:asciiTheme="majorBidi" w:hAnsiTheme="majorBidi" w:cstheme="majorBidi"/>
          <w:i/>
          <w:iCs/>
          <w:sz w:val="20"/>
          <w:szCs w:val="20"/>
          <w:rtl/>
          <w:lang w:bidi="ar-SA"/>
        </w:rPr>
      </w:pPr>
      <w:r w:rsidRPr="00BB11D1">
        <w:rPr>
          <w:rFonts w:asciiTheme="majorBidi" w:hAnsiTheme="majorBidi" w:cstheme="majorBidi"/>
          <w:i/>
          <w:iCs/>
          <w:sz w:val="20"/>
          <w:szCs w:val="20"/>
          <w:rtl/>
          <w:lang w:bidi="ar-SA"/>
        </w:rPr>
        <w:t xml:space="preserve">"قد يؤدي إدخال </w:t>
      </w:r>
      <w:r w:rsidR="00BB11D1">
        <w:rPr>
          <w:rFonts w:asciiTheme="majorBidi" w:hAnsiTheme="majorBidi" w:cstheme="majorBidi"/>
          <w:i/>
          <w:iCs/>
          <w:sz w:val="20"/>
          <w:szCs w:val="20"/>
          <w:lang w:bidi="ar-SA"/>
        </w:rPr>
        <w:t>CBDC</w:t>
      </w:r>
      <w:r w:rsidRPr="00BB11D1">
        <w:rPr>
          <w:rFonts w:asciiTheme="majorBidi" w:hAnsiTheme="majorBidi" w:cstheme="majorBidi"/>
          <w:i/>
          <w:iCs/>
          <w:sz w:val="20"/>
          <w:szCs w:val="20"/>
          <w:rtl/>
          <w:lang w:bidi="ar-SA"/>
        </w:rPr>
        <w:t xml:space="preserve"> إلى تواجد أوسع للبنوك المركزية في النظم المالية. وهذا بدوره قد يعني دورًا أكبر للبنوك المركزية في تخصيص الموارد الاقتصادية ، مما قد يترتب عليه خسائر اقتصادية شاملة إذا كانت هذه الكيانات أقل كفاءة من القطاع الخاص في تخصيص الموارد. يمكن أن يحرك البنوك المركزية إلى مناطق مجهولة وقد يؤدي أيضًا إلى تدخل سياسي أكبر ".</w:t>
      </w:r>
    </w:p>
    <w:p w:rsidR="000255A4" w:rsidRPr="00BB11D1" w:rsidRDefault="000255A4" w:rsidP="006A2441">
      <w:pPr>
        <w:pStyle w:val="BodyText"/>
        <w:bidi/>
        <w:spacing w:before="5"/>
        <w:rPr>
          <w:rFonts w:asciiTheme="majorBidi" w:hAnsiTheme="majorBidi" w:cstheme="majorBidi"/>
        </w:rPr>
      </w:pPr>
    </w:p>
    <w:p w:rsidR="006A2441" w:rsidRPr="00BB11D1" w:rsidRDefault="006A2441" w:rsidP="0010677D">
      <w:pPr>
        <w:pStyle w:val="BodyText"/>
        <w:bidi/>
        <w:spacing w:before="2" w:line="480" w:lineRule="auto"/>
        <w:jc w:val="both"/>
        <w:rPr>
          <w:rFonts w:asciiTheme="majorBidi" w:hAnsiTheme="majorBidi" w:cstheme="majorBidi"/>
          <w:w w:val="95"/>
        </w:rPr>
      </w:pPr>
      <w:r w:rsidRPr="00BB11D1">
        <w:rPr>
          <w:rFonts w:asciiTheme="majorBidi" w:hAnsiTheme="majorBidi" w:cstheme="majorBidi"/>
          <w:w w:val="95"/>
          <w:rtl/>
          <w:lang w:bidi="ar-SA"/>
        </w:rPr>
        <w:t xml:space="preserve">أدناه تم إنشاء </w:t>
      </w:r>
      <w:r w:rsidRPr="00BB11D1">
        <w:rPr>
          <w:rFonts w:asciiTheme="majorBidi" w:hAnsiTheme="majorBidi" w:cstheme="majorBidi"/>
          <w:w w:val="95"/>
        </w:rPr>
        <w:t>CBDC</w:t>
      </w:r>
      <w:r w:rsidRPr="00BB11D1">
        <w:rPr>
          <w:rFonts w:asciiTheme="majorBidi" w:hAnsiTheme="majorBidi" w:cstheme="majorBidi"/>
          <w:w w:val="95"/>
          <w:rtl/>
          <w:lang w:bidi="ar-SA"/>
        </w:rPr>
        <w:t xml:space="preserve"> في نظام حساب مالي ، والذي ينسخ الحسابات المالية لمنطقة اليورو على نطاق واسع اعتبارًا من الربع الثاني من عام 2018 (كما هو منصوص عليه في مستودع إحصاءات البنك المركزي الأوروبي أو النشرة الاقتصادية للبنك المركزي الأوروبي). الحسابات مبسطة بشكل خاص فيما يتعلق بالمعاوضة وأن القطاعات المالية غير المصرفية (مكاتب الاستثمار الأجنبية ومؤسسات التمويل الدولية ، أي "المؤسسات المالية الأخرى" و "شركات التأمين وصناديق المعاشات التقاعدية") قد تم تركها بعيدا ، أو تم دمجها على نطاق واسع في </w:t>
      </w:r>
      <w:r w:rsidRPr="00BB11D1">
        <w:rPr>
          <w:rFonts w:asciiTheme="majorBidi" w:hAnsiTheme="majorBidi" w:cstheme="majorBidi"/>
          <w:w w:val="95"/>
          <w:rtl/>
          <w:lang w:bidi="ar-SA"/>
        </w:rPr>
        <w:lastRenderedPageBreak/>
        <w:t>الأسرة قطاع. أيضا ، لا ينعكس برنامج شراء الأصول من البنك المركزي الأوروبي.</w:t>
      </w:r>
    </w:p>
    <w:p w:rsidR="0010677D" w:rsidRDefault="006A2441" w:rsidP="0010677D">
      <w:pPr>
        <w:pStyle w:val="BodyText"/>
        <w:bidi/>
        <w:spacing w:before="2" w:line="480" w:lineRule="auto"/>
        <w:jc w:val="both"/>
        <w:rPr>
          <w:rFonts w:asciiTheme="majorBidi" w:hAnsiTheme="majorBidi" w:cstheme="majorBidi"/>
          <w:w w:val="95"/>
          <w:rtl/>
          <w:lang w:bidi="ar-SA"/>
        </w:rPr>
      </w:pPr>
      <w:r w:rsidRPr="00BB11D1">
        <w:rPr>
          <w:rFonts w:asciiTheme="majorBidi" w:hAnsiTheme="majorBidi" w:cstheme="majorBidi"/>
          <w:w w:val="95"/>
          <w:rtl/>
          <w:lang w:bidi="ar-SA"/>
        </w:rPr>
        <w:t xml:space="preserve">إذا استبدلت الأسر العملات الورقية بـ </w:t>
      </w:r>
      <w:r w:rsidRPr="00BB11D1">
        <w:rPr>
          <w:rFonts w:asciiTheme="majorBidi" w:hAnsiTheme="majorBidi" w:cstheme="majorBidi"/>
          <w:w w:val="95"/>
        </w:rPr>
        <w:t>CBDC</w:t>
      </w:r>
      <w:r w:rsidRPr="00BB11D1">
        <w:rPr>
          <w:rFonts w:asciiTheme="majorBidi" w:hAnsiTheme="majorBidi" w:cstheme="majorBidi"/>
          <w:w w:val="95"/>
          <w:rtl/>
          <w:lang w:bidi="ar-SA"/>
        </w:rPr>
        <w:t xml:space="preserve"> ، فلن تتغير ميزانيات البنك المركزي والبنوك التجارية فعليًا. ومع ذلك ، إذا استبدلت الأسر ودائع البنوك التجارية لدى بنك دبي التجاري ، فهذا يعني خسارة مالية للبنوك التجارية ويمكن أن يؤدي إلى "عدم التدخل" في القطاع المصرفي. على وجه الخصوص ، من المتوقع أن تتحول الودائع تحت الطلب ذات الأجور المنخفضة إلى حد ما على الأقل إلى بنك دبي التجاري بدون مخاطر ، مما يؤدي إلى فقد تمويل البنوك التجارية بنفس الحجم. سيتعين على البنوك محاولة تقديم شروط أفضل على ودائعها من أجل حماية قاعدة ودائعها قدر الإمكان - ولكن هذا سوف ينطوي على تكاليف تمويل أعلى للبنوك وفقدان "تجزئة" للبنوك التجارية. أدناه ، تم تقسيم إنشاء </w:t>
      </w:r>
      <w:r w:rsidRPr="00BB11D1">
        <w:rPr>
          <w:rFonts w:asciiTheme="majorBidi" w:hAnsiTheme="majorBidi" w:cstheme="majorBidi"/>
          <w:w w:val="95"/>
        </w:rPr>
        <w:t>CBDC</w:t>
      </w:r>
      <w:r w:rsidRPr="00BB11D1">
        <w:rPr>
          <w:rFonts w:asciiTheme="majorBidi" w:hAnsiTheme="majorBidi" w:cstheme="majorBidi"/>
          <w:w w:val="95"/>
          <w:rtl/>
          <w:lang w:bidi="ar-SA"/>
        </w:rPr>
        <w:t xml:space="preserve"> إلى قسمين: </w:t>
      </w:r>
      <w:r w:rsidRPr="00BB11D1">
        <w:rPr>
          <w:rFonts w:asciiTheme="majorBidi" w:hAnsiTheme="majorBidi" w:cstheme="majorBidi"/>
          <w:color w:val="00B050"/>
          <w:w w:val="95"/>
        </w:rPr>
        <w:t>CBDC1</w:t>
      </w:r>
      <w:r w:rsidRPr="00BB11D1">
        <w:rPr>
          <w:rFonts w:asciiTheme="majorBidi" w:hAnsiTheme="majorBidi" w:cstheme="majorBidi"/>
          <w:w w:val="95"/>
          <w:rtl/>
          <w:lang w:bidi="ar-SA"/>
        </w:rPr>
        <w:t xml:space="preserve"> الذي يحل محل الأوراق النقدية و </w:t>
      </w:r>
      <w:r w:rsidRPr="00BB11D1">
        <w:rPr>
          <w:rFonts w:asciiTheme="majorBidi" w:hAnsiTheme="majorBidi" w:cstheme="majorBidi"/>
          <w:color w:val="FF0000"/>
          <w:w w:val="95"/>
        </w:rPr>
        <w:t>CBDC2</w:t>
      </w:r>
      <w:r w:rsidRPr="00BB11D1">
        <w:rPr>
          <w:rFonts w:asciiTheme="majorBidi" w:hAnsiTheme="majorBidi" w:cstheme="majorBidi"/>
          <w:w w:val="95"/>
          <w:rtl/>
          <w:lang w:bidi="ar-SA"/>
        </w:rPr>
        <w:t xml:space="preserve"> الذي يحل محل الودائع لدى البنوك. يبدو على الأرجح أن </w:t>
      </w:r>
      <w:r w:rsidRPr="00BB11D1">
        <w:rPr>
          <w:rFonts w:asciiTheme="majorBidi" w:hAnsiTheme="majorBidi" w:cstheme="majorBidi"/>
          <w:w w:val="95"/>
        </w:rPr>
        <w:t>CBDC</w:t>
      </w:r>
      <w:r w:rsidRPr="00BB11D1">
        <w:rPr>
          <w:rFonts w:asciiTheme="majorBidi" w:hAnsiTheme="majorBidi" w:cstheme="majorBidi"/>
          <w:w w:val="95"/>
          <w:rtl/>
          <w:lang w:bidi="ar-SA"/>
        </w:rPr>
        <w:t xml:space="preserve"> ستقوم بكلتا الحالتين ، لكن من غير الواضح فيما يتعلق بالأوزان. إن تأثير </w:t>
      </w:r>
      <w:r w:rsidRPr="00BB11D1">
        <w:rPr>
          <w:rFonts w:asciiTheme="majorBidi" w:hAnsiTheme="majorBidi" w:cstheme="majorBidi"/>
          <w:w w:val="95"/>
        </w:rPr>
        <w:t>CBDC1</w:t>
      </w:r>
      <w:r w:rsidRPr="00BB11D1">
        <w:rPr>
          <w:rFonts w:asciiTheme="majorBidi" w:hAnsiTheme="majorBidi" w:cstheme="majorBidi"/>
          <w:w w:val="95"/>
          <w:rtl/>
          <w:lang w:bidi="ar-SA"/>
        </w:rPr>
        <w:t xml:space="preserve"> على بقية الحسابات المالية محايد ، ولكن آثار </w:t>
      </w:r>
      <w:r w:rsidRPr="00BB11D1">
        <w:rPr>
          <w:rFonts w:asciiTheme="majorBidi" w:hAnsiTheme="majorBidi" w:cstheme="majorBidi"/>
          <w:w w:val="95"/>
        </w:rPr>
        <w:t>CBDC2</w:t>
      </w:r>
      <w:r w:rsidRPr="00BB11D1">
        <w:rPr>
          <w:rFonts w:asciiTheme="majorBidi" w:hAnsiTheme="majorBidi" w:cstheme="majorBidi"/>
          <w:w w:val="95"/>
          <w:rtl/>
          <w:lang w:bidi="ar-SA"/>
        </w:rPr>
        <w:t xml:space="preserve"> ليست كذلك: يطيل </w:t>
      </w:r>
      <w:r w:rsidRPr="00BB11D1">
        <w:rPr>
          <w:rFonts w:asciiTheme="majorBidi" w:hAnsiTheme="majorBidi" w:cstheme="majorBidi"/>
          <w:w w:val="95"/>
        </w:rPr>
        <w:t>CBDC2</w:t>
      </w:r>
      <w:r w:rsidRPr="00BB11D1">
        <w:rPr>
          <w:rFonts w:asciiTheme="majorBidi" w:hAnsiTheme="majorBidi" w:cstheme="majorBidi"/>
          <w:w w:val="95"/>
          <w:rtl/>
          <w:lang w:bidi="ar-SA"/>
        </w:rPr>
        <w:t xml:space="preserve"> الميزانية العمومية للبنك المركزي حيث سيتعين على ائتمان البنك المركزي سد الثغرات التمويلية للبنوك. قد يرغب البنك المركزي في تجنب هذا التأثير عن طريق شراء سندات الحكومة والشركات ، حيث يمكن أن يكون مصدر السندات إما الأسر أو البنوك ، التي يتم تسجيلها في الحسابات المالية بواسطة </w:t>
      </w:r>
      <w:r w:rsidRPr="00BB11D1">
        <w:rPr>
          <w:rFonts w:asciiTheme="majorBidi" w:hAnsiTheme="majorBidi" w:cstheme="majorBidi"/>
          <w:color w:val="365F91" w:themeColor="accent1" w:themeShade="BF"/>
          <w:w w:val="95"/>
        </w:rPr>
        <w:t>S1</w:t>
      </w:r>
      <w:r w:rsidRPr="00BB11D1">
        <w:rPr>
          <w:rFonts w:asciiTheme="majorBidi" w:hAnsiTheme="majorBidi" w:cstheme="majorBidi"/>
          <w:w w:val="95"/>
          <w:rtl/>
          <w:lang w:bidi="ar-SA"/>
        </w:rPr>
        <w:t xml:space="preserve"> و </w:t>
      </w:r>
      <w:r w:rsidRPr="00BB11D1">
        <w:rPr>
          <w:rFonts w:asciiTheme="majorBidi" w:hAnsiTheme="majorBidi" w:cstheme="majorBidi"/>
          <w:color w:val="365F91" w:themeColor="accent1" w:themeShade="BF"/>
          <w:w w:val="95"/>
        </w:rPr>
        <w:t>S2</w:t>
      </w:r>
      <w:r w:rsidRPr="00BB11D1">
        <w:rPr>
          <w:rFonts w:asciiTheme="majorBidi" w:hAnsiTheme="majorBidi" w:cstheme="majorBidi"/>
          <w:w w:val="95"/>
          <w:rtl/>
          <w:lang w:bidi="ar-SA"/>
        </w:rPr>
        <w:t xml:space="preserve"> ، على التوالي. في الحالة الأولى ، افترض هنا أن الأسر لن تحتفظ بالأموال التي تم الحصول عليها في شكل ودائع بنكية ، ولكنها ستشتري سندات بنكية ستصدرها البنوك بالإضافة إلى ذلك (ومع ذلك ، فمن وجهة نظر الحساب المالي ، فإنها لا تجعل الفرق إذا كانت مشتريات البنك المركزي للسندات من الأسر تنطوي على ودائع إضافية لدى البنوك أو استثمارات إضافية في أسواق رأس المال للأسر في سندات بنكية). أخيرًا ، تُظهر الحسابات المالية أيضًا الحالة التي تقوم فيها البنوك بتقليص أنشطتها الاقتصادية عن طريق تخفيض قروضها للشركات (</w:t>
      </w:r>
      <w:r w:rsidRPr="00BB11D1">
        <w:rPr>
          <w:rFonts w:asciiTheme="majorBidi" w:hAnsiTheme="majorBidi" w:cstheme="majorBidi"/>
          <w:color w:val="7030A0"/>
          <w:w w:val="95"/>
        </w:rPr>
        <w:t>DL</w:t>
      </w:r>
      <w:r w:rsidRPr="00BB11D1">
        <w:rPr>
          <w:rFonts w:asciiTheme="majorBidi" w:hAnsiTheme="majorBidi" w:cstheme="majorBidi"/>
          <w:w w:val="95"/>
          <w:rtl/>
          <w:lang w:bidi="ar-SA"/>
        </w:rPr>
        <w:t xml:space="preserve"> لـ "تخفيض الديون") ، حيث يُفترض أن تقوم الشركات بإصدار سندات شركات إضافية لتعويض هذه الخسارة في التمويل والبنك المركزي يشتري هذه السندات.</w:t>
      </w:r>
    </w:p>
    <w:p w:rsidR="0010677D" w:rsidRDefault="0010677D">
      <w:pPr>
        <w:rPr>
          <w:rFonts w:asciiTheme="majorBidi" w:hAnsiTheme="majorBidi" w:cstheme="majorBidi"/>
          <w:w w:val="95"/>
          <w:rtl/>
          <w:lang w:bidi="ar-SA"/>
        </w:rPr>
      </w:pPr>
      <w:r>
        <w:rPr>
          <w:rFonts w:asciiTheme="majorBidi" w:hAnsiTheme="majorBidi" w:cstheme="majorBidi"/>
          <w:w w:val="95"/>
          <w:rtl/>
          <w:lang w:bidi="ar-SA"/>
        </w:rPr>
        <w:br w:type="page"/>
      </w:r>
    </w:p>
    <w:p w:rsidR="00BB11D1" w:rsidRPr="00BB11D1" w:rsidRDefault="00BB11D1" w:rsidP="0010677D">
      <w:pPr>
        <w:pStyle w:val="BodyText"/>
        <w:bidi/>
        <w:spacing w:before="2" w:line="480" w:lineRule="auto"/>
        <w:jc w:val="both"/>
        <w:rPr>
          <w:rFonts w:asciiTheme="majorBidi" w:hAnsiTheme="majorBidi" w:cstheme="majorBidi"/>
          <w:sz w:val="23"/>
        </w:rPr>
      </w:pPr>
    </w:p>
    <w:p w:rsidR="000255A4" w:rsidRDefault="00BB11D1" w:rsidP="006A2441">
      <w:pPr>
        <w:bidi/>
        <w:spacing w:line="254" w:lineRule="auto"/>
        <w:ind w:left="249" w:right="767"/>
        <w:jc w:val="both"/>
        <w:rPr>
          <w:rFonts w:asciiTheme="majorBidi" w:hAnsiTheme="majorBidi" w:cs="Times New Roman"/>
          <w:i/>
          <w:iCs/>
          <w:w w:val="95"/>
          <w:lang w:bidi="ar-SA"/>
        </w:rPr>
      </w:pPr>
      <w:r w:rsidRPr="00BB11D1">
        <w:rPr>
          <w:rFonts w:asciiTheme="majorBidi" w:hAnsiTheme="majorBidi" w:cs="Times New Roman"/>
          <w:i/>
          <w:iCs/>
          <w:w w:val="95"/>
          <w:rtl/>
          <w:lang w:bidi="ar-SA"/>
        </w:rPr>
        <w:t>الشكل 1: تمثيل الحسابات المالية لاتفاقية التنوع البيولوجي ، وتعويض مشتريات الأوراق المالية من قبل البنك المركزي ، وإلغاء الرفع المصرفي المحتمل (الأرقام بتريليونات يورو توضح حسابات منطقة اليورو على نطاق واسع)</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1"/>
        <w:gridCol w:w="1947"/>
        <w:gridCol w:w="1856"/>
        <w:gridCol w:w="2150"/>
      </w:tblGrid>
      <w:tr w:rsidR="00BB11D1" w:rsidTr="00451448">
        <w:trPr>
          <w:trHeight w:val="244"/>
        </w:trPr>
        <w:tc>
          <w:tcPr>
            <w:tcW w:w="8614" w:type="dxa"/>
            <w:gridSpan w:val="4"/>
          </w:tcPr>
          <w:p w:rsidR="00BB11D1" w:rsidRDefault="00BB11D1" w:rsidP="00451448">
            <w:pPr>
              <w:pStyle w:val="TableParagraph"/>
              <w:spacing w:before="4" w:line="220" w:lineRule="exact"/>
              <w:ind w:left="1237" w:right="1229"/>
              <w:jc w:val="center"/>
              <w:rPr>
                <w:rFonts w:ascii="Trebuchet MS"/>
                <w:b/>
                <w:sz w:val="20"/>
              </w:rPr>
            </w:pPr>
            <w:r>
              <w:rPr>
                <w:rFonts w:ascii="Trebuchet MS"/>
                <w:b/>
                <w:sz w:val="20"/>
              </w:rPr>
              <w:t>Households, pension and investment funds, insurance companies</w:t>
            </w:r>
          </w:p>
        </w:tc>
      </w:tr>
      <w:tr w:rsidR="00BB11D1" w:rsidTr="00451448">
        <w:trPr>
          <w:trHeight w:val="1953"/>
        </w:trPr>
        <w:tc>
          <w:tcPr>
            <w:tcW w:w="2661" w:type="dxa"/>
            <w:tcBorders>
              <w:right w:val="nil"/>
            </w:tcBorders>
          </w:tcPr>
          <w:p w:rsidR="00BB11D1" w:rsidRDefault="00BB11D1" w:rsidP="00451448">
            <w:pPr>
              <w:pStyle w:val="TableParagraph"/>
              <w:spacing w:before="2" w:line="254" w:lineRule="auto"/>
              <w:ind w:left="107" w:right="1398"/>
              <w:rPr>
                <w:sz w:val="20"/>
              </w:rPr>
            </w:pPr>
            <w:r>
              <w:rPr>
                <w:sz w:val="20"/>
              </w:rPr>
              <w:t xml:space="preserve">Real Assets </w:t>
            </w:r>
            <w:r>
              <w:rPr>
                <w:w w:val="90"/>
                <w:sz w:val="20"/>
              </w:rPr>
              <w:t>Sight deposits</w:t>
            </w:r>
          </w:p>
          <w:p w:rsidR="00BB11D1" w:rsidRDefault="00BB11D1" w:rsidP="00451448">
            <w:pPr>
              <w:pStyle w:val="TableParagraph"/>
              <w:spacing w:before="2"/>
              <w:ind w:left="107"/>
              <w:rPr>
                <w:sz w:val="20"/>
              </w:rPr>
            </w:pPr>
            <w:r>
              <w:rPr>
                <w:sz w:val="20"/>
              </w:rPr>
              <w:t>Savings + time deposits</w:t>
            </w:r>
          </w:p>
          <w:p w:rsidR="00BB11D1" w:rsidRDefault="00BB11D1" w:rsidP="00451448">
            <w:pPr>
              <w:pStyle w:val="TableParagraph"/>
              <w:spacing w:before="14"/>
              <w:ind w:left="108"/>
              <w:rPr>
                <w:rFonts w:ascii="Trebuchet MS"/>
                <w:b/>
                <w:sz w:val="20"/>
              </w:rPr>
            </w:pPr>
            <w:r>
              <w:rPr>
                <w:rFonts w:ascii="Trebuchet MS"/>
                <w:b/>
                <w:sz w:val="20"/>
              </w:rPr>
              <w:t>CBDC</w:t>
            </w:r>
          </w:p>
          <w:p w:rsidR="00BB11D1" w:rsidRDefault="00BB11D1" w:rsidP="00451448">
            <w:pPr>
              <w:pStyle w:val="TableParagraph"/>
              <w:spacing w:before="11" w:line="254" w:lineRule="auto"/>
              <w:ind w:left="107" w:right="1578"/>
              <w:rPr>
                <w:sz w:val="20"/>
              </w:rPr>
            </w:pPr>
            <w:r>
              <w:rPr>
                <w:w w:val="95"/>
                <w:sz w:val="20"/>
              </w:rPr>
              <w:t xml:space="preserve">Banknotes </w:t>
            </w:r>
            <w:r>
              <w:rPr>
                <w:w w:val="90"/>
                <w:sz w:val="20"/>
              </w:rPr>
              <w:t>Bank bonds</w:t>
            </w:r>
          </w:p>
          <w:p w:rsidR="00BB11D1" w:rsidRDefault="00BB11D1" w:rsidP="00451448">
            <w:pPr>
              <w:pStyle w:val="TableParagraph"/>
              <w:spacing w:before="2"/>
              <w:ind w:left="107"/>
              <w:rPr>
                <w:sz w:val="20"/>
              </w:rPr>
            </w:pPr>
            <w:r>
              <w:rPr>
                <w:w w:val="95"/>
                <w:sz w:val="20"/>
              </w:rPr>
              <w:t>Corporate/Government bonds</w:t>
            </w:r>
          </w:p>
          <w:p w:rsidR="00BB11D1" w:rsidRDefault="00BB11D1" w:rsidP="00451448">
            <w:pPr>
              <w:pStyle w:val="TableParagraph"/>
              <w:spacing w:before="14" w:line="220" w:lineRule="exact"/>
              <w:ind w:left="107"/>
              <w:rPr>
                <w:sz w:val="20"/>
              </w:rPr>
            </w:pPr>
            <w:r>
              <w:rPr>
                <w:sz w:val="20"/>
              </w:rPr>
              <w:t>Equity</w:t>
            </w:r>
          </w:p>
        </w:tc>
        <w:tc>
          <w:tcPr>
            <w:tcW w:w="1947" w:type="dxa"/>
            <w:tcBorders>
              <w:left w:val="nil"/>
            </w:tcBorders>
          </w:tcPr>
          <w:p w:rsidR="00BB11D1" w:rsidRDefault="00BB11D1" w:rsidP="00451448">
            <w:pPr>
              <w:pStyle w:val="TableParagraph"/>
              <w:spacing w:before="2"/>
              <w:ind w:right="1653"/>
              <w:jc w:val="right"/>
              <w:rPr>
                <w:sz w:val="20"/>
              </w:rPr>
            </w:pPr>
            <w:r>
              <w:rPr>
                <w:w w:val="90"/>
                <w:sz w:val="20"/>
              </w:rPr>
              <w:t>20</w:t>
            </w:r>
          </w:p>
          <w:p w:rsidR="00BB11D1" w:rsidRDefault="00BB11D1" w:rsidP="00451448">
            <w:pPr>
              <w:pStyle w:val="TableParagraph"/>
              <w:tabs>
                <w:tab w:val="left" w:pos="1085"/>
              </w:tabs>
              <w:spacing w:before="14"/>
              <w:ind w:left="171"/>
              <w:rPr>
                <w:rFonts w:ascii="Trebuchet MS"/>
                <w:b/>
                <w:sz w:val="20"/>
              </w:rPr>
            </w:pPr>
            <w:r>
              <w:rPr>
                <w:sz w:val="20"/>
              </w:rPr>
              <w:t>5</w:t>
            </w:r>
            <w:r>
              <w:rPr>
                <w:sz w:val="20"/>
              </w:rPr>
              <w:tab/>
            </w:r>
            <w:r>
              <w:rPr>
                <w:rFonts w:ascii="Trebuchet MS"/>
                <w:b/>
                <w:color w:val="FF0000"/>
                <w:sz w:val="20"/>
              </w:rPr>
              <w:t>-CBDC2</w:t>
            </w:r>
          </w:p>
          <w:p w:rsidR="00BB11D1" w:rsidRDefault="00BB11D1" w:rsidP="00451448">
            <w:pPr>
              <w:pStyle w:val="TableParagraph"/>
              <w:spacing w:before="13"/>
              <w:ind w:right="1631"/>
              <w:jc w:val="right"/>
              <w:rPr>
                <w:sz w:val="20"/>
              </w:rPr>
            </w:pPr>
            <w:r>
              <w:rPr>
                <w:w w:val="90"/>
                <w:sz w:val="20"/>
              </w:rPr>
              <w:t>4</w:t>
            </w:r>
          </w:p>
          <w:p w:rsidR="00BB11D1" w:rsidRDefault="00BB11D1" w:rsidP="00451448">
            <w:pPr>
              <w:pStyle w:val="TableParagraph"/>
              <w:spacing w:before="15"/>
              <w:ind w:left="390"/>
              <w:rPr>
                <w:rFonts w:ascii="Trebuchet MS"/>
                <w:b/>
                <w:sz w:val="20"/>
              </w:rPr>
            </w:pPr>
            <w:r>
              <w:rPr>
                <w:rFonts w:ascii="Trebuchet MS"/>
                <w:b/>
                <w:color w:val="00AF50"/>
                <w:w w:val="90"/>
                <w:sz w:val="20"/>
              </w:rPr>
              <w:t>+CBDC1</w:t>
            </w:r>
            <w:r>
              <w:rPr>
                <w:rFonts w:ascii="Trebuchet MS"/>
                <w:b/>
                <w:color w:val="00AF50"/>
                <w:spacing w:val="-22"/>
                <w:w w:val="90"/>
                <w:sz w:val="20"/>
              </w:rPr>
              <w:t xml:space="preserve"> </w:t>
            </w:r>
            <w:r>
              <w:rPr>
                <w:rFonts w:ascii="Trebuchet MS"/>
                <w:b/>
                <w:color w:val="FF0000"/>
                <w:w w:val="90"/>
                <w:sz w:val="20"/>
              </w:rPr>
              <w:t>+CBDC2</w:t>
            </w:r>
          </w:p>
          <w:p w:rsidR="00BB11D1" w:rsidRDefault="00BB11D1" w:rsidP="00451448">
            <w:pPr>
              <w:pStyle w:val="TableParagraph"/>
              <w:spacing w:before="10"/>
              <w:ind w:left="210"/>
              <w:rPr>
                <w:rFonts w:ascii="Trebuchet MS"/>
                <w:b/>
                <w:sz w:val="20"/>
              </w:rPr>
            </w:pPr>
            <w:r>
              <w:rPr>
                <w:sz w:val="20"/>
              </w:rPr>
              <w:t xml:space="preserve">1 </w:t>
            </w:r>
            <w:r>
              <w:rPr>
                <w:rFonts w:ascii="Trebuchet MS"/>
                <w:b/>
                <w:color w:val="00AF50"/>
                <w:sz w:val="20"/>
              </w:rPr>
              <w:t>-CBDC1</w:t>
            </w:r>
          </w:p>
          <w:p w:rsidR="00BB11D1" w:rsidRDefault="00BB11D1" w:rsidP="00451448">
            <w:pPr>
              <w:pStyle w:val="TableParagraph"/>
              <w:tabs>
                <w:tab w:val="left" w:pos="986"/>
              </w:tabs>
              <w:spacing w:before="12"/>
              <w:ind w:left="207"/>
              <w:rPr>
                <w:rFonts w:ascii="Trebuchet MS"/>
                <w:b/>
                <w:sz w:val="20"/>
              </w:rPr>
            </w:pPr>
            <w:r>
              <w:rPr>
                <w:sz w:val="20"/>
              </w:rPr>
              <w:t>4</w:t>
            </w:r>
            <w:r>
              <w:rPr>
                <w:sz w:val="20"/>
              </w:rPr>
              <w:tab/>
            </w:r>
            <w:r>
              <w:rPr>
                <w:rFonts w:ascii="Trebuchet MS"/>
                <w:b/>
                <w:color w:val="006FC0"/>
                <w:sz w:val="20"/>
              </w:rPr>
              <w:t>+S1</w:t>
            </w:r>
          </w:p>
          <w:p w:rsidR="00BB11D1" w:rsidRDefault="00BB11D1" w:rsidP="00451448">
            <w:pPr>
              <w:pStyle w:val="TableParagraph"/>
              <w:tabs>
                <w:tab w:val="left" w:pos="977"/>
              </w:tabs>
              <w:spacing w:before="13"/>
              <w:ind w:left="199"/>
              <w:rPr>
                <w:rFonts w:ascii="Trebuchet MS"/>
                <w:b/>
                <w:sz w:val="20"/>
              </w:rPr>
            </w:pPr>
            <w:r>
              <w:rPr>
                <w:sz w:val="20"/>
              </w:rPr>
              <w:t>7</w:t>
            </w:r>
            <w:r>
              <w:rPr>
                <w:sz w:val="20"/>
              </w:rPr>
              <w:tab/>
            </w:r>
            <w:r>
              <w:rPr>
                <w:rFonts w:ascii="Trebuchet MS"/>
                <w:b/>
                <w:color w:val="006FC0"/>
                <w:sz w:val="20"/>
              </w:rPr>
              <w:t>-S1</w:t>
            </w:r>
          </w:p>
          <w:p w:rsidR="00BB11D1" w:rsidRDefault="00BB11D1" w:rsidP="00451448">
            <w:pPr>
              <w:pStyle w:val="TableParagraph"/>
              <w:spacing w:before="13" w:line="220" w:lineRule="exact"/>
              <w:ind w:left="180"/>
              <w:rPr>
                <w:sz w:val="20"/>
              </w:rPr>
            </w:pPr>
            <w:r>
              <w:rPr>
                <w:w w:val="90"/>
                <w:sz w:val="20"/>
              </w:rPr>
              <w:t>8</w:t>
            </w:r>
          </w:p>
        </w:tc>
        <w:tc>
          <w:tcPr>
            <w:tcW w:w="1856" w:type="dxa"/>
            <w:tcBorders>
              <w:right w:val="nil"/>
            </w:tcBorders>
          </w:tcPr>
          <w:p w:rsidR="00BB11D1" w:rsidRDefault="00BB11D1" w:rsidP="00451448">
            <w:pPr>
              <w:pStyle w:val="TableParagraph"/>
              <w:spacing w:before="2" w:line="511" w:lineRule="auto"/>
              <w:ind w:left="127" w:right="217"/>
              <w:rPr>
                <w:sz w:val="20"/>
              </w:rPr>
            </w:pPr>
            <w:r>
              <w:rPr>
                <w:w w:val="90"/>
                <w:sz w:val="20"/>
              </w:rPr>
              <w:t xml:space="preserve">Household Equity </w:t>
            </w:r>
            <w:r>
              <w:rPr>
                <w:sz w:val="20"/>
              </w:rPr>
              <w:t>Bank loans</w:t>
            </w:r>
          </w:p>
        </w:tc>
        <w:tc>
          <w:tcPr>
            <w:tcW w:w="2150" w:type="dxa"/>
            <w:tcBorders>
              <w:left w:val="nil"/>
            </w:tcBorders>
          </w:tcPr>
          <w:p w:rsidR="00BB11D1" w:rsidRDefault="00BB11D1" w:rsidP="00451448">
            <w:pPr>
              <w:pStyle w:val="TableParagraph"/>
              <w:spacing w:before="2"/>
              <w:ind w:left="1216" w:right="666"/>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ind w:left="609"/>
              <w:jc w:val="center"/>
              <w:rPr>
                <w:sz w:val="20"/>
              </w:rPr>
            </w:pPr>
            <w:r>
              <w:rPr>
                <w:w w:val="90"/>
                <w:sz w:val="20"/>
              </w:rPr>
              <w:t>5</w:t>
            </w:r>
          </w:p>
        </w:tc>
      </w:tr>
      <w:tr w:rsidR="00BB11D1" w:rsidTr="00451448">
        <w:trPr>
          <w:trHeight w:val="244"/>
        </w:trPr>
        <w:tc>
          <w:tcPr>
            <w:tcW w:w="8614" w:type="dxa"/>
            <w:gridSpan w:val="4"/>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Corporates</w:t>
            </w:r>
          </w:p>
        </w:tc>
      </w:tr>
      <w:tr w:rsidR="00BB11D1" w:rsidTr="00451448">
        <w:trPr>
          <w:trHeight w:val="734"/>
        </w:trPr>
        <w:tc>
          <w:tcPr>
            <w:tcW w:w="2661" w:type="dxa"/>
            <w:tcBorders>
              <w:right w:val="nil"/>
            </w:tcBorders>
          </w:tcPr>
          <w:p w:rsidR="00BB11D1" w:rsidRDefault="00BB11D1" w:rsidP="00451448">
            <w:pPr>
              <w:pStyle w:val="TableParagraph"/>
              <w:spacing w:before="4" w:line="254" w:lineRule="auto"/>
              <w:ind w:left="107" w:right="1398"/>
              <w:rPr>
                <w:sz w:val="20"/>
              </w:rPr>
            </w:pPr>
            <w:r>
              <w:rPr>
                <w:sz w:val="20"/>
              </w:rPr>
              <w:t xml:space="preserve">Real assets </w:t>
            </w:r>
            <w:r>
              <w:rPr>
                <w:w w:val="90"/>
                <w:sz w:val="20"/>
              </w:rPr>
              <w:t>Sight deposits</w:t>
            </w:r>
          </w:p>
          <w:p w:rsidR="00BB11D1" w:rsidRDefault="00BB11D1" w:rsidP="00451448">
            <w:pPr>
              <w:pStyle w:val="TableParagraph"/>
              <w:spacing w:before="2" w:line="220" w:lineRule="exact"/>
              <w:ind w:left="107"/>
              <w:rPr>
                <w:sz w:val="20"/>
              </w:rPr>
            </w:pPr>
            <w:r>
              <w:rPr>
                <w:sz w:val="20"/>
              </w:rPr>
              <w:t>Savings deposits</w:t>
            </w:r>
          </w:p>
        </w:tc>
        <w:tc>
          <w:tcPr>
            <w:tcW w:w="1947" w:type="dxa"/>
            <w:tcBorders>
              <w:left w:val="nil"/>
            </w:tcBorders>
          </w:tcPr>
          <w:p w:rsidR="00BB11D1" w:rsidRDefault="00BB11D1" w:rsidP="00451448">
            <w:pPr>
              <w:pStyle w:val="TableParagraph"/>
              <w:spacing w:before="4"/>
              <w:ind w:left="154"/>
              <w:rPr>
                <w:sz w:val="20"/>
              </w:rPr>
            </w:pPr>
            <w:r>
              <w:rPr>
                <w:sz w:val="20"/>
              </w:rPr>
              <w:t>13</w:t>
            </w:r>
          </w:p>
          <w:p w:rsidR="00BB11D1" w:rsidRDefault="00BB11D1" w:rsidP="00451448">
            <w:pPr>
              <w:pStyle w:val="TableParagraph"/>
              <w:spacing w:before="15"/>
              <w:ind w:left="217"/>
              <w:rPr>
                <w:sz w:val="20"/>
              </w:rPr>
            </w:pPr>
            <w:r>
              <w:rPr>
                <w:w w:val="90"/>
                <w:sz w:val="20"/>
              </w:rPr>
              <w:t>2</w:t>
            </w:r>
          </w:p>
          <w:p w:rsidR="00BB11D1" w:rsidRDefault="00BB11D1" w:rsidP="00451448">
            <w:pPr>
              <w:pStyle w:val="TableParagraph"/>
              <w:spacing w:before="15" w:line="220" w:lineRule="exact"/>
              <w:ind w:left="187"/>
              <w:rPr>
                <w:sz w:val="20"/>
              </w:rPr>
            </w:pPr>
            <w:r>
              <w:rPr>
                <w:w w:val="90"/>
                <w:sz w:val="20"/>
              </w:rPr>
              <w:t>1</w:t>
            </w:r>
          </w:p>
        </w:tc>
        <w:tc>
          <w:tcPr>
            <w:tcW w:w="1856" w:type="dxa"/>
            <w:tcBorders>
              <w:right w:val="nil"/>
            </w:tcBorders>
          </w:tcPr>
          <w:p w:rsidR="00BB11D1" w:rsidRDefault="00BB11D1" w:rsidP="00451448">
            <w:pPr>
              <w:pStyle w:val="TableParagraph"/>
              <w:spacing w:before="4" w:line="254" w:lineRule="auto"/>
              <w:ind w:left="103" w:right="217"/>
              <w:rPr>
                <w:sz w:val="20"/>
              </w:rPr>
            </w:pPr>
            <w:r>
              <w:rPr>
                <w:w w:val="90"/>
                <w:sz w:val="20"/>
              </w:rPr>
              <w:t xml:space="preserve">Bonds issued </w:t>
            </w:r>
            <w:r>
              <w:rPr>
                <w:sz w:val="20"/>
              </w:rPr>
              <w:t>Loans</w:t>
            </w:r>
          </w:p>
          <w:p w:rsidR="00BB11D1" w:rsidRDefault="00BB11D1" w:rsidP="00451448">
            <w:pPr>
              <w:pStyle w:val="TableParagraph"/>
              <w:spacing w:before="2" w:line="220" w:lineRule="exact"/>
              <w:ind w:left="103"/>
              <w:rPr>
                <w:sz w:val="20"/>
              </w:rPr>
            </w:pPr>
            <w:r>
              <w:rPr>
                <w:sz w:val="20"/>
              </w:rPr>
              <w:t xml:space="preserve">Shares </w:t>
            </w:r>
            <w:r>
              <w:rPr>
                <w:w w:val="110"/>
                <w:sz w:val="20"/>
              </w:rPr>
              <w:t xml:space="preserve">/ </w:t>
            </w:r>
            <w:r>
              <w:rPr>
                <w:sz w:val="20"/>
              </w:rPr>
              <w:t>equity</w:t>
            </w:r>
          </w:p>
        </w:tc>
        <w:tc>
          <w:tcPr>
            <w:tcW w:w="2150" w:type="dxa"/>
            <w:tcBorders>
              <w:left w:val="nil"/>
            </w:tcBorders>
          </w:tcPr>
          <w:p w:rsidR="00BB11D1" w:rsidRDefault="00BB11D1" w:rsidP="00451448">
            <w:pPr>
              <w:pStyle w:val="TableParagraph"/>
              <w:spacing w:before="4"/>
              <w:ind w:left="291"/>
              <w:jc w:val="center"/>
              <w:rPr>
                <w:sz w:val="20"/>
              </w:rPr>
            </w:pPr>
            <w:r>
              <w:rPr>
                <w:w w:val="90"/>
                <w:sz w:val="20"/>
              </w:rPr>
              <w:t>3</w:t>
            </w:r>
          </w:p>
          <w:p w:rsidR="00BB11D1" w:rsidRDefault="00BB11D1" w:rsidP="00451448">
            <w:pPr>
              <w:pStyle w:val="TableParagraph"/>
              <w:spacing w:before="15"/>
              <w:ind w:left="283"/>
              <w:jc w:val="center"/>
              <w:rPr>
                <w:sz w:val="20"/>
              </w:rPr>
            </w:pPr>
            <w:r>
              <w:rPr>
                <w:w w:val="90"/>
                <w:sz w:val="20"/>
              </w:rPr>
              <w:t>8</w:t>
            </w:r>
          </w:p>
          <w:p w:rsidR="00BB11D1" w:rsidRDefault="00BB11D1" w:rsidP="00451448">
            <w:pPr>
              <w:pStyle w:val="TableParagraph"/>
              <w:spacing w:before="15" w:line="220" w:lineRule="exact"/>
              <w:ind w:left="248"/>
              <w:jc w:val="center"/>
              <w:rPr>
                <w:sz w:val="20"/>
              </w:rPr>
            </w:pPr>
            <w:r>
              <w:rPr>
                <w:w w:val="90"/>
                <w:sz w:val="20"/>
              </w:rPr>
              <w:t>5</w:t>
            </w:r>
          </w:p>
        </w:tc>
      </w:tr>
      <w:tr w:rsidR="00BB11D1" w:rsidTr="00451448">
        <w:trPr>
          <w:trHeight w:val="241"/>
        </w:trPr>
        <w:tc>
          <w:tcPr>
            <w:tcW w:w="8614" w:type="dxa"/>
            <w:gridSpan w:val="4"/>
          </w:tcPr>
          <w:p w:rsidR="00BB11D1" w:rsidRDefault="00BB11D1" w:rsidP="00451448">
            <w:pPr>
              <w:pStyle w:val="TableParagraph"/>
              <w:spacing w:before="1" w:line="220" w:lineRule="exact"/>
              <w:ind w:left="1237" w:right="1227"/>
              <w:jc w:val="center"/>
              <w:rPr>
                <w:rFonts w:ascii="Trebuchet MS"/>
                <w:b/>
                <w:sz w:val="20"/>
              </w:rPr>
            </w:pPr>
            <w:r>
              <w:rPr>
                <w:rFonts w:ascii="Trebuchet MS"/>
                <w:b/>
                <w:sz w:val="20"/>
              </w:rPr>
              <w:t>Government</w:t>
            </w:r>
          </w:p>
        </w:tc>
      </w:tr>
      <w:tr w:rsidR="00BB11D1" w:rsidTr="00451448">
        <w:trPr>
          <w:trHeight w:val="489"/>
        </w:trPr>
        <w:tc>
          <w:tcPr>
            <w:tcW w:w="2661" w:type="dxa"/>
            <w:tcBorders>
              <w:right w:val="nil"/>
            </w:tcBorders>
          </w:tcPr>
          <w:p w:rsidR="00BB11D1" w:rsidRDefault="00BB11D1" w:rsidP="00451448">
            <w:pPr>
              <w:pStyle w:val="TableParagraph"/>
              <w:spacing w:before="4"/>
              <w:ind w:left="107"/>
              <w:rPr>
                <w:sz w:val="20"/>
              </w:rPr>
            </w:pPr>
            <w:r>
              <w:rPr>
                <w:sz w:val="20"/>
              </w:rPr>
              <w:t>Real assets</w:t>
            </w:r>
          </w:p>
        </w:tc>
        <w:tc>
          <w:tcPr>
            <w:tcW w:w="1947" w:type="dxa"/>
            <w:tcBorders>
              <w:left w:val="nil"/>
            </w:tcBorders>
          </w:tcPr>
          <w:p w:rsidR="00BB11D1" w:rsidRDefault="00BB11D1" w:rsidP="00451448">
            <w:pPr>
              <w:pStyle w:val="TableParagraph"/>
              <w:spacing w:before="4"/>
              <w:ind w:left="154"/>
              <w:rPr>
                <w:sz w:val="20"/>
              </w:rPr>
            </w:pPr>
            <w:r>
              <w:rPr>
                <w:sz w:val="20"/>
              </w:rPr>
              <w:t>11</w:t>
            </w:r>
          </w:p>
        </w:tc>
        <w:tc>
          <w:tcPr>
            <w:tcW w:w="1856" w:type="dxa"/>
            <w:tcBorders>
              <w:right w:val="nil"/>
            </w:tcBorders>
          </w:tcPr>
          <w:p w:rsidR="00BB11D1" w:rsidRDefault="00BB11D1" w:rsidP="00451448">
            <w:pPr>
              <w:pStyle w:val="TableParagraph"/>
              <w:spacing w:before="4"/>
              <w:ind w:left="103"/>
              <w:rPr>
                <w:sz w:val="20"/>
              </w:rPr>
            </w:pPr>
            <w:r>
              <w:rPr>
                <w:sz w:val="20"/>
              </w:rPr>
              <w:t>Bonds issued</w:t>
            </w:r>
          </w:p>
          <w:p w:rsidR="00BB11D1" w:rsidRDefault="00BB11D1" w:rsidP="00451448">
            <w:pPr>
              <w:pStyle w:val="TableParagraph"/>
              <w:spacing w:before="15" w:line="220" w:lineRule="exact"/>
              <w:ind w:left="103"/>
              <w:rPr>
                <w:sz w:val="20"/>
              </w:rPr>
            </w:pPr>
            <w:r>
              <w:rPr>
                <w:w w:val="95"/>
                <w:sz w:val="20"/>
              </w:rPr>
              <w:t>Loans</w:t>
            </w:r>
          </w:p>
        </w:tc>
        <w:tc>
          <w:tcPr>
            <w:tcW w:w="2150" w:type="dxa"/>
            <w:tcBorders>
              <w:left w:val="nil"/>
            </w:tcBorders>
          </w:tcPr>
          <w:p w:rsidR="00BB11D1" w:rsidRDefault="00BB11D1" w:rsidP="00451448">
            <w:pPr>
              <w:pStyle w:val="TableParagraph"/>
              <w:spacing w:before="4"/>
              <w:ind w:left="383"/>
              <w:jc w:val="center"/>
              <w:rPr>
                <w:sz w:val="20"/>
              </w:rPr>
            </w:pPr>
            <w:r>
              <w:rPr>
                <w:w w:val="90"/>
                <w:sz w:val="20"/>
              </w:rPr>
              <w:t>9</w:t>
            </w:r>
          </w:p>
          <w:p w:rsidR="00BB11D1" w:rsidRDefault="00BB11D1" w:rsidP="00451448">
            <w:pPr>
              <w:pStyle w:val="TableParagraph"/>
              <w:spacing w:before="15" w:line="220" w:lineRule="exact"/>
              <w:ind w:left="373"/>
              <w:jc w:val="center"/>
              <w:rPr>
                <w:sz w:val="20"/>
              </w:rPr>
            </w:pPr>
            <w:r>
              <w:rPr>
                <w:w w:val="90"/>
                <w:sz w:val="20"/>
              </w:rPr>
              <w:t>2</w:t>
            </w:r>
          </w:p>
        </w:tc>
      </w:tr>
      <w:tr w:rsidR="00BB11D1" w:rsidTr="00451448">
        <w:trPr>
          <w:trHeight w:val="244"/>
        </w:trPr>
        <w:tc>
          <w:tcPr>
            <w:tcW w:w="8614" w:type="dxa"/>
            <w:gridSpan w:val="4"/>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Commercial Banks</w:t>
            </w:r>
          </w:p>
        </w:tc>
      </w:tr>
      <w:tr w:rsidR="00BB11D1" w:rsidTr="00451448">
        <w:trPr>
          <w:trHeight w:val="264"/>
        </w:trPr>
        <w:tc>
          <w:tcPr>
            <w:tcW w:w="2661" w:type="dxa"/>
            <w:tcBorders>
              <w:bottom w:val="nil"/>
              <w:right w:val="nil"/>
            </w:tcBorders>
          </w:tcPr>
          <w:p w:rsidR="00BB11D1" w:rsidRDefault="00BB11D1" w:rsidP="00451448">
            <w:pPr>
              <w:pStyle w:val="TableParagraph"/>
              <w:spacing w:before="4"/>
              <w:ind w:left="107"/>
              <w:rPr>
                <w:sz w:val="20"/>
              </w:rPr>
            </w:pPr>
            <w:r>
              <w:rPr>
                <w:sz w:val="20"/>
              </w:rPr>
              <w:t>Loans to corporates</w:t>
            </w:r>
          </w:p>
        </w:tc>
        <w:tc>
          <w:tcPr>
            <w:tcW w:w="1947" w:type="dxa"/>
            <w:tcBorders>
              <w:left w:val="nil"/>
              <w:bottom w:val="nil"/>
            </w:tcBorders>
          </w:tcPr>
          <w:p w:rsidR="00BB11D1" w:rsidRDefault="00BB11D1" w:rsidP="00451448">
            <w:pPr>
              <w:pStyle w:val="TableParagraph"/>
              <w:spacing w:before="4"/>
              <w:ind w:left="331"/>
              <w:rPr>
                <w:sz w:val="20"/>
              </w:rPr>
            </w:pPr>
            <w:r>
              <w:rPr>
                <w:w w:val="90"/>
                <w:sz w:val="20"/>
              </w:rPr>
              <w:t>8</w:t>
            </w:r>
          </w:p>
        </w:tc>
        <w:tc>
          <w:tcPr>
            <w:tcW w:w="4006" w:type="dxa"/>
            <w:gridSpan w:val="2"/>
            <w:tcBorders>
              <w:bottom w:val="nil"/>
            </w:tcBorders>
          </w:tcPr>
          <w:p w:rsidR="00BB11D1" w:rsidRDefault="00BB11D1" w:rsidP="00451448">
            <w:pPr>
              <w:pStyle w:val="TableParagraph"/>
              <w:tabs>
                <w:tab w:val="left" w:pos="2142"/>
              </w:tabs>
              <w:spacing w:before="4"/>
              <w:ind w:left="103"/>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w:t>
            </w:r>
          </w:p>
        </w:tc>
      </w:tr>
      <w:tr w:rsidR="00BB11D1" w:rsidTr="00451448">
        <w:trPr>
          <w:trHeight w:val="243"/>
        </w:trPr>
        <w:tc>
          <w:tcPr>
            <w:tcW w:w="2661" w:type="dxa"/>
            <w:tcBorders>
              <w:top w:val="nil"/>
              <w:bottom w:val="nil"/>
              <w:right w:val="nil"/>
            </w:tcBorders>
          </w:tcPr>
          <w:p w:rsidR="00BB11D1" w:rsidRDefault="00BB11D1" w:rsidP="00451448">
            <w:pPr>
              <w:pStyle w:val="TableParagraph"/>
              <w:spacing w:line="215" w:lineRule="exact"/>
              <w:ind w:left="107"/>
              <w:rPr>
                <w:sz w:val="20"/>
              </w:rPr>
            </w:pPr>
            <w:r>
              <w:rPr>
                <w:sz w:val="20"/>
              </w:rPr>
              <w:t>Loans to government</w:t>
            </w:r>
          </w:p>
        </w:tc>
        <w:tc>
          <w:tcPr>
            <w:tcW w:w="1947" w:type="dxa"/>
            <w:tcBorders>
              <w:top w:val="nil"/>
              <w:left w:val="nil"/>
              <w:bottom w:val="nil"/>
            </w:tcBorders>
          </w:tcPr>
          <w:p w:rsidR="00BB11D1" w:rsidRDefault="00BB11D1" w:rsidP="00451448">
            <w:pPr>
              <w:pStyle w:val="TableParagraph"/>
              <w:spacing w:line="215" w:lineRule="exact"/>
              <w:ind w:left="312"/>
              <w:rPr>
                <w:sz w:val="20"/>
              </w:rPr>
            </w:pPr>
            <w:r>
              <w:rPr>
                <w:w w:val="90"/>
                <w:sz w:val="20"/>
              </w:rPr>
              <w:t>2</w:t>
            </w:r>
          </w:p>
        </w:tc>
        <w:tc>
          <w:tcPr>
            <w:tcW w:w="4006" w:type="dxa"/>
            <w:gridSpan w:val="2"/>
            <w:tcBorders>
              <w:top w:val="nil"/>
              <w:bottom w:val="nil"/>
            </w:tcBorders>
          </w:tcPr>
          <w:p w:rsidR="00BB11D1" w:rsidRDefault="00BB11D1" w:rsidP="00451448">
            <w:pPr>
              <w:pStyle w:val="TableParagraph"/>
              <w:spacing w:line="215" w:lineRule="exact"/>
              <w:ind w:left="103"/>
              <w:rPr>
                <w:sz w:val="20"/>
              </w:rPr>
            </w:pPr>
            <w:r>
              <w:rPr>
                <w:sz w:val="20"/>
              </w:rPr>
              <w:t>Savings + time deposits 5</w:t>
            </w:r>
          </w:p>
        </w:tc>
      </w:tr>
      <w:tr w:rsidR="00BB11D1" w:rsidTr="00451448">
        <w:trPr>
          <w:trHeight w:val="243"/>
        </w:trPr>
        <w:tc>
          <w:tcPr>
            <w:tcW w:w="2661" w:type="dxa"/>
            <w:tcBorders>
              <w:top w:val="nil"/>
              <w:bottom w:val="nil"/>
              <w:right w:val="nil"/>
            </w:tcBorders>
          </w:tcPr>
          <w:p w:rsidR="00BB11D1" w:rsidRDefault="00BB11D1" w:rsidP="00451448">
            <w:pPr>
              <w:pStyle w:val="TableParagraph"/>
              <w:spacing w:line="213" w:lineRule="exact"/>
              <w:ind w:left="107"/>
              <w:rPr>
                <w:sz w:val="20"/>
              </w:rPr>
            </w:pPr>
            <w:r>
              <w:rPr>
                <w:sz w:val="20"/>
              </w:rPr>
              <w:t>Loans to HH</w:t>
            </w:r>
          </w:p>
        </w:tc>
        <w:tc>
          <w:tcPr>
            <w:tcW w:w="1947" w:type="dxa"/>
            <w:tcBorders>
              <w:top w:val="nil"/>
              <w:left w:val="nil"/>
              <w:bottom w:val="nil"/>
            </w:tcBorders>
          </w:tcPr>
          <w:p w:rsidR="00BB11D1" w:rsidRDefault="00BB11D1" w:rsidP="00451448">
            <w:pPr>
              <w:pStyle w:val="TableParagraph"/>
              <w:spacing w:line="213" w:lineRule="exact"/>
              <w:ind w:left="291"/>
              <w:rPr>
                <w:sz w:val="20"/>
              </w:rPr>
            </w:pPr>
            <w:r>
              <w:rPr>
                <w:w w:val="90"/>
                <w:sz w:val="20"/>
              </w:rPr>
              <w:t>5</w:t>
            </w:r>
          </w:p>
        </w:tc>
        <w:tc>
          <w:tcPr>
            <w:tcW w:w="4006" w:type="dxa"/>
            <w:gridSpan w:val="2"/>
            <w:tcBorders>
              <w:top w:val="nil"/>
              <w:bottom w:val="nil"/>
            </w:tcBorders>
          </w:tcPr>
          <w:p w:rsidR="00BB11D1" w:rsidRDefault="00BB11D1" w:rsidP="00451448">
            <w:pPr>
              <w:pStyle w:val="TableParagraph"/>
              <w:tabs>
                <w:tab w:val="left" w:pos="2113"/>
                <w:tab w:val="left" w:pos="2894"/>
              </w:tabs>
              <w:spacing w:line="215" w:lineRule="exact"/>
              <w:ind w:left="103"/>
              <w:rPr>
                <w:rFonts w:ascii="Trebuchet MS"/>
                <w:b/>
                <w:sz w:val="20"/>
              </w:rPr>
            </w:pPr>
            <w:r>
              <w:rPr>
                <w:w w:val="95"/>
                <w:sz w:val="20"/>
              </w:rPr>
              <w:t>Bonds</w:t>
            </w:r>
            <w:r>
              <w:rPr>
                <w:spacing w:val="-30"/>
                <w:w w:val="95"/>
                <w:sz w:val="20"/>
              </w:rPr>
              <w:t xml:space="preserve"> </w:t>
            </w:r>
            <w:r>
              <w:rPr>
                <w:w w:val="95"/>
                <w:sz w:val="20"/>
              </w:rPr>
              <w:t>issued</w:t>
            </w:r>
            <w:r>
              <w:rPr>
                <w:w w:val="95"/>
                <w:sz w:val="20"/>
              </w:rPr>
              <w:tab/>
            </w:r>
            <w:r>
              <w:rPr>
                <w:sz w:val="20"/>
              </w:rPr>
              <w:t>4</w:t>
            </w:r>
            <w:r>
              <w:rPr>
                <w:sz w:val="20"/>
              </w:rPr>
              <w:tab/>
            </w:r>
            <w:r>
              <w:rPr>
                <w:rFonts w:ascii="Trebuchet MS"/>
                <w:b/>
                <w:color w:val="006FC0"/>
                <w:sz w:val="20"/>
              </w:rPr>
              <w:t>+S1</w:t>
            </w:r>
          </w:p>
        </w:tc>
      </w:tr>
      <w:tr w:rsidR="00BB11D1" w:rsidTr="00451448">
        <w:trPr>
          <w:trHeight w:val="244"/>
        </w:trPr>
        <w:tc>
          <w:tcPr>
            <w:tcW w:w="2661" w:type="dxa"/>
            <w:tcBorders>
              <w:top w:val="nil"/>
              <w:bottom w:val="nil"/>
              <w:right w:val="nil"/>
            </w:tcBorders>
          </w:tcPr>
          <w:p w:rsidR="00BB11D1" w:rsidRDefault="00BB11D1" w:rsidP="00451448">
            <w:pPr>
              <w:pStyle w:val="TableParagraph"/>
              <w:spacing w:line="215" w:lineRule="exact"/>
              <w:ind w:left="108"/>
              <w:rPr>
                <w:sz w:val="20"/>
              </w:rPr>
            </w:pPr>
            <w:r>
              <w:rPr>
                <w:sz w:val="20"/>
              </w:rPr>
              <w:t>Corp/state bonds</w:t>
            </w:r>
          </w:p>
        </w:tc>
        <w:tc>
          <w:tcPr>
            <w:tcW w:w="1947" w:type="dxa"/>
            <w:tcBorders>
              <w:top w:val="nil"/>
              <w:left w:val="nil"/>
              <w:bottom w:val="nil"/>
            </w:tcBorders>
          </w:tcPr>
          <w:p w:rsidR="00BB11D1" w:rsidRDefault="00BB11D1" w:rsidP="00451448">
            <w:pPr>
              <w:pStyle w:val="TableParagraph"/>
              <w:spacing w:line="217" w:lineRule="exact"/>
              <w:ind w:left="317"/>
              <w:rPr>
                <w:rFonts w:ascii="Trebuchet MS"/>
                <w:b/>
                <w:sz w:val="20"/>
              </w:rPr>
            </w:pPr>
            <w:r>
              <w:rPr>
                <w:sz w:val="20"/>
              </w:rPr>
              <w:t xml:space="preserve">5 </w:t>
            </w:r>
            <w:r>
              <w:rPr>
                <w:rFonts w:ascii="Trebuchet MS"/>
                <w:b/>
                <w:color w:val="006FC0"/>
                <w:sz w:val="20"/>
              </w:rPr>
              <w:t>-S2</w:t>
            </w:r>
          </w:p>
        </w:tc>
        <w:tc>
          <w:tcPr>
            <w:tcW w:w="4006" w:type="dxa"/>
            <w:gridSpan w:val="2"/>
            <w:tcBorders>
              <w:top w:val="nil"/>
              <w:bottom w:val="nil"/>
            </w:tcBorders>
          </w:tcPr>
          <w:p w:rsidR="00BB11D1" w:rsidRDefault="00BB11D1" w:rsidP="00451448">
            <w:pPr>
              <w:pStyle w:val="TableParagraph"/>
              <w:tabs>
                <w:tab w:val="right" w:pos="2210"/>
              </w:tabs>
              <w:spacing w:line="215" w:lineRule="exact"/>
              <w:ind w:left="103"/>
              <w:rPr>
                <w:sz w:val="20"/>
              </w:rPr>
            </w:pPr>
            <w:r>
              <w:rPr>
                <w:sz w:val="20"/>
              </w:rPr>
              <w:t>Equity</w:t>
            </w:r>
            <w:r>
              <w:rPr>
                <w:sz w:val="20"/>
              </w:rPr>
              <w:tab/>
              <w:t>3</w:t>
            </w:r>
          </w:p>
        </w:tc>
      </w:tr>
      <w:tr w:rsidR="00BB11D1" w:rsidTr="00451448">
        <w:trPr>
          <w:trHeight w:val="224"/>
        </w:trPr>
        <w:tc>
          <w:tcPr>
            <w:tcW w:w="2661" w:type="dxa"/>
            <w:tcBorders>
              <w:top w:val="nil"/>
              <w:right w:val="nil"/>
            </w:tcBorders>
          </w:tcPr>
          <w:p w:rsidR="00BB11D1" w:rsidRDefault="00BB11D1" w:rsidP="00451448">
            <w:pPr>
              <w:pStyle w:val="TableParagraph"/>
              <w:spacing w:line="205" w:lineRule="exact"/>
              <w:ind w:left="107"/>
              <w:rPr>
                <w:sz w:val="20"/>
              </w:rPr>
            </w:pPr>
            <w:r>
              <w:rPr>
                <w:sz w:val="20"/>
              </w:rPr>
              <w:t>Central bank deposits</w:t>
            </w:r>
          </w:p>
        </w:tc>
        <w:tc>
          <w:tcPr>
            <w:tcW w:w="1947" w:type="dxa"/>
            <w:tcBorders>
              <w:top w:val="nil"/>
              <w:left w:val="nil"/>
            </w:tcBorders>
          </w:tcPr>
          <w:p w:rsidR="00BB11D1" w:rsidRDefault="00BB11D1" w:rsidP="00451448">
            <w:pPr>
              <w:pStyle w:val="TableParagraph"/>
              <w:spacing w:line="205" w:lineRule="exact"/>
              <w:ind w:left="346"/>
              <w:rPr>
                <w:sz w:val="20"/>
              </w:rPr>
            </w:pPr>
            <w:r>
              <w:rPr>
                <w:w w:val="90"/>
                <w:sz w:val="20"/>
              </w:rPr>
              <w:t>0</w:t>
            </w:r>
          </w:p>
        </w:tc>
        <w:tc>
          <w:tcPr>
            <w:tcW w:w="4006" w:type="dxa"/>
            <w:gridSpan w:val="2"/>
            <w:tcBorders>
              <w:top w:val="nil"/>
            </w:tcBorders>
          </w:tcPr>
          <w:p w:rsidR="00BB11D1" w:rsidRDefault="00BB11D1" w:rsidP="00451448">
            <w:pPr>
              <w:pStyle w:val="TableParagraph"/>
              <w:tabs>
                <w:tab w:val="left" w:pos="2061"/>
              </w:tabs>
              <w:spacing w:line="205" w:lineRule="exact"/>
              <w:ind w:left="103"/>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 xml:space="preserve">1 </w:t>
            </w:r>
            <w:r>
              <w:rPr>
                <w:rFonts w:ascii="Trebuchet MS"/>
                <w:b/>
                <w:color w:val="FF0000"/>
                <w:sz w:val="20"/>
              </w:rPr>
              <w:t>+CBDC2</w:t>
            </w:r>
            <w:r>
              <w:rPr>
                <w:rFonts w:ascii="Trebuchet MS"/>
                <w:b/>
                <w:color w:val="FF0000"/>
                <w:spacing w:val="-48"/>
                <w:sz w:val="20"/>
              </w:rPr>
              <w:t xml:space="preserve"> </w:t>
            </w:r>
            <w:r>
              <w:rPr>
                <w:rFonts w:ascii="Trebuchet MS"/>
                <w:b/>
                <w:color w:val="006FC0"/>
                <w:sz w:val="20"/>
              </w:rPr>
              <w:t>-S1-S2</w:t>
            </w:r>
          </w:p>
        </w:tc>
      </w:tr>
      <w:tr w:rsidR="00BB11D1" w:rsidTr="00451448">
        <w:trPr>
          <w:trHeight w:val="244"/>
        </w:trPr>
        <w:tc>
          <w:tcPr>
            <w:tcW w:w="8614" w:type="dxa"/>
            <w:gridSpan w:val="4"/>
          </w:tcPr>
          <w:p w:rsidR="00BB11D1" w:rsidRDefault="00BB11D1" w:rsidP="00451448">
            <w:pPr>
              <w:pStyle w:val="TableParagraph"/>
              <w:spacing w:before="4" w:line="220" w:lineRule="exact"/>
              <w:ind w:left="1237" w:right="1229"/>
              <w:jc w:val="center"/>
              <w:rPr>
                <w:rFonts w:ascii="Trebuchet MS"/>
                <w:b/>
                <w:sz w:val="20"/>
              </w:rPr>
            </w:pPr>
            <w:r>
              <w:rPr>
                <w:rFonts w:ascii="Trebuchet MS"/>
                <w:b/>
                <w:sz w:val="20"/>
              </w:rPr>
              <w:t>Central Bank</w:t>
            </w:r>
          </w:p>
        </w:tc>
      </w:tr>
      <w:tr w:rsidR="00BB11D1" w:rsidTr="00451448">
        <w:trPr>
          <w:trHeight w:val="731"/>
        </w:trPr>
        <w:tc>
          <w:tcPr>
            <w:tcW w:w="4608" w:type="dxa"/>
            <w:gridSpan w:val="2"/>
          </w:tcPr>
          <w:p w:rsidR="00BB11D1" w:rsidRDefault="00BB11D1" w:rsidP="00451448">
            <w:pPr>
              <w:pStyle w:val="TableParagraph"/>
              <w:tabs>
                <w:tab w:val="left" w:pos="2560"/>
              </w:tabs>
              <w:spacing w:before="4"/>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 xml:space="preserve">1 </w:t>
            </w:r>
            <w:r>
              <w:rPr>
                <w:rFonts w:ascii="Trebuchet MS"/>
                <w:b/>
                <w:color w:val="FF0000"/>
                <w:sz w:val="20"/>
              </w:rPr>
              <w:t>+CBDC2</w:t>
            </w:r>
            <w:r>
              <w:rPr>
                <w:rFonts w:ascii="Trebuchet MS"/>
                <w:b/>
                <w:color w:val="FF0000"/>
                <w:spacing w:val="-14"/>
                <w:sz w:val="20"/>
              </w:rPr>
              <w:t xml:space="preserve"> </w:t>
            </w:r>
            <w:r>
              <w:rPr>
                <w:rFonts w:ascii="Trebuchet MS"/>
                <w:b/>
                <w:color w:val="006FC0"/>
                <w:sz w:val="20"/>
              </w:rPr>
              <w:t>-S1-S2</w:t>
            </w:r>
          </w:p>
          <w:p w:rsidR="00BB11D1" w:rsidRDefault="00BB11D1" w:rsidP="00451448">
            <w:pPr>
              <w:pStyle w:val="TableParagraph"/>
              <w:tabs>
                <w:tab w:val="left" w:pos="2642"/>
                <w:tab w:val="left" w:pos="3424"/>
              </w:tabs>
              <w:spacing w:before="10"/>
              <w:ind w:left="107"/>
              <w:rPr>
                <w:rFonts w:ascii="Trebuchet MS"/>
                <w:b/>
                <w:sz w:val="20"/>
              </w:rPr>
            </w:pPr>
            <w:r>
              <w:rPr>
                <w:w w:val="95"/>
                <w:sz w:val="20"/>
              </w:rPr>
              <w:t>Corp/Government</w:t>
            </w:r>
            <w:r>
              <w:rPr>
                <w:spacing w:val="-21"/>
                <w:w w:val="95"/>
                <w:sz w:val="20"/>
              </w:rPr>
              <w:t xml:space="preserve"> </w:t>
            </w:r>
            <w:r>
              <w:rPr>
                <w:w w:val="95"/>
                <w:sz w:val="20"/>
              </w:rPr>
              <w:t>bonds</w:t>
            </w:r>
            <w:r>
              <w:rPr>
                <w:w w:val="95"/>
                <w:sz w:val="20"/>
              </w:rPr>
              <w:tab/>
            </w:r>
            <w:r>
              <w:rPr>
                <w:sz w:val="20"/>
              </w:rPr>
              <w:t>0</w:t>
            </w:r>
            <w:r>
              <w:rPr>
                <w:sz w:val="20"/>
              </w:rPr>
              <w:tab/>
            </w:r>
            <w:r>
              <w:rPr>
                <w:rFonts w:ascii="Trebuchet MS"/>
                <w:b/>
                <w:color w:val="006FC0"/>
                <w:sz w:val="20"/>
              </w:rPr>
              <w:t>+S1+S2</w:t>
            </w:r>
          </w:p>
        </w:tc>
        <w:tc>
          <w:tcPr>
            <w:tcW w:w="1856" w:type="dxa"/>
            <w:tcBorders>
              <w:right w:val="nil"/>
            </w:tcBorders>
          </w:tcPr>
          <w:p w:rsidR="00BB11D1" w:rsidRDefault="00BB11D1" w:rsidP="00451448">
            <w:pPr>
              <w:pStyle w:val="TableParagraph"/>
              <w:spacing w:before="4" w:line="252" w:lineRule="auto"/>
              <w:ind w:left="103" w:right="217"/>
              <w:rPr>
                <w:sz w:val="20"/>
              </w:rPr>
            </w:pPr>
            <w:r>
              <w:rPr>
                <w:w w:val="90"/>
                <w:sz w:val="20"/>
              </w:rPr>
              <w:t xml:space="preserve">Banknotes issued </w:t>
            </w:r>
            <w:r>
              <w:rPr>
                <w:w w:val="95"/>
                <w:sz w:val="20"/>
              </w:rPr>
              <w:t>Deposits of banks</w:t>
            </w:r>
          </w:p>
          <w:p w:rsidR="00BB11D1" w:rsidRDefault="00BB11D1" w:rsidP="00451448">
            <w:pPr>
              <w:pStyle w:val="TableParagraph"/>
              <w:spacing w:before="4" w:line="220" w:lineRule="exact"/>
              <w:ind w:left="103"/>
              <w:rPr>
                <w:rFonts w:ascii="Trebuchet MS"/>
                <w:b/>
                <w:sz w:val="20"/>
              </w:rPr>
            </w:pPr>
            <w:r>
              <w:rPr>
                <w:rFonts w:ascii="Trebuchet MS"/>
                <w:b/>
                <w:sz w:val="20"/>
              </w:rPr>
              <w:t>CBDC</w:t>
            </w:r>
          </w:p>
        </w:tc>
        <w:tc>
          <w:tcPr>
            <w:tcW w:w="2150" w:type="dxa"/>
            <w:tcBorders>
              <w:left w:val="nil"/>
            </w:tcBorders>
          </w:tcPr>
          <w:p w:rsidR="00BB11D1" w:rsidRDefault="00BB11D1" w:rsidP="00451448">
            <w:pPr>
              <w:pStyle w:val="TableParagraph"/>
              <w:spacing w:before="4"/>
              <w:ind w:left="301"/>
              <w:rPr>
                <w:rFonts w:ascii="Trebuchet MS"/>
                <w:b/>
                <w:sz w:val="20"/>
              </w:rPr>
            </w:pPr>
            <w:r>
              <w:rPr>
                <w:sz w:val="20"/>
              </w:rPr>
              <w:t xml:space="preserve">1 </w:t>
            </w:r>
            <w:r>
              <w:rPr>
                <w:rFonts w:ascii="Trebuchet MS"/>
                <w:b/>
                <w:color w:val="00AF50"/>
                <w:sz w:val="20"/>
              </w:rPr>
              <w:t>-CBDC1</w:t>
            </w:r>
          </w:p>
          <w:p w:rsidR="00BB11D1" w:rsidRDefault="00BB11D1" w:rsidP="00451448">
            <w:pPr>
              <w:pStyle w:val="TableParagraph"/>
              <w:spacing w:before="10"/>
              <w:ind w:left="323"/>
              <w:rPr>
                <w:sz w:val="20"/>
              </w:rPr>
            </w:pPr>
            <w:r>
              <w:rPr>
                <w:w w:val="90"/>
                <w:sz w:val="20"/>
              </w:rPr>
              <w:t>0</w:t>
            </w:r>
          </w:p>
          <w:p w:rsidR="00BB11D1" w:rsidRDefault="00BB11D1" w:rsidP="00451448">
            <w:pPr>
              <w:pStyle w:val="TableParagraph"/>
              <w:spacing w:before="15" w:line="220" w:lineRule="exact"/>
              <w:ind w:left="512"/>
              <w:rPr>
                <w:rFonts w:ascii="Trebuchet MS"/>
                <w:b/>
                <w:sz w:val="20"/>
              </w:rPr>
            </w:pPr>
            <w:r>
              <w:rPr>
                <w:rFonts w:ascii="Trebuchet MS"/>
                <w:b/>
                <w:color w:val="00AF50"/>
                <w:sz w:val="20"/>
              </w:rPr>
              <w:t xml:space="preserve">+CBDC1 </w:t>
            </w:r>
            <w:r>
              <w:rPr>
                <w:rFonts w:ascii="Trebuchet MS"/>
                <w:b/>
                <w:color w:val="FF0000"/>
                <w:sz w:val="20"/>
              </w:rPr>
              <w:t>+CBDC2</w:t>
            </w:r>
          </w:p>
        </w:tc>
      </w:tr>
    </w:tbl>
    <w:p w:rsidR="00BB11D1" w:rsidRPr="00BB11D1" w:rsidRDefault="00BB11D1" w:rsidP="00BB11D1">
      <w:pPr>
        <w:bidi/>
        <w:spacing w:line="254" w:lineRule="auto"/>
        <w:ind w:left="249" w:right="767"/>
        <w:jc w:val="both"/>
        <w:rPr>
          <w:rFonts w:asciiTheme="majorBidi" w:hAnsiTheme="majorBidi" w:cstheme="majorBidi"/>
          <w:i/>
        </w:rPr>
      </w:pPr>
    </w:p>
    <w:p w:rsidR="000255A4" w:rsidRPr="00BB11D1" w:rsidRDefault="000255A4" w:rsidP="006A2441">
      <w:pPr>
        <w:pStyle w:val="BodyText"/>
        <w:bidi/>
        <w:spacing w:before="6"/>
        <w:rPr>
          <w:rFonts w:asciiTheme="majorBidi" w:hAnsiTheme="majorBidi" w:cstheme="majorBidi"/>
          <w:i/>
          <w:sz w:val="23"/>
        </w:rPr>
      </w:pPr>
    </w:p>
    <w:p w:rsidR="000255A4" w:rsidRPr="00BB11D1" w:rsidRDefault="006A2441" w:rsidP="006A2441">
      <w:pPr>
        <w:pStyle w:val="BodyText"/>
        <w:bidi/>
        <w:spacing w:before="7" w:line="480" w:lineRule="auto"/>
        <w:jc w:val="both"/>
        <w:rPr>
          <w:rFonts w:asciiTheme="majorBidi" w:hAnsiTheme="majorBidi" w:cstheme="majorBidi"/>
          <w:sz w:val="23"/>
        </w:rPr>
      </w:pPr>
      <w:r w:rsidRPr="00BB11D1">
        <w:rPr>
          <w:rFonts w:asciiTheme="majorBidi" w:hAnsiTheme="majorBidi" w:cstheme="majorBidi"/>
          <w:rtl/>
          <w:lang w:bidi="ar-SA"/>
        </w:rPr>
        <w:t xml:space="preserve">في حين أن </w:t>
      </w:r>
      <w:r w:rsidRPr="00BB11D1">
        <w:rPr>
          <w:rFonts w:asciiTheme="majorBidi" w:hAnsiTheme="majorBidi" w:cstheme="majorBidi"/>
        </w:rPr>
        <w:t>CBDC1</w:t>
      </w:r>
      <w:r w:rsidRPr="00BB11D1">
        <w:rPr>
          <w:rFonts w:asciiTheme="majorBidi" w:hAnsiTheme="majorBidi" w:cstheme="majorBidi"/>
          <w:rtl/>
          <w:lang w:bidi="ar-SA"/>
        </w:rPr>
        <w:t xml:space="preserve"> يبدو غير مثير للجدل لأنه يستبدل مجرد شكل من أشكال أموال البنك المركزي في شكل آخر دون تغيير بقية النظام المالي ، فإن </w:t>
      </w:r>
      <w:r w:rsidRPr="00BB11D1">
        <w:rPr>
          <w:rFonts w:asciiTheme="majorBidi" w:hAnsiTheme="majorBidi" w:cstheme="majorBidi"/>
        </w:rPr>
        <w:t>CBDC2</w:t>
      </w:r>
      <w:r w:rsidRPr="00BB11D1">
        <w:rPr>
          <w:rFonts w:asciiTheme="majorBidi" w:hAnsiTheme="majorBidi" w:cstheme="majorBidi"/>
          <w:rtl/>
          <w:lang w:bidi="ar-SA"/>
        </w:rPr>
        <w:t xml:space="preserve"> يزيد من اعتماد البنوك على ائتمان البنك المركزي ويقلل الودائع في النظام المصرفي. لكل من </w:t>
      </w:r>
      <w:r w:rsidRPr="00BB11D1">
        <w:rPr>
          <w:rFonts w:asciiTheme="majorBidi" w:hAnsiTheme="majorBidi" w:cstheme="majorBidi"/>
        </w:rPr>
        <w:t>S1</w:t>
      </w:r>
      <w:r w:rsidRPr="00BB11D1">
        <w:rPr>
          <w:rFonts w:asciiTheme="majorBidi" w:hAnsiTheme="majorBidi" w:cstheme="majorBidi"/>
          <w:rtl/>
          <w:lang w:bidi="ar-SA"/>
        </w:rPr>
        <w:t xml:space="preserve"> و </w:t>
      </w:r>
      <w:r w:rsidRPr="00BB11D1">
        <w:rPr>
          <w:rFonts w:asciiTheme="majorBidi" w:hAnsiTheme="majorBidi" w:cstheme="majorBidi"/>
        </w:rPr>
        <w:t>S2</w:t>
      </w:r>
      <w:r w:rsidRPr="00BB11D1">
        <w:rPr>
          <w:rFonts w:asciiTheme="majorBidi" w:hAnsiTheme="majorBidi" w:cstheme="majorBidi"/>
          <w:rtl/>
          <w:lang w:bidi="ar-SA"/>
        </w:rPr>
        <w:t xml:space="preserve"> تأثيرات إيجابية بمعنى أنهما يقللان مرة أخرى من اعتماد البنوك على ائتمان البنك المركزي. من الواضح أن </w:t>
      </w:r>
      <w:r w:rsidRPr="00BB11D1">
        <w:rPr>
          <w:rFonts w:asciiTheme="majorBidi" w:hAnsiTheme="majorBidi" w:cstheme="majorBidi"/>
        </w:rPr>
        <w:t>CBDC2</w:t>
      </w:r>
      <w:r w:rsidRPr="00BB11D1">
        <w:rPr>
          <w:rFonts w:asciiTheme="majorBidi" w:hAnsiTheme="majorBidi" w:cstheme="majorBidi"/>
          <w:rtl/>
          <w:lang w:bidi="ar-SA"/>
        </w:rPr>
        <w:t xml:space="preserve"> سيكون لها تأثيرات على تكاليف تمويل النظام المصرفي ، حيث أن ائتمان البنك المركزي وإصدار السندات عادة ما يكونان أكثر تكلفة من معدل الأجور للودائع تحت الطلب (باستثناء في الظروف غير العادية ، مثل تلك السائدة في منطقة اليورو منذ عام 2014 ، في التي كان الحصول على الائتمان من البنك المركزي ممكنًا جزئيًا للبنوك بمعدلات سلبية ، بينما ظلت ودائع الأسر المعيشية لدى البنوك غير سلبية. علاوة على ذلك ، يمكن أن يؤدي اللجوء الأكبر إلى ائتمان البنك المركزي إلى مشكلات ندرة الضمانات والسؤال عما إذا كان إطار ضمان البنك المركزي يصبح بالغ الأهمية من منظور تخصيص الائتمان بحيث يلاحظ المرء وجود مركزية فعالة في عملية توفير الائتمان. سيتم تحليل كلا التأثيرين في القسمين التاليين.</w:t>
      </w:r>
    </w:p>
    <w:p w:rsidR="000255A4" w:rsidRPr="00BB11D1" w:rsidRDefault="009C2E3C" w:rsidP="00BB11D1">
      <w:pPr>
        <w:pStyle w:val="Heading4"/>
        <w:bidi/>
        <w:spacing w:line="480" w:lineRule="auto"/>
        <w:rPr>
          <w:rFonts w:asciiTheme="majorBidi" w:hAnsiTheme="majorBidi" w:cstheme="majorBidi"/>
        </w:rPr>
      </w:pPr>
      <w:r w:rsidRPr="00BB11D1">
        <w:rPr>
          <w:rFonts w:asciiTheme="majorBidi" w:hAnsiTheme="majorBidi" w:cstheme="majorBidi"/>
          <w:rtl/>
          <w:lang w:bidi="ar-SA"/>
        </w:rPr>
        <w:t>الآثار</w:t>
      </w:r>
      <w:r w:rsidRPr="00BB11D1">
        <w:rPr>
          <w:rFonts w:asciiTheme="majorBidi" w:hAnsiTheme="majorBidi" w:cstheme="majorBidi"/>
        </w:rPr>
        <w:t xml:space="preserve"> </w:t>
      </w:r>
      <w:r w:rsidRPr="00BB11D1">
        <w:rPr>
          <w:rFonts w:asciiTheme="majorBidi" w:hAnsiTheme="majorBidi" w:cstheme="majorBidi"/>
          <w:rtl/>
          <w:lang w:bidi="ar-SA"/>
        </w:rPr>
        <w:t>المترتبة</w:t>
      </w:r>
      <w:r w:rsidRPr="00BB11D1">
        <w:rPr>
          <w:rFonts w:asciiTheme="majorBidi" w:hAnsiTheme="majorBidi" w:cstheme="majorBidi"/>
        </w:rPr>
        <w:t xml:space="preserve"> </w:t>
      </w:r>
      <w:r w:rsidRPr="00BB11D1">
        <w:rPr>
          <w:rFonts w:asciiTheme="majorBidi" w:hAnsiTheme="majorBidi" w:cstheme="majorBidi"/>
          <w:rtl/>
          <w:lang w:bidi="ar-SA"/>
        </w:rPr>
        <w:t>على</w:t>
      </w:r>
      <w:r w:rsidRPr="00BB11D1">
        <w:rPr>
          <w:rFonts w:asciiTheme="majorBidi" w:hAnsiTheme="majorBidi" w:cstheme="majorBidi"/>
        </w:rPr>
        <w:t xml:space="preserve"> </w:t>
      </w:r>
      <w:r w:rsidRPr="00BB11D1">
        <w:rPr>
          <w:rFonts w:asciiTheme="majorBidi" w:hAnsiTheme="majorBidi" w:cstheme="majorBidi"/>
          <w:rtl/>
          <w:lang w:bidi="ar-SA"/>
        </w:rPr>
        <w:t>تكاليف</w:t>
      </w:r>
      <w:r w:rsidRPr="00BB11D1">
        <w:rPr>
          <w:rFonts w:asciiTheme="majorBidi" w:hAnsiTheme="majorBidi" w:cstheme="majorBidi"/>
        </w:rPr>
        <w:t xml:space="preserve"> </w:t>
      </w:r>
      <w:r w:rsidRPr="00BB11D1">
        <w:rPr>
          <w:rFonts w:asciiTheme="majorBidi" w:hAnsiTheme="majorBidi" w:cstheme="majorBidi"/>
          <w:rtl/>
          <w:lang w:bidi="ar-SA"/>
        </w:rPr>
        <w:t>التمويل</w:t>
      </w:r>
      <w:r w:rsidRPr="00BB11D1">
        <w:rPr>
          <w:rFonts w:asciiTheme="majorBidi" w:hAnsiTheme="majorBidi" w:cstheme="majorBidi"/>
        </w:rPr>
        <w:t xml:space="preserve"> </w:t>
      </w:r>
      <w:r w:rsidRPr="00BB11D1">
        <w:rPr>
          <w:rFonts w:asciiTheme="majorBidi" w:hAnsiTheme="majorBidi" w:cstheme="majorBidi"/>
          <w:rtl/>
          <w:lang w:bidi="ar-SA"/>
        </w:rPr>
        <w:t>المصرفي</w:t>
      </w:r>
      <w:r w:rsidRPr="00BB11D1">
        <w:rPr>
          <w:rFonts w:asciiTheme="majorBidi" w:hAnsiTheme="majorBidi" w:cstheme="majorBidi"/>
        </w:rPr>
        <w:t xml:space="preserve"> </w:t>
      </w:r>
      <w:r w:rsidR="006A2441" w:rsidRPr="00BB11D1">
        <w:rPr>
          <w:rFonts w:asciiTheme="majorBidi" w:hAnsiTheme="majorBidi" w:cstheme="majorBidi"/>
          <w:rtl/>
          <w:lang w:bidi="ar-SA"/>
        </w:rPr>
        <w:t xml:space="preserve">ل </w:t>
      </w:r>
      <w:r w:rsidRPr="00BB11D1">
        <w:rPr>
          <w:rFonts w:asciiTheme="majorBidi" w:hAnsiTheme="majorBidi" w:cstheme="majorBidi"/>
        </w:rPr>
        <w:t xml:space="preserve"> CBDC2</w:t>
      </w:r>
    </w:p>
    <w:p w:rsidR="006A2441" w:rsidRPr="00BB11D1" w:rsidRDefault="006A2441" w:rsidP="00BB11D1">
      <w:pPr>
        <w:pStyle w:val="BodyText"/>
        <w:bidi/>
        <w:spacing w:before="5" w:line="480" w:lineRule="auto"/>
        <w:jc w:val="both"/>
        <w:rPr>
          <w:rFonts w:asciiTheme="majorBidi" w:hAnsiTheme="majorBidi" w:cstheme="majorBidi"/>
          <w:w w:val="95"/>
        </w:rPr>
      </w:pPr>
      <w:r w:rsidRPr="00BB11D1">
        <w:rPr>
          <w:rFonts w:asciiTheme="majorBidi" w:hAnsiTheme="majorBidi" w:cstheme="majorBidi"/>
          <w:w w:val="95"/>
          <w:rtl/>
          <w:lang w:bidi="ar-SA"/>
        </w:rPr>
        <w:t xml:space="preserve">بعد </w:t>
      </w:r>
      <w:r w:rsidRPr="00BB11D1">
        <w:rPr>
          <w:rFonts w:asciiTheme="majorBidi" w:hAnsiTheme="majorBidi" w:cstheme="majorBidi"/>
          <w:w w:val="95"/>
        </w:rPr>
        <w:t>Juks (2018</w:t>
      </w:r>
      <w:r w:rsidRPr="00BB11D1">
        <w:rPr>
          <w:rFonts w:asciiTheme="majorBidi" w:hAnsiTheme="majorBidi" w:cstheme="majorBidi"/>
          <w:w w:val="95"/>
          <w:rtl/>
          <w:lang w:bidi="ar-SA"/>
        </w:rPr>
        <w:t xml:space="preserve"> ، القسم 4.2-4.3) ، يحتاج المرء إلى فهم التأثير الذي سيحدثه </w:t>
      </w:r>
      <w:r w:rsidRPr="00BB11D1">
        <w:rPr>
          <w:rFonts w:asciiTheme="majorBidi" w:hAnsiTheme="majorBidi" w:cstheme="majorBidi"/>
          <w:w w:val="95"/>
        </w:rPr>
        <w:t>CBDC</w:t>
      </w:r>
      <w:r w:rsidRPr="00BB11D1">
        <w:rPr>
          <w:rFonts w:asciiTheme="majorBidi" w:hAnsiTheme="majorBidi" w:cstheme="majorBidi"/>
          <w:w w:val="95"/>
          <w:rtl/>
          <w:lang w:bidi="ar-SA"/>
        </w:rPr>
        <w:t xml:space="preserve"> على متوسط ​​تكاليف تمويل البنوك ، وبالتالي على معدلات الإقراض المصرفي (انظر أيضًا </w:t>
      </w:r>
      <w:r w:rsidRPr="00BB11D1">
        <w:rPr>
          <w:rFonts w:asciiTheme="majorBidi" w:hAnsiTheme="majorBidi" w:cstheme="majorBidi"/>
          <w:w w:val="95"/>
        </w:rPr>
        <w:t>Engert and Fung</w:t>
      </w:r>
      <w:r w:rsidRPr="00BB11D1">
        <w:rPr>
          <w:rFonts w:asciiTheme="majorBidi" w:hAnsiTheme="majorBidi" w:cstheme="majorBidi"/>
          <w:w w:val="95"/>
          <w:rtl/>
          <w:lang w:bidi="ar-SA"/>
        </w:rPr>
        <w:t xml:space="preserve">، </w:t>
      </w:r>
      <w:r w:rsidRPr="00BB11D1">
        <w:rPr>
          <w:rFonts w:asciiTheme="majorBidi" w:hAnsiTheme="majorBidi" w:cstheme="majorBidi"/>
          <w:w w:val="95"/>
        </w:rPr>
        <w:t>2017</w:t>
      </w:r>
      <w:r w:rsidRPr="00BB11D1">
        <w:rPr>
          <w:rFonts w:asciiTheme="majorBidi" w:hAnsiTheme="majorBidi" w:cstheme="majorBidi"/>
          <w:w w:val="95"/>
          <w:rtl/>
          <w:lang w:bidi="ar-SA"/>
        </w:rPr>
        <w:t xml:space="preserve">). بالإضافة إلى ذلك ، يجب أن نفهم كيف يمكن أن يؤثر ذلك على </w:t>
      </w:r>
      <w:r w:rsidRPr="00BB11D1">
        <w:rPr>
          <w:rFonts w:asciiTheme="majorBidi" w:hAnsiTheme="majorBidi" w:cstheme="majorBidi"/>
          <w:w w:val="95"/>
          <w:rtl/>
          <w:lang w:bidi="ar-SA"/>
        </w:rPr>
        <w:lastRenderedPageBreak/>
        <w:t xml:space="preserve">تحديد سعر الفائدة في السياسة النقدية للبنك المركزي ودخل البنك المركزي. من الواضح أن تكاليف تمويل البنك ستزداد بسبب انخفاض مصدر التمويل الرخيص (الودائع تحت الطلب) ، كما يتعين على مصادر التمويل الأكثر تكلفة (ائتمان البنك المركزي أو إصدار السندات المصرفية) الاستيلاء عليها. سيتعين على البنك المركزي تعويض تشديد الظروف المالية الناجم عن انخفاض تمويل الودائع بالبصر بأسعار رخيصة عن طريق خفض معدل السياسة النقدية. يعتمد مدى التخفيض المطلوب لأسعار الفائدة قصيرة الأجل على حجم </w:t>
      </w:r>
      <w:r w:rsidRPr="00BB11D1">
        <w:rPr>
          <w:rFonts w:asciiTheme="majorBidi" w:hAnsiTheme="majorBidi" w:cstheme="majorBidi"/>
          <w:w w:val="95"/>
        </w:rPr>
        <w:t>CBDC2</w:t>
      </w:r>
      <w:r w:rsidRPr="00BB11D1">
        <w:rPr>
          <w:rFonts w:asciiTheme="majorBidi" w:hAnsiTheme="majorBidi" w:cstheme="majorBidi"/>
          <w:w w:val="95"/>
          <w:rtl/>
          <w:lang w:bidi="ar-SA"/>
        </w:rPr>
        <w:t xml:space="preserve"> ، وعلى الحصة النسبية للتمويل المصرفي في الاقتصاد ، وعلى الفارق بين معدلات تمويل البنوك الأخرى ومعدل عمليات السياسة النقدية. علاوة على ذلك ، فإن تأثيرات الإحلال من التمويل الاقتصادي المستند إلى سوق رأس المال للاقتصاد ستؤثر على التعديل الإجمالي المطلوب لمعدلات البنك المركزي. حقيقة أن التمويل المصرفي هو جزء واحد فقط من التمويل الكلي للاقتصاد يعني أن البنك المركزي لن يقلل من أسعار الفائدة قصيرة الأجل بطريقة تستقر تكاليف التمويل المصرفي ، ولكن جزئيا فقط. لذلك ، في التوازن الجديد ، ستفقد البنوك قدرتها التنافسية وستفقد بعض حصتها في السوق بالنسبة إلى أشكال التمويل الأخرى (على الرغم من أسواق رأس المال والوسطاء من غير البنوك).</w:t>
      </w:r>
    </w:p>
    <w:p w:rsidR="006A2441" w:rsidRPr="00BB11D1" w:rsidRDefault="006A2441" w:rsidP="006A2441">
      <w:pPr>
        <w:pStyle w:val="BodyText"/>
        <w:bidi/>
        <w:spacing w:before="5"/>
        <w:rPr>
          <w:rFonts w:asciiTheme="majorBidi" w:hAnsiTheme="majorBidi" w:cstheme="majorBidi"/>
          <w:w w:val="95"/>
        </w:rPr>
      </w:pPr>
    </w:p>
    <w:p w:rsidR="000255A4" w:rsidRPr="00BB11D1" w:rsidRDefault="006A2441" w:rsidP="006A2441">
      <w:pPr>
        <w:pStyle w:val="BodyText"/>
        <w:bidi/>
        <w:spacing w:before="5"/>
        <w:rPr>
          <w:rFonts w:asciiTheme="majorBidi" w:hAnsiTheme="majorBidi" w:cstheme="majorBidi"/>
          <w:w w:val="95"/>
          <w:rtl/>
          <w:lang w:bidi="ar-SA"/>
        </w:rPr>
      </w:pPr>
      <w:r w:rsidRPr="00BB11D1">
        <w:rPr>
          <w:rFonts w:asciiTheme="majorBidi" w:hAnsiTheme="majorBidi" w:cstheme="majorBidi"/>
          <w:w w:val="95"/>
          <w:rtl/>
          <w:lang w:bidi="ar-SA"/>
        </w:rPr>
        <w:t>يوفر الجدول 2 أ و 2 ب متوسط ​​مستويات الأسهم ذات الصلة وأسعار الفائدة للفترة 2003-2008 و 2009-2018 على التوالي (مصادر البيانات: عوائد السندات ميريل لينش ؛ جميع البيانات الأخرى: البنك المركزي الأوروبي).</w:t>
      </w:r>
    </w:p>
    <w:p w:rsidR="006A2441" w:rsidRPr="00BB11D1" w:rsidRDefault="006A2441" w:rsidP="006A2441">
      <w:pPr>
        <w:pStyle w:val="BodyText"/>
        <w:bidi/>
        <w:spacing w:before="5"/>
        <w:rPr>
          <w:rFonts w:asciiTheme="majorBidi" w:hAnsiTheme="majorBidi" w:cstheme="majorBidi"/>
          <w:color w:val="FF0000"/>
          <w:sz w:val="23"/>
        </w:rPr>
      </w:pPr>
    </w:p>
    <w:p w:rsidR="000255A4" w:rsidRPr="00BB11D1" w:rsidRDefault="009C2E3C" w:rsidP="00BB11D1">
      <w:pPr>
        <w:bidi/>
        <w:spacing w:before="1" w:after="15"/>
        <w:ind w:left="248"/>
        <w:jc w:val="both"/>
        <w:rPr>
          <w:rFonts w:asciiTheme="majorBidi" w:hAnsiTheme="majorBidi" w:cstheme="majorBidi"/>
          <w:i/>
        </w:rPr>
      </w:pPr>
      <w:r w:rsidRPr="00BB11D1">
        <w:rPr>
          <w:rFonts w:asciiTheme="majorBidi" w:hAnsiTheme="majorBidi" w:cstheme="majorBidi"/>
          <w:i/>
          <w:iCs/>
          <w:w w:val="95"/>
          <w:rtl/>
          <w:lang w:bidi="ar-SA"/>
        </w:rPr>
        <w:t>الجدول</w:t>
      </w:r>
      <w:r w:rsidR="00BB11D1" w:rsidRPr="00BB11D1">
        <w:rPr>
          <w:rFonts w:asciiTheme="majorBidi" w:hAnsiTheme="majorBidi" w:cstheme="majorBidi"/>
          <w:i/>
          <w:w w:val="95"/>
        </w:rPr>
        <w:t>2</w:t>
      </w:r>
      <w:r w:rsidR="00BB11D1" w:rsidRPr="00BB11D1">
        <w:rPr>
          <w:rFonts w:asciiTheme="majorBidi" w:hAnsiTheme="majorBidi" w:cstheme="majorBidi" w:hint="cs"/>
          <w:i/>
          <w:w w:val="95"/>
          <w:rtl/>
          <w:lang w:bidi="ar-LB"/>
        </w:rPr>
        <w:t>أ</w:t>
      </w:r>
      <w:r w:rsidRPr="00BB11D1">
        <w:rPr>
          <w:rFonts w:asciiTheme="majorBidi" w:hAnsiTheme="majorBidi" w:cstheme="majorBidi"/>
          <w:i/>
          <w:w w:val="95"/>
        </w:rPr>
        <w:t xml:space="preserve">: </w:t>
      </w:r>
      <w:r w:rsidR="00BB11D1" w:rsidRPr="00BB11D1">
        <w:rPr>
          <w:rFonts w:asciiTheme="majorBidi" w:hAnsiTheme="majorBidi" w:cstheme="majorBidi" w:hint="cs"/>
          <w:i/>
          <w:w w:val="95"/>
          <w:rtl/>
          <w:lang w:bidi="ar-LB"/>
        </w:rPr>
        <w:t xml:space="preserve"> </w:t>
      </w:r>
      <w:r w:rsidRPr="00BB11D1">
        <w:rPr>
          <w:rFonts w:asciiTheme="majorBidi" w:hAnsiTheme="majorBidi" w:cstheme="majorBidi"/>
          <w:i/>
          <w:iCs/>
          <w:w w:val="95"/>
          <w:rtl/>
          <w:lang w:bidi="ar-SA"/>
        </w:rPr>
        <w:t>تكاليف</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التمويل</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المصرفي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منطقة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اليورو</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عبر</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أدوات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مختلفة،</w:t>
      </w:r>
      <w:r w:rsidRPr="00BB11D1">
        <w:rPr>
          <w:rFonts w:asciiTheme="majorBidi" w:hAnsiTheme="majorBidi" w:cstheme="majorBidi"/>
          <w:i/>
          <w:w w:val="95"/>
        </w:rPr>
        <w:t xml:space="preserve"> 2003-2008</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2268"/>
        <w:gridCol w:w="2834"/>
      </w:tblGrid>
      <w:tr w:rsidR="00BB11D1" w:rsidTr="00451448">
        <w:trPr>
          <w:trHeight w:val="268"/>
        </w:trPr>
        <w:tc>
          <w:tcPr>
            <w:tcW w:w="3936" w:type="dxa"/>
          </w:tcPr>
          <w:p w:rsidR="00BB11D1" w:rsidRDefault="00BB11D1" w:rsidP="00451448">
            <w:pPr>
              <w:pStyle w:val="TableParagraph"/>
              <w:rPr>
                <w:rFonts w:ascii="Times New Roman"/>
                <w:sz w:val="18"/>
              </w:rPr>
            </w:pPr>
          </w:p>
        </w:tc>
        <w:tc>
          <w:tcPr>
            <w:tcW w:w="2268" w:type="dxa"/>
          </w:tcPr>
          <w:p w:rsidR="00BB11D1" w:rsidRDefault="00BB11D1" w:rsidP="00451448">
            <w:pPr>
              <w:pStyle w:val="TableParagraph"/>
              <w:spacing w:before="2" w:line="246" w:lineRule="exact"/>
              <w:ind w:right="95"/>
              <w:jc w:val="center"/>
            </w:pPr>
            <w:r>
              <w:t>Share in bank funding</w:t>
            </w:r>
          </w:p>
        </w:tc>
        <w:tc>
          <w:tcPr>
            <w:tcW w:w="2834" w:type="dxa"/>
          </w:tcPr>
          <w:p w:rsidR="00BB11D1" w:rsidRDefault="00BB11D1" w:rsidP="00451448">
            <w:pPr>
              <w:pStyle w:val="TableParagraph"/>
              <w:spacing w:before="2" w:line="246" w:lineRule="exact"/>
              <w:ind w:left="107"/>
            </w:pPr>
            <w:r>
              <w:t>Average interest rate</w:t>
            </w:r>
          </w:p>
        </w:tc>
      </w:tr>
      <w:tr w:rsidR="00BB11D1" w:rsidTr="00451448">
        <w:trPr>
          <w:trHeight w:val="268"/>
        </w:trPr>
        <w:tc>
          <w:tcPr>
            <w:tcW w:w="3936" w:type="dxa"/>
          </w:tcPr>
          <w:p w:rsidR="00BB11D1" w:rsidRDefault="00BB11D1" w:rsidP="00451448">
            <w:pPr>
              <w:pStyle w:val="TableParagraph"/>
              <w:spacing w:before="2" w:line="246" w:lineRule="exact"/>
              <w:ind w:left="107"/>
            </w:pPr>
            <w:r>
              <w:t>Deposits (in M3)</w:t>
            </w:r>
          </w:p>
        </w:tc>
        <w:tc>
          <w:tcPr>
            <w:tcW w:w="2268" w:type="dxa"/>
          </w:tcPr>
          <w:p w:rsidR="00BB11D1" w:rsidRDefault="00BB11D1" w:rsidP="00451448">
            <w:pPr>
              <w:pStyle w:val="TableParagraph"/>
              <w:spacing w:before="2" w:line="246" w:lineRule="exact"/>
              <w:ind w:left="102" w:right="95"/>
              <w:jc w:val="center"/>
            </w:pPr>
            <w:r>
              <w:rPr>
                <w:w w:val="95"/>
              </w:rPr>
              <w:t>44%</w:t>
            </w:r>
          </w:p>
        </w:tc>
        <w:tc>
          <w:tcPr>
            <w:tcW w:w="2834" w:type="dxa"/>
          </w:tcPr>
          <w:p w:rsidR="00BB11D1" w:rsidRDefault="00BB11D1" w:rsidP="00451448">
            <w:pPr>
              <w:pStyle w:val="TableParagraph"/>
              <w:spacing w:before="2" w:line="246" w:lineRule="exact"/>
              <w:ind w:left="1021" w:right="1012"/>
              <w:jc w:val="center"/>
            </w:pPr>
            <w:r>
              <w:t>1.83%</w:t>
            </w:r>
          </w:p>
        </w:tc>
      </w:tr>
      <w:tr w:rsidR="00BB11D1" w:rsidTr="00451448">
        <w:trPr>
          <w:trHeight w:val="268"/>
        </w:trPr>
        <w:tc>
          <w:tcPr>
            <w:tcW w:w="3936" w:type="dxa"/>
          </w:tcPr>
          <w:p w:rsidR="00BB11D1" w:rsidRDefault="00BB11D1" w:rsidP="00451448">
            <w:pPr>
              <w:pStyle w:val="TableParagraph"/>
              <w:spacing w:before="2" w:line="246" w:lineRule="exact"/>
              <w:ind w:left="107"/>
            </w:pPr>
            <w:r>
              <w:t>Other deposits</w:t>
            </w:r>
          </w:p>
        </w:tc>
        <w:tc>
          <w:tcPr>
            <w:tcW w:w="2268" w:type="dxa"/>
          </w:tcPr>
          <w:p w:rsidR="00BB11D1" w:rsidRDefault="00BB11D1" w:rsidP="00451448">
            <w:pPr>
              <w:pStyle w:val="TableParagraph"/>
              <w:spacing w:before="2" w:line="246" w:lineRule="exact"/>
              <w:ind w:left="102" w:right="95"/>
              <w:jc w:val="center"/>
            </w:pPr>
            <w:r>
              <w:rPr>
                <w:w w:val="95"/>
              </w:rPr>
              <w:t>13%</w:t>
            </w:r>
          </w:p>
        </w:tc>
        <w:tc>
          <w:tcPr>
            <w:tcW w:w="2834" w:type="dxa"/>
          </w:tcPr>
          <w:p w:rsidR="00BB11D1" w:rsidRDefault="00BB11D1" w:rsidP="00451448">
            <w:pPr>
              <w:pStyle w:val="TableParagraph"/>
              <w:spacing w:before="2" w:line="246" w:lineRule="exact"/>
              <w:ind w:left="1021" w:right="1012"/>
              <w:jc w:val="center"/>
            </w:pPr>
            <w:r>
              <w:t>3.25%</w:t>
            </w:r>
          </w:p>
        </w:tc>
      </w:tr>
      <w:tr w:rsidR="00BB11D1" w:rsidTr="00451448">
        <w:trPr>
          <w:trHeight w:val="268"/>
        </w:trPr>
        <w:tc>
          <w:tcPr>
            <w:tcW w:w="3936" w:type="dxa"/>
          </w:tcPr>
          <w:p w:rsidR="00BB11D1" w:rsidRDefault="00BB11D1" w:rsidP="00451448">
            <w:pPr>
              <w:pStyle w:val="TableParagraph"/>
              <w:spacing w:before="2" w:line="246" w:lineRule="exact"/>
              <w:ind w:left="107"/>
            </w:pPr>
            <w:r>
              <w:t>Bonds issued</w:t>
            </w:r>
          </w:p>
        </w:tc>
        <w:tc>
          <w:tcPr>
            <w:tcW w:w="2268" w:type="dxa"/>
          </w:tcPr>
          <w:p w:rsidR="00BB11D1" w:rsidRDefault="00BB11D1" w:rsidP="00451448">
            <w:pPr>
              <w:pStyle w:val="TableParagraph"/>
              <w:spacing w:before="2" w:line="246" w:lineRule="exact"/>
              <w:ind w:left="102" w:right="95"/>
              <w:jc w:val="center"/>
            </w:pPr>
            <w:r>
              <w:rPr>
                <w:w w:val="95"/>
              </w:rPr>
              <w:t>30%</w:t>
            </w:r>
          </w:p>
        </w:tc>
        <w:tc>
          <w:tcPr>
            <w:tcW w:w="2834" w:type="dxa"/>
          </w:tcPr>
          <w:p w:rsidR="00BB11D1" w:rsidRDefault="00BB11D1" w:rsidP="00451448">
            <w:pPr>
              <w:pStyle w:val="TableParagraph"/>
              <w:spacing w:before="2" w:line="246" w:lineRule="exact"/>
              <w:ind w:left="1021" w:right="1012"/>
              <w:jc w:val="center"/>
            </w:pPr>
            <w:r>
              <w:t>4.10%</w:t>
            </w:r>
          </w:p>
        </w:tc>
      </w:tr>
      <w:tr w:rsidR="00BB11D1" w:rsidTr="00451448">
        <w:trPr>
          <w:trHeight w:val="268"/>
        </w:trPr>
        <w:tc>
          <w:tcPr>
            <w:tcW w:w="3936" w:type="dxa"/>
          </w:tcPr>
          <w:p w:rsidR="00BB11D1" w:rsidRDefault="00BB11D1" w:rsidP="00451448">
            <w:pPr>
              <w:pStyle w:val="TableParagraph"/>
              <w:spacing w:before="2" w:line="246" w:lineRule="exact"/>
              <w:ind w:left="107"/>
            </w:pPr>
            <w:r>
              <w:t>Equity issued</w:t>
            </w:r>
          </w:p>
        </w:tc>
        <w:tc>
          <w:tcPr>
            <w:tcW w:w="2268" w:type="dxa"/>
          </w:tcPr>
          <w:p w:rsidR="00BB11D1" w:rsidRDefault="00BB11D1" w:rsidP="00451448">
            <w:pPr>
              <w:pStyle w:val="TableParagraph"/>
              <w:spacing w:before="2" w:line="246" w:lineRule="exact"/>
              <w:ind w:left="102" w:right="95"/>
              <w:jc w:val="center"/>
            </w:pPr>
            <w:r>
              <w:rPr>
                <w:w w:val="95"/>
              </w:rPr>
              <w:t>10%</w:t>
            </w:r>
          </w:p>
        </w:tc>
        <w:tc>
          <w:tcPr>
            <w:tcW w:w="2834" w:type="dxa"/>
          </w:tcPr>
          <w:p w:rsidR="00BB11D1" w:rsidRDefault="00BB11D1" w:rsidP="00451448">
            <w:pPr>
              <w:pStyle w:val="TableParagraph"/>
              <w:spacing w:before="2" w:line="246" w:lineRule="exact"/>
              <w:ind w:left="1021" w:right="1012"/>
              <w:jc w:val="center"/>
            </w:pPr>
            <w:r>
              <w:t>8.47%</w:t>
            </w:r>
          </w:p>
        </w:tc>
      </w:tr>
      <w:tr w:rsidR="00BB11D1" w:rsidTr="00451448">
        <w:trPr>
          <w:trHeight w:val="268"/>
        </w:trPr>
        <w:tc>
          <w:tcPr>
            <w:tcW w:w="3936" w:type="dxa"/>
          </w:tcPr>
          <w:p w:rsidR="00BB11D1" w:rsidRDefault="00BB11D1" w:rsidP="00451448">
            <w:pPr>
              <w:pStyle w:val="TableParagraph"/>
              <w:spacing w:before="2" w:line="246" w:lineRule="exact"/>
              <w:ind w:left="107"/>
            </w:pPr>
            <w:r>
              <w:t>Central bank credit (MRO rate)</w:t>
            </w:r>
          </w:p>
        </w:tc>
        <w:tc>
          <w:tcPr>
            <w:tcW w:w="2268" w:type="dxa"/>
          </w:tcPr>
          <w:p w:rsidR="00BB11D1" w:rsidRDefault="00BB11D1" w:rsidP="00451448">
            <w:pPr>
              <w:pStyle w:val="TableParagraph"/>
              <w:spacing w:before="2" w:line="246" w:lineRule="exact"/>
              <w:ind w:left="104" w:right="95"/>
              <w:jc w:val="center"/>
            </w:pPr>
            <w:r>
              <w:rPr>
                <w:w w:val="95"/>
              </w:rPr>
              <w:t>3%</w:t>
            </w:r>
          </w:p>
        </w:tc>
        <w:tc>
          <w:tcPr>
            <w:tcW w:w="2834" w:type="dxa"/>
          </w:tcPr>
          <w:p w:rsidR="00BB11D1" w:rsidRDefault="00BB11D1" w:rsidP="00451448">
            <w:pPr>
              <w:pStyle w:val="TableParagraph"/>
              <w:spacing w:before="2" w:line="246" w:lineRule="exact"/>
              <w:ind w:left="1021" w:right="1012"/>
              <w:jc w:val="center"/>
            </w:pPr>
            <w:r>
              <w:t>2.79%</w:t>
            </w:r>
          </w:p>
        </w:tc>
      </w:tr>
    </w:tbl>
    <w:p w:rsidR="000255A4" w:rsidRPr="00BB11D1" w:rsidRDefault="000255A4" w:rsidP="006A2441">
      <w:pPr>
        <w:pStyle w:val="BodyText"/>
        <w:bidi/>
        <w:spacing w:before="6"/>
        <w:rPr>
          <w:rFonts w:asciiTheme="majorBidi" w:hAnsiTheme="majorBidi" w:cstheme="majorBidi"/>
          <w:i/>
          <w:color w:val="FF0000"/>
          <w:sz w:val="23"/>
        </w:rPr>
      </w:pPr>
    </w:p>
    <w:p w:rsidR="000255A4" w:rsidRPr="00BB11D1" w:rsidRDefault="009C2E3C" w:rsidP="00BB11D1">
      <w:pPr>
        <w:bidi/>
        <w:spacing w:after="14"/>
        <w:ind w:left="249"/>
        <w:jc w:val="both"/>
        <w:rPr>
          <w:rFonts w:asciiTheme="majorBidi" w:hAnsiTheme="majorBidi" w:cstheme="majorBidi"/>
          <w:i/>
        </w:rPr>
      </w:pPr>
      <w:r w:rsidRPr="00BB11D1">
        <w:rPr>
          <w:rFonts w:asciiTheme="majorBidi" w:hAnsiTheme="majorBidi" w:cstheme="majorBidi"/>
          <w:i/>
          <w:iCs/>
          <w:w w:val="95"/>
          <w:rtl/>
          <w:lang w:bidi="ar-SA"/>
        </w:rPr>
        <w:t>الجدول</w:t>
      </w:r>
      <w:r w:rsidRPr="00BB11D1">
        <w:rPr>
          <w:rFonts w:asciiTheme="majorBidi" w:hAnsiTheme="majorBidi" w:cstheme="majorBidi"/>
          <w:i/>
          <w:w w:val="95"/>
        </w:rPr>
        <w:t xml:space="preserve"> </w:t>
      </w:r>
      <w:r w:rsidR="00BB11D1" w:rsidRPr="00BB11D1">
        <w:rPr>
          <w:rFonts w:asciiTheme="majorBidi" w:hAnsiTheme="majorBidi" w:cstheme="majorBidi" w:hint="cs"/>
          <w:i/>
          <w:w w:val="95"/>
          <w:rtl/>
          <w:lang w:bidi="ar-LB"/>
        </w:rPr>
        <w:t>2ب</w:t>
      </w:r>
      <w:r w:rsidRPr="00BB11D1">
        <w:rPr>
          <w:rFonts w:asciiTheme="majorBidi" w:hAnsiTheme="majorBidi" w:cstheme="majorBidi"/>
          <w:i/>
          <w:w w:val="95"/>
        </w:rPr>
        <w:t xml:space="preserve">: </w:t>
      </w:r>
      <w:r w:rsidR="00BB11D1" w:rsidRPr="00BB11D1">
        <w:rPr>
          <w:rFonts w:asciiTheme="majorBidi" w:hAnsiTheme="majorBidi" w:cstheme="majorBidi" w:hint="cs"/>
          <w:i/>
          <w:w w:val="95"/>
          <w:rtl/>
          <w:lang w:bidi="ar-LB"/>
        </w:rPr>
        <w:t xml:space="preserve"> </w:t>
      </w:r>
      <w:r w:rsidRPr="00BB11D1">
        <w:rPr>
          <w:rFonts w:asciiTheme="majorBidi" w:hAnsiTheme="majorBidi" w:cstheme="majorBidi"/>
          <w:i/>
          <w:iCs/>
          <w:w w:val="95"/>
          <w:rtl/>
          <w:lang w:bidi="ar-SA"/>
        </w:rPr>
        <w:t>تكاليف</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التمويل</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المصرفي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منطقة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اليورو</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عبر</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أدوات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مختلفة،</w:t>
      </w:r>
      <w:r w:rsidRPr="00BB11D1">
        <w:rPr>
          <w:rFonts w:asciiTheme="majorBidi" w:hAnsiTheme="majorBidi" w:cstheme="majorBidi"/>
          <w:i/>
          <w:w w:val="95"/>
        </w:rPr>
        <w:t xml:space="preserve"> 2009-2018</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2268"/>
        <w:gridCol w:w="2834"/>
      </w:tblGrid>
      <w:tr w:rsidR="00BB11D1" w:rsidTr="00451448">
        <w:trPr>
          <w:trHeight w:val="268"/>
        </w:trPr>
        <w:tc>
          <w:tcPr>
            <w:tcW w:w="3936" w:type="dxa"/>
          </w:tcPr>
          <w:p w:rsidR="00BB11D1" w:rsidRDefault="00BB11D1" w:rsidP="00451448">
            <w:pPr>
              <w:pStyle w:val="TableParagraph"/>
              <w:rPr>
                <w:rFonts w:ascii="Times New Roman"/>
                <w:sz w:val="18"/>
              </w:rPr>
            </w:pPr>
          </w:p>
        </w:tc>
        <w:tc>
          <w:tcPr>
            <w:tcW w:w="2268" w:type="dxa"/>
          </w:tcPr>
          <w:p w:rsidR="00BB11D1" w:rsidRDefault="00BB11D1" w:rsidP="00451448">
            <w:pPr>
              <w:pStyle w:val="TableParagraph"/>
              <w:spacing w:before="2" w:line="246" w:lineRule="exact"/>
              <w:ind w:right="95"/>
              <w:jc w:val="center"/>
            </w:pPr>
            <w:r>
              <w:t>Share in bank funding</w:t>
            </w:r>
          </w:p>
        </w:tc>
        <w:tc>
          <w:tcPr>
            <w:tcW w:w="2834" w:type="dxa"/>
          </w:tcPr>
          <w:p w:rsidR="00BB11D1" w:rsidRDefault="00BB11D1" w:rsidP="00451448">
            <w:pPr>
              <w:pStyle w:val="TableParagraph"/>
              <w:spacing w:before="2" w:line="246" w:lineRule="exact"/>
              <w:ind w:left="107"/>
            </w:pPr>
            <w:r>
              <w:t>Average interest rate</w:t>
            </w:r>
          </w:p>
        </w:tc>
      </w:tr>
      <w:tr w:rsidR="00BB11D1" w:rsidTr="00451448">
        <w:trPr>
          <w:trHeight w:val="268"/>
        </w:trPr>
        <w:tc>
          <w:tcPr>
            <w:tcW w:w="3936" w:type="dxa"/>
          </w:tcPr>
          <w:p w:rsidR="00BB11D1" w:rsidRDefault="00BB11D1" w:rsidP="00451448">
            <w:pPr>
              <w:pStyle w:val="TableParagraph"/>
              <w:spacing w:before="2" w:line="246" w:lineRule="exact"/>
              <w:ind w:left="107"/>
            </w:pPr>
            <w:r>
              <w:t>Deposits (in M3)</w:t>
            </w:r>
          </w:p>
        </w:tc>
        <w:tc>
          <w:tcPr>
            <w:tcW w:w="2268" w:type="dxa"/>
          </w:tcPr>
          <w:p w:rsidR="00BB11D1" w:rsidRDefault="00BB11D1" w:rsidP="00451448">
            <w:pPr>
              <w:pStyle w:val="TableParagraph"/>
              <w:spacing w:before="2" w:line="246" w:lineRule="exact"/>
              <w:ind w:left="102" w:right="95"/>
              <w:jc w:val="center"/>
            </w:pPr>
            <w:r>
              <w:rPr>
                <w:w w:val="95"/>
              </w:rPr>
              <w:t>47%</w:t>
            </w:r>
          </w:p>
        </w:tc>
        <w:tc>
          <w:tcPr>
            <w:tcW w:w="2834" w:type="dxa"/>
          </w:tcPr>
          <w:p w:rsidR="00BB11D1" w:rsidRDefault="00BB11D1" w:rsidP="00451448">
            <w:pPr>
              <w:pStyle w:val="TableParagraph"/>
              <w:spacing w:before="2" w:line="246" w:lineRule="exact"/>
              <w:ind w:left="1021" w:right="1012"/>
              <w:jc w:val="center"/>
            </w:pPr>
            <w:r>
              <w:t>0.78%</w:t>
            </w:r>
          </w:p>
        </w:tc>
      </w:tr>
      <w:tr w:rsidR="00BB11D1" w:rsidTr="00451448">
        <w:trPr>
          <w:trHeight w:val="268"/>
        </w:trPr>
        <w:tc>
          <w:tcPr>
            <w:tcW w:w="3936" w:type="dxa"/>
          </w:tcPr>
          <w:p w:rsidR="00BB11D1" w:rsidRDefault="00BB11D1" w:rsidP="00451448">
            <w:pPr>
              <w:pStyle w:val="TableParagraph"/>
              <w:spacing w:before="2" w:line="246" w:lineRule="exact"/>
              <w:ind w:left="107"/>
            </w:pPr>
            <w:r>
              <w:t>Other deposits</w:t>
            </w:r>
          </w:p>
        </w:tc>
        <w:tc>
          <w:tcPr>
            <w:tcW w:w="2268" w:type="dxa"/>
          </w:tcPr>
          <w:p w:rsidR="00BB11D1" w:rsidRDefault="00BB11D1" w:rsidP="00451448">
            <w:pPr>
              <w:pStyle w:val="TableParagraph"/>
              <w:spacing w:before="2" w:line="246" w:lineRule="exact"/>
              <w:ind w:left="102" w:right="95"/>
              <w:jc w:val="center"/>
            </w:pPr>
            <w:r>
              <w:rPr>
                <w:w w:val="95"/>
              </w:rPr>
              <w:t>14%</w:t>
            </w:r>
          </w:p>
        </w:tc>
        <w:tc>
          <w:tcPr>
            <w:tcW w:w="2834" w:type="dxa"/>
          </w:tcPr>
          <w:p w:rsidR="00BB11D1" w:rsidRDefault="00BB11D1" w:rsidP="00451448">
            <w:pPr>
              <w:pStyle w:val="TableParagraph"/>
              <w:spacing w:before="2" w:line="246" w:lineRule="exact"/>
              <w:ind w:left="1021" w:right="1012"/>
              <w:jc w:val="center"/>
            </w:pPr>
            <w:r>
              <w:t>2.39%</w:t>
            </w:r>
          </w:p>
        </w:tc>
      </w:tr>
      <w:tr w:rsidR="00BB11D1" w:rsidTr="00451448">
        <w:trPr>
          <w:trHeight w:val="268"/>
        </w:trPr>
        <w:tc>
          <w:tcPr>
            <w:tcW w:w="3936" w:type="dxa"/>
          </w:tcPr>
          <w:p w:rsidR="00BB11D1" w:rsidRDefault="00BB11D1" w:rsidP="00451448">
            <w:pPr>
              <w:pStyle w:val="TableParagraph"/>
              <w:spacing w:before="2" w:line="246" w:lineRule="exact"/>
              <w:ind w:left="107"/>
            </w:pPr>
            <w:r>
              <w:t>Bonds issued</w:t>
            </w:r>
          </w:p>
        </w:tc>
        <w:tc>
          <w:tcPr>
            <w:tcW w:w="2268" w:type="dxa"/>
          </w:tcPr>
          <w:p w:rsidR="00BB11D1" w:rsidRDefault="00BB11D1" w:rsidP="00451448">
            <w:pPr>
              <w:pStyle w:val="TableParagraph"/>
              <w:spacing w:before="2" w:line="246" w:lineRule="exact"/>
              <w:ind w:left="102" w:right="95"/>
              <w:jc w:val="center"/>
            </w:pPr>
            <w:r>
              <w:rPr>
                <w:w w:val="95"/>
              </w:rPr>
              <w:t>23%</w:t>
            </w:r>
          </w:p>
        </w:tc>
        <w:tc>
          <w:tcPr>
            <w:tcW w:w="2834" w:type="dxa"/>
          </w:tcPr>
          <w:p w:rsidR="00BB11D1" w:rsidRDefault="00BB11D1" w:rsidP="00451448">
            <w:pPr>
              <w:pStyle w:val="TableParagraph"/>
              <w:spacing w:before="2" w:line="246" w:lineRule="exact"/>
              <w:ind w:left="1021" w:right="1012"/>
              <w:jc w:val="center"/>
            </w:pPr>
            <w:r>
              <w:t>2.15%</w:t>
            </w:r>
          </w:p>
        </w:tc>
      </w:tr>
      <w:tr w:rsidR="00BB11D1" w:rsidTr="00451448">
        <w:trPr>
          <w:trHeight w:val="268"/>
        </w:trPr>
        <w:tc>
          <w:tcPr>
            <w:tcW w:w="3936" w:type="dxa"/>
          </w:tcPr>
          <w:p w:rsidR="00BB11D1" w:rsidRDefault="00BB11D1" w:rsidP="00451448">
            <w:pPr>
              <w:pStyle w:val="TableParagraph"/>
              <w:spacing w:before="2" w:line="246" w:lineRule="exact"/>
              <w:ind w:left="107"/>
            </w:pPr>
            <w:r>
              <w:t>Equity issued</w:t>
            </w:r>
          </w:p>
        </w:tc>
        <w:tc>
          <w:tcPr>
            <w:tcW w:w="2268" w:type="dxa"/>
          </w:tcPr>
          <w:p w:rsidR="00BB11D1" w:rsidRDefault="00BB11D1" w:rsidP="00451448">
            <w:pPr>
              <w:pStyle w:val="TableParagraph"/>
              <w:spacing w:before="2" w:line="246" w:lineRule="exact"/>
              <w:ind w:left="102" w:right="95"/>
              <w:jc w:val="center"/>
            </w:pPr>
            <w:r>
              <w:rPr>
                <w:w w:val="95"/>
              </w:rPr>
              <w:t>12%</w:t>
            </w:r>
          </w:p>
        </w:tc>
        <w:tc>
          <w:tcPr>
            <w:tcW w:w="2834" w:type="dxa"/>
          </w:tcPr>
          <w:p w:rsidR="00BB11D1" w:rsidRDefault="00BB11D1" w:rsidP="00451448">
            <w:pPr>
              <w:pStyle w:val="TableParagraph"/>
              <w:spacing w:before="2" w:line="246" w:lineRule="exact"/>
              <w:ind w:left="1024" w:right="1012"/>
              <w:jc w:val="center"/>
            </w:pPr>
            <w:r>
              <w:t>10.54%</w:t>
            </w:r>
          </w:p>
        </w:tc>
      </w:tr>
      <w:tr w:rsidR="00BB11D1" w:rsidTr="00451448">
        <w:trPr>
          <w:trHeight w:val="268"/>
        </w:trPr>
        <w:tc>
          <w:tcPr>
            <w:tcW w:w="3936" w:type="dxa"/>
          </w:tcPr>
          <w:p w:rsidR="00BB11D1" w:rsidRDefault="00BB11D1" w:rsidP="00451448">
            <w:pPr>
              <w:pStyle w:val="TableParagraph"/>
              <w:spacing w:before="2" w:line="246" w:lineRule="exact"/>
              <w:ind w:left="107"/>
            </w:pPr>
            <w:r>
              <w:t>Central bank credit (MRO rate)</w:t>
            </w:r>
          </w:p>
        </w:tc>
        <w:tc>
          <w:tcPr>
            <w:tcW w:w="2268" w:type="dxa"/>
          </w:tcPr>
          <w:p w:rsidR="00BB11D1" w:rsidRDefault="00BB11D1" w:rsidP="00451448">
            <w:pPr>
              <w:pStyle w:val="TableParagraph"/>
              <w:spacing w:before="2" w:line="246" w:lineRule="exact"/>
              <w:ind w:left="104" w:right="95"/>
              <w:jc w:val="center"/>
            </w:pPr>
            <w:r>
              <w:rPr>
                <w:w w:val="95"/>
              </w:rPr>
              <w:t>4%</w:t>
            </w:r>
          </w:p>
        </w:tc>
        <w:tc>
          <w:tcPr>
            <w:tcW w:w="2834" w:type="dxa"/>
          </w:tcPr>
          <w:p w:rsidR="00BB11D1" w:rsidRDefault="00BB11D1" w:rsidP="00451448">
            <w:pPr>
              <w:pStyle w:val="TableParagraph"/>
              <w:spacing w:before="2" w:line="246" w:lineRule="exact"/>
              <w:ind w:left="1021" w:right="1012"/>
              <w:jc w:val="center"/>
            </w:pPr>
            <w:r>
              <w:t>0.50%</w:t>
            </w:r>
          </w:p>
        </w:tc>
      </w:tr>
    </w:tbl>
    <w:p w:rsidR="000255A4" w:rsidRPr="00BB11D1" w:rsidRDefault="000255A4" w:rsidP="006A2441">
      <w:pPr>
        <w:pStyle w:val="BodyText"/>
        <w:bidi/>
        <w:spacing w:before="6"/>
        <w:rPr>
          <w:rFonts w:asciiTheme="majorBidi" w:hAnsiTheme="majorBidi" w:cstheme="majorBidi"/>
          <w:i/>
          <w:sz w:val="23"/>
        </w:rPr>
      </w:pPr>
    </w:p>
    <w:p w:rsidR="006A2441" w:rsidRPr="00BB11D1" w:rsidRDefault="006A2441" w:rsidP="00BB11D1">
      <w:pPr>
        <w:pStyle w:val="BodyText"/>
        <w:bidi/>
        <w:spacing w:before="7"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وجاءت أكبر حصة في التمويل المصرفي من الودائع ذات أجل الاستحقاق المتبقي لمدة تقل عن سنتين ويمكن استردادها في غضون ثلاثة أشهر أو أقل ، أي أنواع الودائع الواردة في إجمالي النقد </w:t>
      </w:r>
      <w:r w:rsidRPr="00BB11D1">
        <w:rPr>
          <w:rFonts w:asciiTheme="majorBidi" w:hAnsiTheme="majorBidi" w:cstheme="majorBidi"/>
        </w:rPr>
        <w:t>M3</w:t>
      </w:r>
      <w:r w:rsidRPr="00BB11D1">
        <w:rPr>
          <w:rFonts w:asciiTheme="majorBidi" w:hAnsiTheme="majorBidi" w:cstheme="majorBidi"/>
          <w:rtl/>
          <w:lang w:bidi="ar-SA"/>
        </w:rPr>
        <w:t>. هذا هو أيضا أرخص مصدر تمويل في الفترة الأولى ، بينما في الفترة الثانية ، يصبح تمويل البنك المركزي أرخص. في الواقع ، تساهم الودائع الليلية بنسبة 50-65 ٪ من هذه الودائع ، ولها معدل فائدة أقل بكثير. على سبيل المثال ، في كانون الأول (ديسمبر) 2005 ، كانت المكافآت على الودائع لليلة واحدة جديدة في المتوسط ​​عند 0.71٪ بينما كانت الودائع لأجل لمدة تصل إلى 2.15٪.</w:t>
      </w:r>
    </w:p>
    <w:p w:rsidR="000255A4" w:rsidRPr="00BB11D1" w:rsidRDefault="006A244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b/>
          <w:bCs/>
          <w:rtl/>
          <w:lang w:bidi="ar-SA"/>
        </w:rPr>
        <w:t xml:space="preserve">ماذا يحدث لإجمالي دخل البنك المركزي بسبب </w:t>
      </w:r>
      <w:r w:rsidRPr="00BB11D1">
        <w:rPr>
          <w:rFonts w:asciiTheme="majorBidi" w:hAnsiTheme="majorBidi" w:cstheme="majorBidi"/>
          <w:b/>
          <w:bCs/>
        </w:rPr>
        <w:t>CBDC2</w:t>
      </w:r>
      <w:r w:rsidRPr="00BB11D1">
        <w:rPr>
          <w:rFonts w:asciiTheme="majorBidi" w:hAnsiTheme="majorBidi" w:cstheme="majorBidi"/>
          <w:b/>
          <w:bCs/>
          <w:rtl/>
          <w:lang w:bidi="ar-SA"/>
        </w:rPr>
        <w:t>؟</w:t>
      </w:r>
      <w:r w:rsidRPr="00BB11D1">
        <w:rPr>
          <w:rFonts w:asciiTheme="majorBidi" w:hAnsiTheme="majorBidi" w:cstheme="majorBidi"/>
          <w:rtl/>
          <w:lang w:bidi="ar-SA"/>
        </w:rPr>
        <w:t xml:space="preserve"> هناك تأثيران يعوضان بعضهما البعض جزئياً: زيادة القاعدة النقدية ، مقابل التخفيض المطلوب لأسعار الفائدة. على أي حال ، سيكون التأثير الصافي زيادة في دخل البنك المركزي وزيادة في إجمالي </w:t>
      </w:r>
      <w:r w:rsidRPr="00BB11D1">
        <w:rPr>
          <w:rFonts w:asciiTheme="majorBidi" w:hAnsiTheme="majorBidi" w:cstheme="majorBidi"/>
          <w:rtl/>
          <w:lang w:bidi="ar-SA"/>
        </w:rPr>
        <w:lastRenderedPageBreak/>
        <w:t>تكاليف التمويل المصرفي</w:t>
      </w:r>
      <w:r w:rsidR="00BB11D1">
        <w:rPr>
          <w:rStyle w:val="FootnoteReference"/>
          <w:rFonts w:asciiTheme="majorBidi" w:hAnsiTheme="majorBidi" w:cstheme="majorBidi"/>
          <w:rtl/>
          <w:lang w:bidi="ar-SA"/>
        </w:rPr>
        <w:footnoteReference w:id="5"/>
      </w:r>
      <w:r w:rsidRPr="00BB11D1">
        <w:rPr>
          <w:rFonts w:asciiTheme="majorBidi" w:hAnsiTheme="majorBidi" w:cstheme="majorBidi"/>
          <w:rtl/>
          <w:lang w:bidi="ar-SA"/>
        </w:rPr>
        <w:t xml:space="preserve">. على سبيل المثال ، افترض أن بيانات 2003-2008 تنطبق ، وأن 10 نقاط مئوية من الودائع </w:t>
      </w:r>
      <w:r w:rsidRPr="00BB11D1">
        <w:rPr>
          <w:rFonts w:asciiTheme="majorBidi" w:hAnsiTheme="majorBidi" w:cstheme="majorBidi"/>
        </w:rPr>
        <w:t>M3</w:t>
      </w:r>
      <w:r w:rsidRPr="00BB11D1">
        <w:rPr>
          <w:rFonts w:asciiTheme="majorBidi" w:hAnsiTheme="majorBidi" w:cstheme="majorBidi"/>
          <w:rtl/>
          <w:lang w:bidi="ar-SA"/>
        </w:rPr>
        <w:t xml:space="preserve"> للبنوك بديلاً عن </w:t>
      </w:r>
      <w:r w:rsidRPr="00BB11D1">
        <w:rPr>
          <w:rFonts w:asciiTheme="majorBidi" w:hAnsiTheme="majorBidi" w:cstheme="majorBidi"/>
        </w:rPr>
        <w:t>CBDC2</w:t>
      </w:r>
      <w:r w:rsidRPr="00BB11D1">
        <w:rPr>
          <w:rFonts w:asciiTheme="majorBidi" w:hAnsiTheme="majorBidi" w:cstheme="majorBidi"/>
          <w:rtl/>
          <w:lang w:bidi="ar-SA"/>
        </w:rPr>
        <w:t xml:space="preserve"> ، وأن </w:t>
      </w:r>
      <w:r w:rsidRPr="00BB11D1">
        <w:rPr>
          <w:rFonts w:asciiTheme="majorBidi" w:hAnsiTheme="majorBidi" w:cstheme="majorBidi"/>
        </w:rPr>
        <w:t>CBDC</w:t>
      </w:r>
      <w:r w:rsidRPr="00BB11D1">
        <w:rPr>
          <w:rFonts w:asciiTheme="majorBidi" w:hAnsiTheme="majorBidi" w:cstheme="majorBidi"/>
          <w:rtl/>
          <w:lang w:bidi="ar-SA"/>
        </w:rPr>
        <w:t xml:space="preserve"> لا يتقاضى أجرًا. إذا ظل كل شيء آخر على حاله ، فإن تكاليف تمويل البنوك تزيد بنسبة 0.1 * (2.79 ٪ -1.83 ٪) ، أي حوالي 10 نقاط أساس. إذا أراد البنك المركزي الحفاظ على الظروف المالية دون تغيير ، فإنه يحتاج الآن إلى خفض مستوى سعر الفائدة العام. إذا كان التمويل البنكي 50٪ من إجمالي تمويل الاقتصاد ، والباقي هو سوق رأس المال ، فسوف يتعين على البنك المركزي خفض مستوى سعر الفائدة بمقدار 5 نقاط أساس إذا كان يريد تحقيق متوسط ​​تكاليف تمويل الاقتصاد الحقيقي البقاء دون تغيير (وإذا كان أحد يتجاهل الآثار الثانوية). سيتطور دخل البنك المركزي على النحو التالي: 13 ٪ * 2.74 ٪ - 3 ٪ * 2.79 ٪ = 0.13 ٪ من طول الميزانية العمومية للبنوك. سيكون المودعون قد تخلىوا عن 10 ٪ * 1.83 ٪ من الدخل ، أي 0.18 ٪ من طول الميزانية العمومية للبنوك (وهو ما يفعلونه طواعية لأنه كان من المفترض أن يختاروا هذا التحول بدلاً من تفضيل </w:t>
      </w:r>
      <w:r w:rsidRPr="00BB11D1">
        <w:rPr>
          <w:rFonts w:asciiTheme="majorBidi" w:hAnsiTheme="majorBidi" w:cstheme="majorBidi"/>
        </w:rPr>
        <w:t>CBDC</w:t>
      </w:r>
      <w:r w:rsidRPr="00BB11D1">
        <w:rPr>
          <w:rFonts w:asciiTheme="majorBidi" w:hAnsiTheme="majorBidi" w:cstheme="majorBidi"/>
          <w:rtl/>
          <w:lang w:bidi="ar-SA"/>
        </w:rPr>
        <w:t>). سيزداد متوسط ​​تكاليف تمويل البنوك بمقدار 5 نقاط أساسية ، وستنخفض تكاليف تمويل سوق رأس المال بنفس المقدار ، مما يعني بعض الخسارة في القدرة التنافسية للخدمات المصرفية.</w:t>
      </w:r>
    </w:p>
    <w:p w:rsidR="006A2441" w:rsidRPr="00BB11D1" w:rsidRDefault="006A2441" w:rsidP="006A2441">
      <w:pPr>
        <w:pStyle w:val="BodyText"/>
        <w:bidi/>
        <w:spacing w:before="5" w:line="480" w:lineRule="auto"/>
        <w:rPr>
          <w:rFonts w:asciiTheme="majorBidi" w:eastAsia="Trebuchet MS" w:hAnsiTheme="majorBidi" w:cstheme="majorBidi"/>
          <w:b/>
          <w:bCs/>
        </w:rPr>
      </w:pPr>
      <w:r w:rsidRPr="00BB11D1">
        <w:rPr>
          <w:rFonts w:asciiTheme="majorBidi" w:eastAsia="Trebuchet MS" w:hAnsiTheme="majorBidi" w:cstheme="majorBidi"/>
          <w:b/>
          <w:bCs/>
          <w:rtl/>
          <w:lang w:bidi="ar-SA"/>
        </w:rPr>
        <w:t>زيادة اعتماد البنوك على ائتمان البنك المركزي ، والقيود الجانبية ، والمركزية الائتمانية؟</w:t>
      </w:r>
    </w:p>
    <w:p w:rsidR="000255A4" w:rsidRPr="00BB11D1" w:rsidRDefault="006A2441" w:rsidP="006A2441">
      <w:pPr>
        <w:pStyle w:val="BodyText"/>
        <w:bidi/>
        <w:spacing w:before="5" w:line="480" w:lineRule="auto"/>
        <w:jc w:val="both"/>
        <w:rPr>
          <w:rFonts w:asciiTheme="majorBidi" w:eastAsia="Trebuchet MS" w:hAnsiTheme="majorBidi" w:cstheme="majorBidi"/>
          <w:rtl/>
          <w:lang w:bidi="ar-SA"/>
        </w:rPr>
      </w:pPr>
      <w:r w:rsidRPr="00BB11D1">
        <w:rPr>
          <w:rFonts w:asciiTheme="majorBidi" w:eastAsia="Trebuchet MS" w:hAnsiTheme="majorBidi" w:cstheme="majorBidi"/>
          <w:rtl/>
          <w:lang w:bidi="ar-SA"/>
        </w:rPr>
        <w:t xml:space="preserve">إلى أي مدى يمكن أن تقوض </w:t>
      </w:r>
      <w:r w:rsidRPr="00BB11D1">
        <w:rPr>
          <w:rFonts w:asciiTheme="majorBidi" w:eastAsia="Trebuchet MS" w:hAnsiTheme="majorBidi" w:cstheme="majorBidi"/>
        </w:rPr>
        <w:t>CBDC</w:t>
      </w:r>
      <w:r w:rsidRPr="00BB11D1">
        <w:rPr>
          <w:rFonts w:asciiTheme="majorBidi" w:eastAsia="Trebuchet MS" w:hAnsiTheme="majorBidi" w:cstheme="majorBidi"/>
          <w:rtl/>
          <w:lang w:bidi="ar-SA"/>
        </w:rPr>
        <w:t xml:space="preserve"> التمويل اللامركزي القائم على السوق للاقتصاد الحقيقي من خلال زيادة الميزانية العمومية للبنك المركزي على نطاق واسع ، وبالتالي القيام بذلك ، إما عن طريق زيادة حيازات الأوراق المالية في البنك المركزي ، أو عن طريق زيادة تمويل البنوك من خلال ائتمان البنك المركزي ، عنصر مهم (ولكن يحتمل أن يكون غير فعال) في عملية تخصيص الائتمان؟ يمكن أن تكون التزامات الدولة عبارة عن مخازن ذات قيمة للأسر المعيشية ، خاصةً إذا تمت مطابقتها ، في ميزانية الدولة ، بأصول حقيقية تملكها الدولة. ومع ذلك ، ربما لن ترغب الدولة في أن تصبح وسيطًا ماليًا لمدخرات الأسر ، وهذا سيحدث إذا عادت الدولة المستثمرة من إصدار ديون للأسر في شكل أصول مالية ، أو في شكل أصول حقيقية غير مرتبطة بالدولة المهام ، فقط من أجل أو إعادة الاستثمار. قد يتم تطبيق هذا المنطق أيضًا على البنوك المركزية بطريقة مختلفة نوعًا ما حيث تبدأ البنوك المركزية من جانب المسؤولية: إلى الحد الذي تصدر فيه وسائل الدفع ، فإنها تحتاج إلى إعادة استثمار العائدات من فعلها. ومع ذلك ، ربما لا يرغب البنك المركزي في أن تصبح أموال البنك المركزي متاجرة ذات قيمة كبيرة ، أي وسيلة استثمار ، لأن هذا قد يعني أن البنك المركزي سيصبح وسيطًا ماليًا. بالانتقال إلى جانب الأصول في الميزانية العمومية للبنك المركزي ، قد يلاحظ المرء وجهات نظر مختلفة للبنوك المركزية حول ما هو أفضل تطابق مع التزاماته النقدية: قام بنك الاحتياطي الفيدرالي وبنك إنجلترا باستثمار العائدات من إصدار الأوراق النقدية بشكل منهجي في ورقة حكومية . وعلى النقيض من ذلك ، اعتبر بنك </w:t>
      </w:r>
      <w:r w:rsidRPr="00BB11D1">
        <w:rPr>
          <w:rFonts w:asciiTheme="majorBidi" w:eastAsia="Trebuchet MS" w:hAnsiTheme="majorBidi" w:cstheme="majorBidi"/>
        </w:rPr>
        <w:t>Deutsche Bundesbank</w:t>
      </w:r>
      <w:r w:rsidRPr="00BB11D1">
        <w:rPr>
          <w:rFonts w:asciiTheme="majorBidi" w:eastAsia="Trebuchet MS" w:hAnsiTheme="majorBidi" w:cstheme="majorBidi"/>
          <w:rtl/>
          <w:lang w:bidi="ar-SA"/>
        </w:rPr>
        <w:t xml:space="preserve"> تعرضات البنك المركزي للحكومة على أنها مشكلة إشكالية وبالتالي يفضل الأصول في شكل قروض للبنوك المضمونة بأوراق مالية عالية الجودة أو سندات صرف.</w:t>
      </w:r>
    </w:p>
    <w:p w:rsidR="000255A4" w:rsidRPr="00BB11D1" w:rsidRDefault="006A2441" w:rsidP="00BB11D1">
      <w:pPr>
        <w:pStyle w:val="BodyText"/>
        <w:bidi/>
        <w:spacing w:before="5" w:line="480" w:lineRule="auto"/>
        <w:jc w:val="both"/>
        <w:rPr>
          <w:rFonts w:asciiTheme="majorBidi" w:hAnsiTheme="majorBidi" w:cstheme="majorBidi"/>
          <w:sz w:val="21"/>
        </w:rPr>
      </w:pPr>
      <w:r w:rsidRPr="00BB11D1">
        <w:rPr>
          <w:rFonts w:asciiTheme="majorBidi" w:hAnsiTheme="majorBidi" w:cstheme="majorBidi"/>
          <w:sz w:val="21"/>
          <w:rtl/>
          <w:lang w:bidi="ar-LB"/>
        </w:rPr>
        <w:t xml:space="preserve">في ضوء المستويات المعلقة للديون الحكومية في الاقتصادات المتقدمة (نهاية مستويات 2018 لمنطقة اليورو والمملكة المتحدة حوالي 85 ٪ ، الولايات المتحدة حوالي 105 ٪ ، اليابان حوالي 235 ٪) ، ومستوى الأوراق النقدية المتداولة أقل بكثير حتى الآن ( حوالي </w:t>
      </w:r>
      <w:r w:rsidRPr="00BB11D1">
        <w:rPr>
          <w:rFonts w:asciiTheme="majorBidi" w:hAnsiTheme="majorBidi" w:cstheme="majorBidi"/>
          <w:sz w:val="21"/>
          <w:rtl/>
          <w:lang w:bidi="ar-LB"/>
        </w:rPr>
        <w:lastRenderedPageBreak/>
        <w:t xml:space="preserve">10 ٪ من الناتج المحلي الإجمالي للاقتصادات المتقدمة ، و 8 ٪ للاقتصادات الناشئة ، انظر على سبيل المثال بنك </w:t>
      </w:r>
      <w:r w:rsidRPr="00BB11D1">
        <w:rPr>
          <w:rFonts w:asciiTheme="majorBidi" w:hAnsiTheme="majorBidi" w:cstheme="majorBidi"/>
          <w:sz w:val="21"/>
          <w:lang w:bidi="ar-LB"/>
        </w:rPr>
        <w:t xml:space="preserve">Riksbank </w:t>
      </w:r>
      <w:r w:rsidRPr="00BB11D1">
        <w:rPr>
          <w:rFonts w:asciiTheme="majorBidi" w:hAnsiTheme="majorBidi" w:cstheme="majorBidi"/>
          <w:sz w:val="21"/>
          <w:rtl/>
          <w:lang w:bidi="ar-LB"/>
        </w:rPr>
        <w:t xml:space="preserve">، </w:t>
      </w:r>
      <w:r w:rsidRPr="00BB11D1">
        <w:rPr>
          <w:rFonts w:asciiTheme="majorBidi" w:hAnsiTheme="majorBidi" w:cstheme="majorBidi"/>
          <w:sz w:val="21"/>
          <w:lang w:bidi="ar-LB"/>
        </w:rPr>
        <w:t xml:space="preserve">2018 </w:t>
      </w:r>
      <w:r w:rsidRPr="00BB11D1">
        <w:rPr>
          <w:rFonts w:asciiTheme="majorBidi" w:hAnsiTheme="majorBidi" w:cstheme="majorBidi"/>
          <w:sz w:val="21"/>
          <w:rtl/>
          <w:lang w:bidi="ar-LB"/>
        </w:rPr>
        <w:t xml:space="preserve">، </w:t>
      </w:r>
      <w:r w:rsidRPr="00BB11D1">
        <w:rPr>
          <w:rFonts w:asciiTheme="majorBidi" w:hAnsiTheme="majorBidi" w:cstheme="majorBidi"/>
          <w:sz w:val="21"/>
          <w:lang w:bidi="ar-LB"/>
        </w:rPr>
        <w:t>6</w:t>
      </w:r>
      <w:r w:rsidRPr="00BB11D1">
        <w:rPr>
          <w:rFonts w:asciiTheme="majorBidi" w:hAnsiTheme="majorBidi" w:cstheme="majorBidi"/>
          <w:sz w:val="21"/>
          <w:rtl/>
          <w:lang w:bidi="ar-LB"/>
        </w:rPr>
        <w:t xml:space="preserve">) ، يبدو أنه سيكون هناك مجال لمقابلة </w:t>
      </w:r>
      <w:r w:rsidRPr="00BB11D1">
        <w:rPr>
          <w:rFonts w:asciiTheme="majorBidi" w:hAnsiTheme="majorBidi" w:cstheme="majorBidi"/>
          <w:sz w:val="21"/>
          <w:lang w:bidi="ar-LB"/>
        </w:rPr>
        <w:t>CBDC2</w:t>
      </w:r>
      <w:r w:rsidRPr="00BB11D1">
        <w:rPr>
          <w:rFonts w:asciiTheme="majorBidi" w:hAnsiTheme="majorBidi" w:cstheme="majorBidi"/>
          <w:sz w:val="21"/>
          <w:rtl/>
          <w:lang w:bidi="ar-LB"/>
        </w:rPr>
        <w:t xml:space="preserve"> على جانب أصول البنك المركزي مع حيازات أعلى من السندات الحكومية ، بحيث لا تحتاج (1) زيادة اعتماد البنوك على ائتمان البنك </w:t>
      </w:r>
      <w:bookmarkStart w:id="9" w:name="3_Bank_runs_into_CBDC"/>
      <w:bookmarkEnd w:id="9"/>
      <w:r w:rsidRPr="00BB11D1">
        <w:rPr>
          <w:rFonts w:asciiTheme="majorBidi" w:hAnsiTheme="majorBidi" w:cstheme="majorBidi"/>
          <w:rtl/>
          <w:lang w:bidi="ar-SA"/>
        </w:rPr>
        <w:t xml:space="preserve">المركزي ، أو (2) هل سيتعين على البنك المركزي الاحتفاظ بمحفظة مكثفة من مخاطر الائتمان في الأوراق المالية. على أي حال ، تمتلك البنوك المركزية في المملكة المتحدة واليابان ومنطقة اليورو حاليًا على الأقل محافظ كبيرة متعلقة بالتسهيلات الكمية والتي خلقت كميات كبيرة من الاحتياطيات الزائدة للبنوك ، مما يوفر مجالًا ل </w:t>
      </w:r>
      <w:r w:rsidRPr="00BB11D1">
        <w:rPr>
          <w:rFonts w:asciiTheme="majorBidi" w:hAnsiTheme="majorBidi" w:cstheme="majorBidi"/>
        </w:rPr>
        <w:t>CBDC2</w:t>
      </w:r>
      <w:r w:rsidRPr="00BB11D1">
        <w:rPr>
          <w:rFonts w:asciiTheme="majorBidi" w:hAnsiTheme="majorBidi" w:cstheme="majorBidi"/>
          <w:rtl/>
          <w:lang w:bidi="ar-SA"/>
        </w:rPr>
        <w:t xml:space="preserve"> بحجم الأوراق النقدية المتداولة على الأقل قبل ستظهر ندرة الاحتياطيات (دون أي عمليات شراء أخرى للسندات الحكومية). علاوة على ذلك ، بمجرد استنفاد إمكانية مطابقة </w:t>
      </w:r>
      <w:r w:rsidRPr="00BB11D1">
        <w:rPr>
          <w:rFonts w:asciiTheme="majorBidi" w:hAnsiTheme="majorBidi" w:cstheme="majorBidi"/>
        </w:rPr>
        <w:t>CBDC</w:t>
      </w:r>
      <w:r w:rsidRPr="00BB11D1">
        <w:rPr>
          <w:rFonts w:asciiTheme="majorBidi" w:hAnsiTheme="majorBidi" w:cstheme="majorBidi"/>
          <w:rtl/>
          <w:lang w:bidi="ar-SA"/>
        </w:rPr>
        <w:t xml:space="preserve"> مع التعرضات الحكومية ، لا يزال بإمكان البنك المركزي أن يحاول تقليل تأثير إطالة الميزانية العمومية للبنك المركزي على عملية تخصيص الائتمان من خلال استهداف التعرض المتنوع للقطاع الخاص ( على سبيل المثال ، الحيازات الصريحة لمختلف أنواع الأوراق المالية والمصدرين بما يتناسب مع القيمة السوقية ؛ وعمليات الائتمان مع البنوك مقابل مجموعة ضمانات واسعة).</w:t>
      </w:r>
    </w:p>
    <w:p w:rsidR="006A2441" w:rsidRPr="00BB11D1" w:rsidRDefault="006A2441" w:rsidP="006A2441">
      <w:pPr>
        <w:pStyle w:val="BodyText"/>
        <w:bidi/>
        <w:spacing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في الوقت الحالي ، يمكن القول إن هناك مجالًا لـ </w:t>
      </w:r>
      <w:r w:rsidRPr="00BB11D1">
        <w:rPr>
          <w:rFonts w:asciiTheme="majorBidi" w:hAnsiTheme="majorBidi" w:cstheme="majorBidi"/>
        </w:rPr>
        <w:t>CBDC2</w:t>
      </w:r>
      <w:r w:rsidRPr="00BB11D1">
        <w:rPr>
          <w:rFonts w:asciiTheme="majorBidi" w:hAnsiTheme="majorBidi" w:cstheme="majorBidi"/>
          <w:rtl/>
          <w:lang w:bidi="ar-SA"/>
        </w:rPr>
        <w:t xml:space="preserve"> قبل أن تضطر البنوك المركزية إلى قبول تعرضات ائتمانية شديدة للقطاع الخاص ، وبالتالي تلعب دورًا محتملًا أكبر في تخصيص الائتمان للاقتصاد ، مما قد يؤدي إلى في نهاية المطاف يكون سلبيا لكفاءة الاقتصاد الكلي. فقط إذا أخذ </w:t>
      </w:r>
      <w:r w:rsidRPr="00BB11D1">
        <w:rPr>
          <w:rFonts w:asciiTheme="majorBidi" w:hAnsiTheme="majorBidi" w:cstheme="majorBidi"/>
        </w:rPr>
        <w:t>CBDC2</w:t>
      </w:r>
      <w:r w:rsidRPr="00BB11D1">
        <w:rPr>
          <w:rFonts w:asciiTheme="majorBidi" w:hAnsiTheme="majorBidi" w:cstheme="majorBidi"/>
          <w:rtl/>
          <w:lang w:bidi="ar-SA"/>
        </w:rPr>
        <w:t xml:space="preserve"> أبعادًا أكبر بكثير ، مثل ما يريده مروجو الأموال السيادية ، فستظهر مشكلة تتعلق بمركزية الائتمان. على سبيل المثال ، في الحسابات المالية لمنطقة اليورو ، كما هو مبين بطريقة مبسطة للغاية</w:t>
      </w:r>
      <w:r w:rsidR="00BB11D1">
        <w:rPr>
          <w:rFonts w:asciiTheme="majorBidi" w:hAnsiTheme="majorBidi" w:cstheme="majorBidi"/>
          <w:rtl/>
          <w:lang w:bidi="ar-SA"/>
        </w:rPr>
        <w:t xml:space="preserve"> في نظام الحسابات المالية أعلاه</w:t>
      </w:r>
      <w:r w:rsidRPr="00BB11D1">
        <w:rPr>
          <w:rFonts w:asciiTheme="majorBidi" w:hAnsiTheme="majorBidi" w:cstheme="majorBidi"/>
          <w:rtl/>
          <w:lang w:bidi="ar-SA"/>
        </w:rPr>
        <w:t xml:space="preserve">، فإن التحول الكامل لجميع الودائع تحت الطلب لدى البنوك إلى </w:t>
      </w:r>
      <w:r w:rsidRPr="00BB11D1">
        <w:rPr>
          <w:rFonts w:asciiTheme="majorBidi" w:hAnsiTheme="majorBidi" w:cstheme="majorBidi"/>
        </w:rPr>
        <w:t>CBDC2</w:t>
      </w:r>
      <w:r w:rsidRPr="00BB11D1">
        <w:rPr>
          <w:rFonts w:asciiTheme="majorBidi" w:hAnsiTheme="majorBidi" w:cstheme="majorBidi"/>
          <w:rtl/>
          <w:lang w:bidi="ar-SA"/>
        </w:rPr>
        <w:t xml:space="preserve"> (كما يتمنى ذلك من قبل مؤيدي الأموال السيادية) سيزيد من الحد الأدنى للميزانية العمومية البنك المركزي من 1 تريليون يورو إلى 8 تريليونات. حاليًا ، يحتفظ </w:t>
      </w:r>
      <w:r w:rsidRPr="00BB11D1">
        <w:rPr>
          <w:rFonts w:asciiTheme="majorBidi" w:hAnsiTheme="majorBidi" w:cstheme="majorBidi"/>
        </w:rPr>
        <w:t>Eurosystem</w:t>
      </w:r>
      <w:r w:rsidRPr="00BB11D1">
        <w:rPr>
          <w:rFonts w:asciiTheme="majorBidi" w:hAnsiTheme="majorBidi" w:cstheme="majorBidi"/>
          <w:rtl/>
          <w:lang w:bidi="ar-SA"/>
        </w:rPr>
        <w:t xml:space="preserve"> بمحفوظات للسياسة الخارجية لأكثر من 2.5 تريليون بالإضافة إلى الأوراق المالية الأخرى والاحتي</w:t>
      </w:r>
      <w:r w:rsidR="00BB11D1">
        <w:rPr>
          <w:rFonts w:asciiTheme="majorBidi" w:hAnsiTheme="majorBidi" w:cstheme="majorBidi"/>
          <w:rtl/>
          <w:lang w:bidi="ar-SA"/>
        </w:rPr>
        <w:t>اطيات الأجنبية بنحو 1.5 تريليون</w:t>
      </w:r>
      <w:r w:rsidRPr="00BB11D1">
        <w:rPr>
          <w:rFonts w:asciiTheme="majorBidi" w:hAnsiTheme="majorBidi" w:cstheme="majorBidi"/>
          <w:rtl/>
          <w:lang w:bidi="ar-SA"/>
        </w:rPr>
        <w:t xml:space="preserve">، مما يجعل ميزانيته الفعلية إلى 4 تريليونات يورو. لذلك ، فبدون مشتريات أوراق مالية إضافية ، سيتعين عليها تقديم ائتمان بقيمة 4 تريليونات يورو للبنوك (أي شيء آخر لم يتغير) ، أي 20٪ من ميزانيات البنوك. قد يجبر هذا البنك المركزي الأوروبي على إعادة النظر في إطار الضمان الخاص به ، مثل قبول بعض فئات الأصول التي لم يقبلها في السابق ، مثل حافظات قروض الرهن العقاري. إذا كانت نسبة اقتطاع القروض في حدود 30٪ ، فيجب أن تكون البنوك عادة قادرة على توفير ضمانات كافية لمبلغ ائتمان البنك المركزي المطلوب (حتى قبل أن تحاول العثور على مصادر تمويل أخرى ، مثل زيادة إصدار الأسهم أو السندات المصرفية للأسر ، وقبل أن يقوم البنك المركزي بزيادة محافظه المباشرة للأوراق المالية الحكومية). ومع ذلك ، يجب الاعتراف بأن تأثير ضمان البنك المركزي على أسعار الأصول (والعوائد) يميل إلى الاشتداد (انظر على سبيل المثال </w:t>
      </w:r>
      <w:r w:rsidRPr="00BB11D1">
        <w:rPr>
          <w:rFonts w:asciiTheme="majorBidi" w:hAnsiTheme="majorBidi" w:cstheme="majorBidi"/>
        </w:rPr>
        <w:t>Bindseil</w:t>
      </w:r>
      <w:r w:rsidRPr="00BB11D1">
        <w:rPr>
          <w:rFonts w:asciiTheme="majorBidi" w:hAnsiTheme="majorBidi" w:cstheme="majorBidi"/>
          <w:rtl/>
          <w:lang w:bidi="ar-SA"/>
        </w:rPr>
        <w:t xml:space="preserve"> ، و </w:t>
      </w:r>
      <w:r w:rsidRPr="00BB11D1">
        <w:rPr>
          <w:rFonts w:asciiTheme="majorBidi" w:hAnsiTheme="majorBidi" w:cstheme="majorBidi"/>
        </w:rPr>
        <w:t>Corsi</w:t>
      </w:r>
      <w:r w:rsidRPr="00BB11D1">
        <w:rPr>
          <w:rFonts w:asciiTheme="majorBidi" w:hAnsiTheme="majorBidi" w:cstheme="majorBidi"/>
          <w:rtl/>
          <w:lang w:bidi="ar-SA"/>
        </w:rPr>
        <w:t xml:space="preserve"> ، و </w:t>
      </w:r>
      <w:r w:rsidRPr="00BB11D1">
        <w:rPr>
          <w:rFonts w:asciiTheme="majorBidi" w:hAnsiTheme="majorBidi" w:cstheme="majorBidi"/>
        </w:rPr>
        <w:t>Sahel</w:t>
      </w:r>
      <w:r w:rsidRPr="00BB11D1">
        <w:rPr>
          <w:rFonts w:asciiTheme="majorBidi" w:hAnsiTheme="majorBidi" w:cstheme="majorBidi"/>
          <w:rtl/>
          <w:lang w:bidi="ar-SA"/>
        </w:rPr>
        <w:t xml:space="preserve">، و </w:t>
      </w:r>
      <w:r w:rsidRPr="00BB11D1">
        <w:rPr>
          <w:rFonts w:asciiTheme="majorBidi" w:hAnsiTheme="majorBidi" w:cstheme="majorBidi"/>
        </w:rPr>
        <w:t xml:space="preserve">Visser </w:t>
      </w:r>
      <w:r w:rsidRPr="00BB11D1">
        <w:rPr>
          <w:rFonts w:asciiTheme="majorBidi" w:hAnsiTheme="majorBidi" w:cstheme="majorBidi"/>
          <w:rtl/>
          <w:lang w:bidi="ar-SA"/>
        </w:rPr>
        <w:t xml:space="preserve">، </w:t>
      </w:r>
      <w:r w:rsidRPr="00BB11D1">
        <w:rPr>
          <w:rFonts w:asciiTheme="majorBidi" w:hAnsiTheme="majorBidi" w:cstheme="majorBidi"/>
        </w:rPr>
        <w:t>2016</w:t>
      </w:r>
      <w:r w:rsidRPr="00BB11D1">
        <w:rPr>
          <w:rFonts w:asciiTheme="majorBidi" w:hAnsiTheme="majorBidi" w:cstheme="majorBidi"/>
          <w:rtl/>
          <w:lang w:bidi="ar-SA"/>
        </w:rPr>
        <w:t xml:space="preserve"> ، و </w:t>
      </w:r>
      <w:r w:rsidRPr="00BB11D1">
        <w:rPr>
          <w:rFonts w:asciiTheme="majorBidi" w:hAnsiTheme="majorBidi" w:cstheme="majorBidi"/>
        </w:rPr>
        <w:t xml:space="preserve">Nyborg </w:t>
      </w:r>
      <w:r w:rsidRPr="00BB11D1">
        <w:rPr>
          <w:rFonts w:asciiTheme="majorBidi" w:hAnsiTheme="majorBidi" w:cstheme="majorBidi"/>
          <w:rtl/>
          <w:lang w:bidi="ar-SA"/>
        </w:rPr>
        <w:t xml:space="preserve">، </w:t>
      </w:r>
      <w:r w:rsidRPr="00BB11D1">
        <w:rPr>
          <w:rFonts w:asciiTheme="majorBidi" w:hAnsiTheme="majorBidi" w:cstheme="majorBidi"/>
        </w:rPr>
        <w:t>2016</w:t>
      </w:r>
      <w:r w:rsidRPr="00BB11D1">
        <w:rPr>
          <w:rFonts w:asciiTheme="majorBidi" w:hAnsiTheme="majorBidi" w:cstheme="majorBidi"/>
          <w:rtl/>
          <w:lang w:bidi="ar-SA"/>
        </w:rPr>
        <w:t xml:space="preserve"> ، لإجراء مناقشات حول كيفية تقديم الضمانات إطار البنك المركزي قد يؤثر على أسعار الأصول النسبية). ما لم يكن المرء مؤيدًا للمال السيادي ، فسيكون المرء مهتمًا بإيجاد حلول للتحكم الفعال في حجم </w:t>
      </w:r>
      <w:r w:rsidRPr="00BB11D1">
        <w:rPr>
          <w:rFonts w:asciiTheme="majorBidi" w:hAnsiTheme="majorBidi" w:cstheme="majorBidi"/>
        </w:rPr>
        <w:t>CBDC</w:t>
      </w:r>
      <w:r w:rsidRPr="00BB11D1">
        <w:rPr>
          <w:rFonts w:asciiTheme="majorBidi" w:hAnsiTheme="majorBidi" w:cstheme="majorBidi"/>
          <w:rtl/>
          <w:lang w:bidi="ar-SA"/>
        </w:rPr>
        <w:t xml:space="preserve"> ، للتأكد من أنه لن يؤدي إلى أي مركزية في عملية تخصيص الائتمان.</w:t>
      </w:r>
    </w:p>
    <w:p w:rsidR="000255A4"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أخيرًا ، كما لاحظ </w:t>
      </w:r>
      <w:r w:rsidRPr="00BB11D1">
        <w:rPr>
          <w:rFonts w:asciiTheme="majorBidi" w:hAnsiTheme="majorBidi" w:cstheme="majorBidi"/>
        </w:rPr>
        <w:t>Juks (2018</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84</w:t>
      </w:r>
      <w:r w:rsidRPr="00BB11D1">
        <w:rPr>
          <w:rFonts w:asciiTheme="majorBidi" w:hAnsiTheme="majorBidi" w:cstheme="majorBidi"/>
          <w:rtl/>
          <w:lang w:bidi="ar-SA"/>
        </w:rPr>
        <w:t xml:space="preserve">) ، فإن الانكماش الكبير في قاعدة ودائع البنوك واستبدال الالتزامات الأخرى سيكون له أيضًا </w:t>
      </w:r>
      <w:r w:rsidRPr="00BB11D1">
        <w:rPr>
          <w:rFonts w:asciiTheme="majorBidi" w:hAnsiTheme="majorBidi" w:cstheme="majorBidi"/>
          <w:rtl/>
          <w:lang w:bidi="ar-SA"/>
        </w:rPr>
        <w:lastRenderedPageBreak/>
        <w:t>آثار على قدرة البنوك على تلبية متطلبات السيولة التنظيمية. في الواقع ، يتم التعامل مع ودائع الأسر كفئة التزام مستقرة إلى حد ما في معظم اللوائح ، بحيث يميل تراجعها إلى زيادة صعوبة التزام البنوك وقد يتطلب الأمر المزيد من التعديلات المكلفة التي قد تجعل تحويل الاستحقاق أكثر تكلفة.</w:t>
      </w:r>
    </w:p>
    <w:p w:rsidR="006A2441" w:rsidRPr="00BB11D1" w:rsidRDefault="006A2441">
      <w:pPr>
        <w:rPr>
          <w:rFonts w:asciiTheme="majorBidi" w:hAnsiTheme="majorBidi" w:cstheme="majorBidi"/>
          <w:rtl/>
          <w:lang w:bidi="ar-LB"/>
        </w:rPr>
      </w:pPr>
      <w:r w:rsidRPr="00BB11D1">
        <w:rPr>
          <w:rFonts w:asciiTheme="majorBidi" w:hAnsiTheme="majorBidi" w:cstheme="majorBidi"/>
          <w:rtl/>
          <w:lang w:bidi="ar-LB"/>
        </w:rPr>
        <w:br w:type="page"/>
      </w:r>
    </w:p>
    <w:p w:rsidR="000255A4" w:rsidRPr="00BB11D1" w:rsidRDefault="000255A4" w:rsidP="006A2441">
      <w:pPr>
        <w:pStyle w:val="BodyText"/>
        <w:bidi/>
        <w:rPr>
          <w:rFonts w:asciiTheme="majorBidi" w:hAnsiTheme="majorBidi" w:cstheme="majorBidi"/>
        </w:rPr>
      </w:pPr>
    </w:p>
    <w:p w:rsidR="000255A4" w:rsidRPr="00BB11D1" w:rsidRDefault="000255A4" w:rsidP="006A2441">
      <w:pPr>
        <w:pStyle w:val="BodyText"/>
        <w:bidi/>
        <w:spacing w:before="8"/>
        <w:rPr>
          <w:rFonts w:asciiTheme="majorBidi" w:hAnsiTheme="majorBidi" w:cstheme="majorBidi"/>
          <w:sz w:val="21"/>
        </w:rPr>
      </w:pPr>
    </w:p>
    <w:p w:rsidR="000255A4" w:rsidRPr="00BB11D1" w:rsidRDefault="009C2E3C" w:rsidP="00BB11D1">
      <w:pPr>
        <w:pStyle w:val="Heading2"/>
        <w:numPr>
          <w:ilvl w:val="0"/>
          <w:numId w:val="13"/>
        </w:numPr>
        <w:tabs>
          <w:tab w:val="left" w:pos="529"/>
        </w:tabs>
        <w:bidi/>
        <w:spacing w:before="0" w:line="480" w:lineRule="auto"/>
        <w:ind w:hanging="280"/>
        <w:rPr>
          <w:rFonts w:asciiTheme="majorBidi" w:hAnsiTheme="majorBidi" w:cstheme="majorBidi"/>
        </w:rPr>
      </w:pPr>
      <w:r w:rsidRPr="00BB11D1">
        <w:rPr>
          <w:rFonts w:asciiTheme="majorBidi" w:hAnsiTheme="majorBidi" w:cstheme="majorBidi"/>
          <w:rtl/>
          <w:lang w:bidi="ar-SA"/>
        </w:rPr>
        <w:t>عمل</w:t>
      </w:r>
      <w:r w:rsidRPr="00BB11D1">
        <w:rPr>
          <w:rFonts w:asciiTheme="majorBidi" w:hAnsiTheme="majorBidi" w:cstheme="majorBidi"/>
        </w:rPr>
        <w:t xml:space="preserve"> </w:t>
      </w:r>
      <w:r w:rsidRPr="00BB11D1">
        <w:rPr>
          <w:rFonts w:asciiTheme="majorBidi" w:hAnsiTheme="majorBidi" w:cstheme="majorBidi"/>
          <w:rtl/>
          <w:lang w:bidi="ar-SA"/>
        </w:rPr>
        <w:t>البنك</w:t>
      </w:r>
      <w:r w:rsidRPr="00BB11D1">
        <w:rPr>
          <w:rFonts w:asciiTheme="majorBidi" w:hAnsiTheme="majorBidi" w:cstheme="majorBidi"/>
        </w:rPr>
        <w:t xml:space="preserve"> </w:t>
      </w:r>
      <w:r w:rsidRPr="00BB11D1">
        <w:rPr>
          <w:rFonts w:asciiTheme="majorBidi" w:hAnsiTheme="majorBidi" w:cstheme="majorBidi"/>
          <w:rtl/>
          <w:lang w:bidi="ar-SA"/>
        </w:rPr>
        <w:t>في</w:t>
      </w:r>
      <w:r w:rsidRPr="00BB11D1">
        <w:rPr>
          <w:rFonts w:asciiTheme="majorBidi" w:hAnsiTheme="majorBidi" w:cstheme="majorBidi"/>
        </w:rPr>
        <w:t xml:space="preserve"> CBDC</w:t>
      </w:r>
    </w:p>
    <w:p w:rsidR="00BB11D1" w:rsidRPr="00BB11D1" w:rsidRDefault="00BB11D1" w:rsidP="00BB11D1">
      <w:pPr>
        <w:pStyle w:val="BodyText"/>
        <w:bidi/>
        <w:spacing w:line="480" w:lineRule="auto"/>
        <w:jc w:val="both"/>
        <w:rPr>
          <w:rFonts w:asciiTheme="majorBidi" w:hAnsiTheme="majorBidi" w:cstheme="majorBidi"/>
          <w:lang w:bidi="ar-SA"/>
        </w:rPr>
      </w:pPr>
      <w:r w:rsidRPr="00BB11D1">
        <w:rPr>
          <w:rFonts w:asciiTheme="majorBidi" w:hAnsiTheme="majorBidi" w:cstheme="majorBidi"/>
          <w:rtl/>
          <w:lang w:bidi="ar-SA"/>
        </w:rPr>
        <w:t xml:space="preserve">أكد </w:t>
      </w:r>
      <w:r w:rsidRPr="00BB11D1">
        <w:rPr>
          <w:rFonts w:asciiTheme="majorBidi" w:hAnsiTheme="majorBidi" w:cstheme="majorBidi"/>
          <w:lang w:bidi="ar-SA"/>
        </w:rPr>
        <w:t>Mersch (2018</w:t>
      </w:r>
      <w:r w:rsidRPr="00BB11D1">
        <w:rPr>
          <w:rFonts w:asciiTheme="majorBidi" w:hAnsiTheme="majorBidi" w:cstheme="majorBidi"/>
          <w:rtl/>
          <w:lang w:bidi="ar-SA"/>
        </w:rPr>
        <w:t xml:space="preserve">) ، من بين أمور أخرى ، على الآثار المزعزعة للاستقرار التي يتعرض لها </w:t>
      </w:r>
      <w:r w:rsidRPr="00BB11D1">
        <w:rPr>
          <w:rFonts w:asciiTheme="majorBidi" w:hAnsiTheme="majorBidi" w:cstheme="majorBidi"/>
          <w:lang w:bidi="ar-SA"/>
        </w:rPr>
        <w:t>CBDC</w:t>
      </w:r>
      <w:r w:rsidRPr="00BB11D1">
        <w:rPr>
          <w:rFonts w:asciiTheme="majorBidi" w:hAnsiTheme="majorBidi" w:cstheme="majorBidi"/>
          <w:rtl/>
          <w:lang w:bidi="ar-SA"/>
        </w:rPr>
        <w:t xml:space="preserve"> في الأزمة المالية ، أي تسهيله للجري على النظام المصرفي:</w:t>
      </w:r>
    </w:p>
    <w:p w:rsidR="00BB11D1" w:rsidRPr="00BB11D1" w:rsidRDefault="00BB11D1" w:rsidP="00BB11D1">
      <w:pPr>
        <w:pStyle w:val="BodyText"/>
        <w:bidi/>
        <w:spacing w:line="480" w:lineRule="auto"/>
        <w:jc w:val="both"/>
        <w:rPr>
          <w:rFonts w:asciiTheme="majorBidi" w:hAnsiTheme="majorBidi" w:cstheme="majorBidi"/>
          <w:i/>
          <w:iCs/>
          <w:sz w:val="20"/>
          <w:szCs w:val="20"/>
          <w:lang w:bidi="ar-SA"/>
        </w:rPr>
      </w:pPr>
      <w:r w:rsidRPr="00BB11D1">
        <w:rPr>
          <w:rFonts w:asciiTheme="majorBidi" w:hAnsiTheme="majorBidi" w:cstheme="majorBidi"/>
          <w:i/>
          <w:iCs/>
          <w:sz w:val="20"/>
          <w:szCs w:val="20"/>
          <w:rtl/>
          <w:lang w:bidi="ar-SA"/>
        </w:rPr>
        <w:t xml:space="preserve">خلال الأزمة المصرفية النظامية ، فإن إصدار البنك المركزي الخالي من المخاطر ، قد يكون </w:t>
      </w:r>
      <w:r w:rsidRPr="00BB11D1">
        <w:rPr>
          <w:rFonts w:asciiTheme="majorBidi" w:hAnsiTheme="majorBidi" w:cstheme="majorBidi"/>
          <w:i/>
          <w:iCs/>
          <w:sz w:val="20"/>
          <w:szCs w:val="20"/>
          <w:lang w:bidi="ar-SA"/>
        </w:rPr>
        <w:t>DBM [CBDC</w:t>
      </w:r>
      <w:r w:rsidRPr="00BB11D1">
        <w:rPr>
          <w:rFonts w:asciiTheme="majorBidi" w:hAnsiTheme="majorBidi" w:cstheme="majorBidi"/>
          <w:i/>
          <w:iCs/>
          <w:sz w:val="20"/>
          <w:szCs w:val="20"/>
          <w:rtl/>
          <w:lang w:bidi="ar-SA"/>
        </w:rPr>
        <w:t>] أكثر جاذبية من ودائع البنوك. يمكن أن يكون هناك تشغيل على مستوى القطاع للودائع المصرفية ، مما يضخم آثار الأزمة. وحتى في حالة عدم وجود أزمة ، يمكن أن تقوم إدارة قواعد البيانات القابلة للتحويل بسهولة بهدم الودائع المصرفية بالكامل - مما يعرض وجود نظام مصرفي من طبقتين للخطر. في هذه الحالة ، من المحتمل أن يكون التدفق الفعال للائتمان إلى الاقتصاد ضعيفًا.</w:t>
      </w:r>
    </w:p>
    <w:p w:rsidR="00BB11D1"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كما يدعم </w:t>
      </w:r>
      <w:r w:rsidRPr="00BB11D1">
        <w:rPr>
          <w:rFonts w:asciiTheme="majorBidi" w:hAnsiTheme="majorBidi" w:cstheme="majorBidi"/>
          <w:lang w:bidi="ar-SA"/>
        </w:rPr>
        <w:t xml:space="preserve">CPMI-MC (2018 </w:t>
      </w:r>
      <w:r w:rsidRPr="00BB11D1">
        <w:rPr>
          <w:rFonts w:asciiTheme="majorBidi" w:hAnsiTheme="majorBidi" w:cstheme="majorBidi"/>
          <w:rtl/>
          <w:lang w:bidi="ar-SA"/>
        </w:rPr>
        <w:t xml:space="preserve">، </w:t>
      </w:r>
      <w:r w:rsidRPr="00BB11D1">
        <w:rPr>
          <w:rFonts w:asciiTheme="majorBidi" w:hAnsiTheme="majorBidi" w:cstheme="majorBidi"/>
          <w:lang w:bidi="ar-SA"/>
        </w:rPr>
        <w:t>2</w:t>
      </w:r>
      <w:r w:rsidRPr="00BB11D1">
        <w:rPr>
          <w:rFonts w:asciiTheme="majorBidi" w:hAnsiTheme="majorBidi" w:cstheme="majorBidi"/>
          <w:rtl/>
          <w:lang w:bidi="ar-SA"/>
        </w:rPr>
        <w:t xml:space="preserve">) الرأي القائل بأن </w:t>
      </w:r>
      <w:r w:rsidRPr="00BB11D1">
        <w:rPr>
          <w:rFonts w:asciiTheme="majorBidi" w:hAnsiTheme="majorBidi" w:cstheme="majorBidi"/>
          <w:lang w:bidi="ar-SA"/>
        </w:rPr>
        <w:t>CBDC</w:t>
      </w:r>
      <w:r w:rsidRPr="00BB11D1">
        <w:rPr>
          <w:rFonts w:asciiTheme="majorBidi" w:hAnsiTheme="majorBidi" w:cstheme="majorBidi"/>
          <w:rtl/>
          <w:lang w:bidi="ar-SA"/>
        </w:rPr>
        <w:t xml:space="preserve"> يمكن أن يزيد من سوء ديناميكيات إدارة البنك في الأزمة:</w:t>
      </w:r>
    </w:p>
    <w:p w:rsidR="00BB11D1" w:rsidRPr="00BB11D1" w:rsidRDefault="00BB11D1" w:rsidP="00BB11D1">
      <w:pPr>
        <w:pStyle w:val="BodyText"/>
        <w:bidi/>
        <w:spacing w:line="480" w:lineRule="auto"/>
        <w:jc w:val="both"/>
        <w:rPr>
          <w:rFonts w:asciiTheme="majorBidi" w:hAnsiTheme="majorBidi" w:cstheme="majorBidi"/>
          <w:i/>
          <w:iCs/>
          <w:sz w:val="20"/>
          <w:szCs w:val="20"/>
          <w:rtl/>
          <w:lang w:bidi="ar-SA"/>
        </w:rPr>
      </w:pPr>
      <w:r w:rsidRPr="00BB11D1">
        <w:rPr>
          <w:rFonts w:asciiTheme="majorBidi" w:hAnsiTheme="majorBidi" w:cstheme="majorBidi"/>
          <w:i/>
          <w:iCs/>
          <w:sz w:val="20"/>
          <w:szCs w:val="20"/>
          <w:rtl/>
          <w:lang w:bidi="ar-SA"/>
        </w:rPr>
        <w:t xml:space="preserve"> "إن طرح </w:t>
      </w:r>
      <w:r w:rsidRPr="00BB11D1">
        <w:rPr>
          <w:rFonts w:asciiTheme="majorBidi" w:hAnsiTheme="majorBidi" w:cstheme="majorBidi"/>
          <w:i/>
          <w:iCs/>
          <w:sz w:val="20"/>
          <w:szCs w:val="20"/>
          <w:lang w:bidi="ar-SA"/>
        </w:rPr>
        <w:t>CBDC</w:t>
      </w:r>
      <w:r w:rsidRPr="00BB11D1">
        <w:rPr>
          <w:rFonts w:asciiTheme="majorBidi" w:hAnsiTheme="majorBidi" w:cstheme="majorBidi"/>
          <w:i/>
          <w:iCs/>
          <w:sz w:val="20"/>
          <w:szCs w:val="20"/>
          <w:rtl/>
          <w:lang w:bidi="ar-SA"/>
        </w:rPr>
        <w:t xml:space="preserve"> سوف يثير قضايا أساسية تتجاوز أنظمة الدفع ونقل السياسة النقدية وتنفيذها. يمكن أن يؤدي </w:t>
      </w:r>
      <w:r w:rsidRPr="00BB11D1">
        <w:rPr>
          <w:rFonts w:asciiTheme="majorBidi" w:hAnsiTheme="majorBidi" w:cstheme="majorBidi"/>
          <w:i/>
          <w:iCs/>
          <w:sz w:val="20"/>
          <w:szCs w:val="20"/>
          <w:lang w:bidi="ar-SA"/>
        </w:rPr>
        <w:t>CBDC</w:t>
      </w:r>
      <w:r w:rsidRPr="00BB11D1">
        <w:rPr>
          <w:rFonts w:asciiTheme="majorBidi" w:hAnsiTheme="majorBidi" w:cstheme="majorBidi"/>
          <w:i/>
          <w:iCs/>
          <w:sz w:val="20"/>
          <w:szCs w:val="20"/>
          <w:rtl/>
          <w:lang w:bidi="ar-SA"/>
        </w:rPr>
        <w:t xml:space="preserve"> للأغراض العامة إلى زيادة عدم الاستقرار في تمويل الودائع المصرفية التجارية. حتى إذا تم تصميمها في المقام الأول مع مراعاة أغراض السداد ، فقد تحدث رحلة إلى البنك المركزي في فترات التوتر على نطاق واسع وسريع ، مما يشكل تحديًا للبنوك التجارية والبنك المركزي لإدارة مثل هذه الحالات. "</w:t>
      </w:r>
    </w:p>
    <w:p w:rsidR="000255A4"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 xml:space="preserve">أيضا مانشيني-غريفولي وآخرون. (2018 ، 24-25) مناقشة هذا الجانب من </w:t>
      </w:r>
      <w:r w:rsidRPr="00BB11D1">
        <w:rPr>
          <w:rFonts w:asciiTheme="majorBidi" w:hAnsiTheme="majorBidi" w:cstheme="majorBidi"/>
          <w:lang w:bidi="ar-SA"/>
        </w:rPr>
        <w:t>CBDC</w:t>
      </w:r>
      <w:r w:rsidRPr="00BB11D1">
        <w:rPr>
          <w:rFonts w:asciiTheme="majorBidi" w:hAnsiTheme="majorBidi" w:cstheme="majorBidi"/>
          <w:rtl/>
          <w:lang w:bidi="ar-SA"/>
        </w:rPr>
        <w:t xml:space="preserve"> ، ولكن نستنتج أن هذه الآثار عموما من المرجح أن تكون صامتة. يمكن للجري على البنوك التجارية أن يتخذ ثلاثة أشكال من حيث المبدأ</w:t>
      </w:r>
      <w:r w:rsidRPr="00BB11D1">
        <w:rPr>
          <w:rtl/>
        </w:rPr>
        <w:footnoteReference w:id="6"/>
      </w:r>
      <w:r w:rsidRPr="00BB11D1">
        <w:rPr>
          <w:rFonts w:asciiTheme="majorBidi" w:hAnsiTheme="majorBidi" w:cstheme="majorBidi"/>
          <w:rtl/>
          <w:lang w:bidi="ar-SA"/>
        </w:rPr>
        <w:t xml:space="preserve"> ، إذا قام أحدهم بالتمييز من منظور حيث تتدفق الودائع ، وهي: "</w:t>
      </w:r>
      <w:r w:rsidRPr="00BB11D1">
        <w:rPr>
          <w:rFonts w:asciiTheme="majorBidi" w:hAnsiTheme="majorBidi" w:cstheme="majorBidi"/>
          <w:lang w:bidi="ar-SA"/>
        </w:rPr>
        <w:t>R1</w:t>
      </w:r>
      <w:r w:rsidRPr="00BB11D1">
        <w:rPr>
          <w:rFonts w:asciiTheme="majorBidi" w:hAnsiTheme="majorBidi" w:cstheme="majorBidi"/>
          <w:rtl/>
          <w:lang w:bidi="ar-SA"/>
        </w:rPr>
        <w:t>" ، إلى ودائع لدى بنوك أخرى ، أي داخل النظام المصرفي ؛ "</w:t>
      </w:r>
      <w:r w:rsidRPr="00BB11D1">
        <w:rPr>
          <w:rFonts w:asciiTheme="majorBidi" w:hAnsiTheme="majorBidi" w:cstheme="majorBidi"/>
          <w:lang w:bidi="ar-SA"/>
        </w:rPr>
        <w:t>R2</w:t>
      </w:r>
      <w:r w:rsidRPr="00BB11D1">
        <w:rPr>
          <w:rFonts w:asciiTheme="majorBidi" w:hAnsiTheme="majorBidi" w:cstheme="majorBidi"/>
          <w:rtl/>
          <w:lang w:bidi="ar-SA"/>
        </w:rPr>
        <w:t>" ، في الأوراق النقدية ، أي البنك المادي الكلاسيكي الذي يدير حيث يمكن أن تنشأ قوائم الانتظار أمام فروع البنوك وأجهزة الصراف الآلي ؛ "</w:t>
      </w:r>
      <w:r w:rsidRPr="00BB11D1">
        <w:rPr>
          <w:rFonts w:asciiTheme="majorBidi" w:hAnsiTheme="majorBidi" w:cstheme="majorBidi"/>
          <w:lang w:bidi="ar-SA"/>
        </w:rPr>
        <w:t>R3</w:t>
      </w:r>
      <w:r w:rsidRPr="00BB11D1">
        <w:rPr>
          <w:rFonts w:asciiTheme="majorBidi" w:hAnsiTheme="majorBidi" w:cstheme="majorBidi"/>
          <w:rtl/>
          <w:lang w:bidi="ar-SA"/>
        </w:rPr>
        <w:t xml:space="preserve">" ، في الودائع غير المصرفية لدى البنك المركزي ، والتي اقتصرت في العقود الماضية على ودائع مؤسسات القطاع الرسمي ، ولكن في المستقبل يمكن تسهيلها من قبل </w:t>
      </w:r>
      <w:r w:rsidRPr="00BB11D1">
        <w:rPr>
          <w:rFonts w:asciiTheme="majorBidi" w:hAnsiTheme="majorBidi" w:cstheme="majorBidi"/>
          <w:lang w:bidi="ar-SA"/>
        </w:rPr>
        <w:t>CBDC</w:t>
      </w:r>
      <w:r w:rsidRPr="00BB11D1">
        <w:rPr>
          <w:rFonts w:asciiTheme="majorBidi" w:hAnsiTheme="majorBidi" w:cstheme="majorBidi"/>
          <w:rtl/>
          <w:lang w:bidi="ar-SA"/>
        </w:rPr>
        <w:t xml:space="preserve">. في الحسابات المالية أدناه ، تظهر هذه التدفقات الثلاثة على أنها ناشئة عن قطاع الأسرة / الاستثمار. على عكس الشكل 1 ، أصبح هناك الآن تمييز بين بنكين منفصلين يشكلان النظام المصرفي ، مثل السماح بتمثيل </w:t>
      </w:r>
      <w:r w:rsidRPr="00BB11D1">
        <w:rPr>
          <w:rFonts w:asciiTheme="majorBidi" w:hAnsiTheme="majorBidi" w:cstheme="majorBidi"/>
          <w:lang w:bidi="ar-SA"/>
        </w:rPr>
        <w:t>R1</w:t>
      </w:r>
      <w:r w:rsidRPr="00BB11D1">
        <w:rPr>
          <w:rFonts w:asciiTheme="majorBidi" w:hAnsiTheme="majorBidi" w:cstheme="majorBidi"/>
          <w:rtl/>
          <w:lang w:bidi="ar-SA"/>
        </w:rPr>
        <w:t>.</w:t>
      </w:r>
    </w:p>
    <w:p w:rsidR="00BB11D1" w:rsidRPr="00BB11D1" w:rsidRDefault="00BB11D1">
      <w:pPr>
        <w:rPr>
          <w:rFonts w:asciiTheme="majorBidi" w:hAnsiTheme="majorBidi" w:cstheme="majorBidi"/>
          <w:sz w:val="20"/>
        </w:rPr>
      </w:pPr>
      <w:r w:rsidRPr="00BB11D1">
        <w:rPr>
          <w:rFonts w:asciiTheme="majorBidi" w:hAnsiTheme="majorBidi" w:cstheme="majorBidi"/>
          <w:sz w:val="20"/>
        </w:rPr>
        <w:br w:type="page"/>
      </w:r>
    </w:p>
    <w:p w:rsidR="000255A4" w:rsidRPr="00BB11D1" w:rsidRDefault="000255A4" w:rsidP="006A2441">
      <w:pPr>
        <w:pStyle w:val="BodyText"/>
        <w:bidi/>
        <w:spacing w:before="7"/>
        <w:rPr>
          <w:rFonts w:asciiTheme="majorBidi" w:hAnsiTheme="majorBidi" w:cstheme="majorBidi"/>
          <w:sz w:val="23"/>
        </w:rPr>
      </w:pPr>
    </w:p>
    <w:p w:rsidR="000255A4" w:rsidRPr="00BB11D1" w:rsidRDefault="00BB11D1" w:rsidP="00BB11D1">
      <w:pPr>
        <w:bidi/>
        <w:spacing w:after="15"/>
        <w:ind w:left="249"/>
        <w:jc w:val="both"/>
        <w:rPr>
          <w:rFonts w:asciiTheme="majorBidi" w:hAnsiTheme="majorBidi" w:cstheme="majorBidi"/>
          <w:i/>
        </w:rPr>
      </w:pPr>
      <w:r w:rsidRPr="00BB11D1">
        <w:rPr>
          <w:rFonts w:asciiTheme="majorBidi" w:hAnsiTheme="majorBidi" w:cs="Times New Roman"/>
          <w:i/>
          <w:iCs/>
          <w:rtl/>
          <w:lang w:bidi="ar-SA"/>
        </w:rPr>
        <w:t>الشكل 2: تمثيل الحسابات المالية لإدارة البنك ، والتمييز بين ثلاثة أهداف للتدفقات</w:t>
      </w:r>
    </w:p>
    <w:tbl>
      <w:tblPr>
        <w:tblW w:w="0" w:type="auto"/>
        <w:tblInd w:w="147" w:type="dxa"/>
        <w:tblLayout w:type="fixed"/>
        <w:tblCellMar>
          <w:left w:w="0" w:type="dxa"/>
          <w:right w:w="0" w:type="dxa"/>
        </w:tblCellMar>
        <w:tblLook w:val="01E0" w:firstRow="1" w:lastRow="1" w:firstColumn="1" w:lastColumn="1" w:noHBand="0" w:noVBand="0"/>
      </w:tblPr>
      <w:tblGrid>
        <w:gridCol w:w="2484"/>
        <w:gridCol w:w="2124"/>
        <w:gridCol w:w="2004"/>
        <w:gridCol w:w="2002"/>
      </w:tblGrid>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7" w:right="1228"/>
              <w:jc w:val="center"/>
              <w:rPr>
                <w:rFonts w:ascii="Trebuchet MS"/>
                <w:b/>
                <w:sz w:val="20"/>
              </w:rPr>
            </w:pPr>
            <w:r>
              <w:rPr>
                <w:rFonts w:ascii="Trebuchet MS"/>
                <w:b/>
                <w:sz w:val="20"/>
              </w:rPr>
              <w:t>Households, pension and investment funds, insurance companies</w:t>
            </w:r>
          </w:p>
        </w:tc>
      </w:tr>
      <w:tr w:rsidR="00BB11D1" w:rsidTr="00451448">
        <w:trPr>
          <w:trHeight w:val="261"/>
        </w:trPr>
        <w:tc>
          <w:tcPr>
            <w:tcW w:w="2484" w:type="dxa"/>
            <w:tcBorders>
              <w:top w:val="single" w:sz="4" w:space="0" w:color="000000"/>
              <w:left w:val="single" w:sz="4" w:space="0" w:color="000000"/>
            </w:tcBorders>
          </w:tcPr>
          <w:p w:rsidR="00BB11D1" w:rsidRDefault="00BB11D1" w:rsidP="00451448">
            <w:pPr>
              <w:pStyle w:val="TableParagraph"/>
              <w:spacing w:before="2"/>
              <w:ind w:left="107"/>
              <w:rPr>
                <w:sz w:val="20"/>
              </w:rPr>
            </w:pPr>
            <w:r>
              <w:rPr>
                <w:sz w:val="20"/>
              </w:rPr>
              <w:t>Real Assets</w:t>
            </w:r>
          </w:p>
        </w:tc>
        <w:tc>
          <w:tcPr>
            <w:tcW w:w="2124" w:type="dxa"/>
            <w:tcBorders>
              <w:top w:val="single" w:sz="4" w:space="0" w:color="000000"/>
              <w:right w:val="single" w:sz="4" w:space="0" w:color="000000"/>
            </w:tcBorders>
          </w:tcPr>
          <w:p w:rsidR="00BB11D1" w:rsidRDefault="00BB11D1" w:rsidP="00451448">
            <w:pPr>
              <w:pStyle w:val="TableParagraph"/>
              <w:spacing w:before="2"/>
              <w:ind w:left="216"/>
              <w:rPr>
                <w:sz w:val="20"/>
              </w:rPr>
            </w:pPr>
            <w:r>
              <w:rPr>
                <w:sz w:val="20"/>
              </w:rPr>
              <w:t>20</w:t>
            </w:r>
          </w:p>
        </w:tc>
        <w:tc>
          <w:tcPr>
            <w:tcW w:w="2004" w:type="dxa"/>
            <w:tcBorders>
              <w:top w:val="single" w:sz="4" w:space="0" w:color="000000"/>
              <w:left w:val="single" w:sz="4" w:space="0" w:color="000000"/>
            </w:tcBorders>
          </w:tcPr>
          <w:p w:rsidR="00BB11D1" w:rsidRDefault="00BB11D1" w:rsidP="00451448">
            <w:pPr>
              <w:pStyle w:val="TableParagraph"/>
              <w:spacing w:before="2"/>
              <w:ind w:left="127"/>
              <w:rPr>
                <w:sz w:val="20"/>
              </w:rPr>
            </w:pPr>
            <w:r>
              <w:rPr>
                <w:sz w:val="20"/>
              </w:rPr>
              <w:t>Household Equity</w:t>
            </w:r>
          </w:p>
        </w:tc>
        <w:tc>
          <w:tcPr>
            <w:tcW w:w="2002" w:type="dxa"/>
            <w:tcBorders>
              <w:top w:val="single" w:sz="4" w:space="0" w:color="000000"/>
              <w:right w:val="single" w:sz="4" w:space="0" w:color="000000"/>
            </w:tcBorders>
          </w:tcPr>
          <w:p w:rsidR="00BB11D1" w:rsidRDefault="00BB11D1" w:rsidP="00451448">
            <w:pPr>
              <w:pStyle w:val="TableParagraph"/>
              <w:spacing w:before="2"/>
              <w:ind w:left="554"/>
              <w:rPr>
                <w:sz w:val="20"/>
              </w:rPr>
            </w:pPr>
            <w:r>
              <w:rPr>
                <w:sz w:val="20"/>
              </w:rPr>
              <w:t>40</w:t>
            </w: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Sight deposits bank 1</w:t>
            </w:r>
          </w:p>
        </w:tc>
        <w:tc>
          <w:tcPr>
            <w:tcW w:w="2124" w:type="dxa"/>
            <w:tcBorders>
              <w:right w:val="single" w:sz="4" w:space="0" w:color="000000"/>
            </w:tcBorders>
          </w:tcPr>
          <w:p w:rsidR="00BB11D1" w:rsidRDefault="00BB11D1" w:rsidP="00451448">
            <w:pPr>
              <w:pStyle w:val="TableParagraph"/>
              <w:spacing w:line="217" w:lineRule="exact"/>
              <w:ind w:right="273"/>
              <w:jc w:val="right"/>
              <w:rPr>
                <w:rFonts w:ascii="Trebuchet MS"/>
                <w:b/>
                <w:sz w:val="20"/>
              </w:rPr>
            </w:pPr>
            <w:r>
              <w:rPr>
                <w:w w:val="95"/>
                <w:sz w:val="20"/>
              </w:rPr>
              <w:t xml:space="preserve">2.5 </w:t>
            </w:r>
            <w:r>
              <w:rPr>
                <w:rFonts w:ascii="Trebuchet MS"/>
                <w:b/>
                <w:color w:val="BE8F00"/>
                <w:w w:val="95"/>
                <w:sz w:val="20"/>
              </w:rPr>
              <w:t xml:space="preserve">-R1 </w:t>
            </w:r>
            <w:r>
              <w:rPr>
                <w:rFonts w:ascii="Trebuchet MS"/>
                <w:b/>
                <w:color w:val="006FC0"/>
                <w:w w:val="95"/>
                <w:sz w:val="20"/>
              </w:rPr>
              <w:t xml:space="preserve">-R2/2 </w:t>
            </w:r>
            <w:r>
              <w:rPr>
                <w:rFonts w:ascii="Trebuchet MS"/>
                <w:b/>
                <w:color w:val="FF0000"/>
                <w:w w:val="95"/>
                <w:sz w:val="20"/>
              </w:rPr>
              <w:t>-R3/2</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Sight deposits bank 2</w:t>
            </w:r>
          </w:p>
        </w:tc>
        <w:tc>
          <w:tcPr>
            <w:tcW w:w="2124" w:type="dxa"/>
            <w:tcBorders>
              <w:right w:val="single" w:sz="4" w:space="0" w:color="000000"/>
            </w:tcBorders>
          </w:tcPr>
          <w:p w:rsidR="00BB11D1" w:rsidRDefault="00BB11D1" w:rsidP="00451448">
            <w:pPr>
              <w:pStyle w:val="TableParagraph"/>
              <w:spacing w:line="217" w:lineRule="exact"/>
              <w:ind w:right="235"/>
              <w:jc w:val="right"/>
              <w:rPr>
                <w:rFonts w:ascii="Trebuchet MS"/>
                <w:b/>
                <w:sz w:val="20"/>
              </w:rPr>
            </w:pPr>
            <w:r>
              <w:rPr>
                <w:w w:val="95"/>
                <w:sz w:val="20"/>
              </w:rPr>
              <w:t xml:space="preserve">2.5 </w:t>
            </w:r>
            <w:r>
              <w:rPr>
                <w:rFonts w:ascii="Trebuchet MS"/>
                <w:b/>
                <w:color w:val="BE8F00"/>
                <w:w w:val="95"/>
                <w:sz w:val="20"/>
              </w:rPr>
              <w:t xml:space="preserve">+R1 </w:t>
            </w:r>
            <w:r>
              <w:rPr>
                <w:rFonts w:ascii="Trebuchet MS"/>
                <w:b/>
                <w:color w:val="006FC0"/>
                <w:w w:val="95"/>
                <w:sz w:val="20"/>
              </w:rPr>
              <w:t xml:space="preserve">-R2/2 </w:t>
            </w:r>
            <w:r>
              <w:rPr>
                <w:rFonts w:ascii="Trebuchet MS"/>
                <w:b/>
                <w:color w:val="FF0000"/>
                <w:w w:val="95"/>
                <w:sz w:val="20"/>
              </w:rPr>
              <w:t>-R3/2</w:t>
            </w:r>
          </w:p>
        </w:tc>
        <w:tc>
          <w:tcPr>
            <w:tcW w:w="2004" w:type="dxa"/>
            <w:tcBorders>
              <w:left w:val="single" w:sz="4" w:space="0" w:color="000000"/>
            </w:tcBorders>
          </w:tcPr>
          <w:p w:rsidR="00BB11D1" w:rsidRDefault="00BB11D1" w:rsidP="00451448">
            <w:pPr>
              <w:pStyle w:val="TableParagraph"/>
              <w:spacing w:line="215" w:lineRule="exact"/>
              <w:ind w:left="127"/>
              <w:rPr>
                <w:sz w:val="20"/>
              </w:rPr>
            </w:pPr>
            <w:r>
              <w:rPr>
                <w:sz w:val="20"/>
              </w:rPr>
              <w:t>Bank loans</w:t>
            </w:r>
          </w:p>
        </w:tc>
        <w:tc>
          <w:tcPr>
            <w:tcW w:w="2002" w:type="dxa"/>
            <w:tcBorders>
              <w:right w:val="single" w:sz="4" w:space="0" w:color="000000"/>
            </w:tcBorders>
          </w:tcPr>
          <w:p w:rsidR="00BB11D1" w:rsidRDefault="00BB11D1" w:rsidP="00451448">
            <w:pPr>
              <w:pStyle w:val="TableParagraph"/>
              <w:spacing w:line="215" w:lineRule="exact"/>
              <w:ind w:left="633"/>
              <w:rPr>
                <w:sz w:val="20"/>
              </w:rPr>
            </w:pPr>
            <w:r>
              <w:rPr>
                <w:w w:val="90"/>
                <w:sz w:val="20"/>
              </w:rPr>
              <w:t>5</w:t>
            </w:r>
          </w:p>
        </w:tc>
      </w:tr>
      <w:tr w:rsidR="00BB11D1" w:rsidTr="00451448">
        <w:trPr>
          <w:trHeight w:val="243"/>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Savings + time deposits</w:t>
            </w:r>
          </w:p>
        </w:tc>
        <w:tc>
          <w:tcPr>
            <w:tcW w:w="2124" w:type="dxa"/>
            <w:tcBorders>
              <w:right w:val="single" w:sz="4" w:space="0" w:color="000000"/>
            </w:tcBorders>
          </w:tcPr>
          <w:p w:rsidR="00BB11D1" w:rsidRDefault="00BB11D1" w:rsidP="00451448">
            <w:pPr>
              <w:pStyle w:val="TableParagraph"/>
              <w:spacing w:line="215" w:lineRule="exact"/>
              <w:ind w:left="293"/>
              <w:rPr>
                <w:sz w:val="20"/>
              </w:rPr>
            </w:pPr>
            <w:r>
              <w:rPr>
                <w:w w:val="90"/>
                <w:sz w:val="20"/>
              </w:rPr>
              <w:t>4</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484" w:type="dxa"/>
            <w:tcBorders>
              <w:left w:val="single" w:sz="4" w:space="0" w:color="000000"/>
            </w:tcBorders>
          </w:tcPr>
          <w:p w:rsidR="00BB11D1" w:rsidRDefault="00BB11D1" w:rsidP="00451448">
            <w:pPr>
              <w:pStyle w:val="TableParagraph"/>
              <w:spacing w:line="213" w:lineRule="exact"/>
              <w:ind w:left="107"/>
              <w:rPr>
                <w:sz w:val="20"/>
              </w:rPr>
            </w:pPr>
            <w:r>
              <w:rPr>
                <w:sz w:val="20"/>
              </w:rPr>
              <w:t>Deposits with central bank</w:t>
            </w:r>
          </w:p>
        </w:tc>
        <w:tc>
          <w:tcPr>
            <w:tcW w:w="2124" w:type="dxa"/>
            <w:tcBorders>
              <w:right w:val="single" w:sz="4" w:space="0" w:color="000000"/>
            </w:tcBorders>
          </w:tcPr>
          <w:p w:rsidR="00BB11D1" w:rsidRDefault="00BB11D1" w:rsidP="00451448">
            <w:pPr>
              <w:pStyle w:val="TableParagraph"/>
              <w:spacing w:line="215" w:lineRule="exact"/>
              <w:ind w:right="381"/>
              <w:jc w:val="right"/>
              <w:rPr>
                <w:rFonts w:ascii="Trebuchet MS"/>
                <w:b/>
                <w:sz w:val="20"/>
              </w:rPr>
            </w:pPr>
            <w:r>
              <w:rPr>
                <w:rFonts w:ascii="Trebuchet MS"/>
                <w:b/>
                <w:color w:val="FF0000"/>
                <w:w w:val="85"/>
                <w:sz w:val="20"/>
              </w:rPr>
              <w:t>+R3</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Banknotes</w:t>
            </w:r>
          </w:p>
        </w:tc>
        <w:tc>
          <w:tcPr>
            <w:tcW w:w="2124" w:type="dxa"/>
            <w:tcBorders>
              <w:right w:val="single" w:sz="4" w:space="0" w:color="000000"/>
            </w:tcBorders>
          </w:tcPr>
          <w:p w:rsidR="00BB11D1" w:rsidRDefault="00BB11D1" w:rsidP="00451448">
            <w:pPr>
              <w:pStyle w:val="TableParagraph"/>
              <w:tabs>
                <w:tab w:val="left" w:pos="894"/>
              </w:tabs>
              <w:spacing w:line="217" w:lineRule="exact"/>
              <w:ind w:left="250"/>
              <w:rPr>
                <w:rFonts w:ascii="Trebuchet MS"/>
                <w:b/>
                <w:sz w:val="20"/>
              </w:rPr>
            </w:pPr>
            <w:r>
              <w:rPr>
                <w:sz w:val="20"/>
              </w:rPr>
              <w:t>1</w:t>
            </w:r>
            <w:r>
              <w:rPr>
                <w:sz w:val="20"/>
              </w:rPr>
              <w:tab/>
            </w:r>
            <w:r>
              <w:rPr>
                <w:rFonts w:ascii="Trebuchet MS"/>
                <w:b/>
                <w:color w:val="006FC0"/>
                <w:sz w:val="20"/>
              </w:rPr>
              <w:t>+R2</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Corporate/gvt bonds</w:t>
            </w:r>
          </w:p>
        </w:tc>
        <w:tc>
          <w:tcPr>
            <w:tcW w:w="2124" w:type="dxa"/>
            <w:tcBorders>
              <w:right w:val="single" w:sz="4" w:space="0" w:color="000000"/>
            </w:tcBorders>
          </w:tcPr>
          <w:p w:rsidR="00BB11D1" w:rsidRDefault="00BB11D1" w:rsidP="00451448">
            <w:pPr>
              <w:pStyle w:val="TableParagraph"/>
              <w:spacing w:line="215" w:lineRule="exact"/>
              <w:ind w:left="278"/>
              <w:rPr>
                <w:sz w:val="20"/>
              </w:rPr>
            </w:pPr>
            <w:r>
              <w:rPr>
                <w:w w:val="90"/>
                <w:sz w:val="20"/>
              </w:rPr>
              <w:t>7</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23"/>
        </w:trPr>
        <w:tc>
          <w:tcPr>
            <w:tcW w:w="2484" w:type="dxa"/>
            <w:tcBorders>
              <w:left w:val="single" w:sz="4" w:space="0" w:color="000000"/>
              <w:bottom w:val="single" w:sz="4" w:space="0" w:color="000000"/>
            </w:tcBorders>
          </w:tcPr>
          <w:p w:rsidR="00BB11D1" w:rsidRDefault="00BB11D1" w:rsidP="00451448">
            <w:pPr>
              <w:pStyle w:val="TableParagraph"/>
              <w:spacing w:line="204" w:lineRule="exact"/>
              <w:ind w:left="107"/>
              <w:rPr>
                <w:sz w:val="20"/>
              </w:rPr>
            </w:pPr>
            <w:r>
              <w:rPr>
                <w:sz w:val="20"/>
              </w:rPr>
              <w:t>Bank bonds and Equity</w:t>
            </w:r>
          </w:p>
        </w:tc>
        <w:tc>
          <w:tcPr>
            <w:tcW w:w="2124" w:type="dxa"/>
            <w:tcBorders>
              <w:bottom w:val="single" w:sz="4" w:space="0" w:color="000000"/>
              <w:right w:val="single" w:sz="4" w:space="0" w:color="000000"/>
            </w:tcBorders>
          </w:tcPr>
          <w:p w:rsidR="00BB11D1" w:rsidRDefault="00BB11D1" w:rsidP="00451448">
            <w:pPr>
              <w:pStyle w:val="TableParagraph"/>
              <w:spacing w:line="204" w:lineRule="exact"/>
              <w:ind w:left="252"/>
              <w:rPr>
                <w:sz w:val="20"/>
              </w:rPr>
            </w:pPr>
            <w:r>
              <w:rPr>
                <w:sz w:val="20"/>
              </w:rPr>
              <w:t>12</w:t>
            </w:r>
          </w:p>
        </w:tc>
        <w:tc>
          <w:tcPr>
            <w:tcW w:w="2004" w:type="dxa"/>
            <w:tcBorders>
              <w:left w:val="single" w:sz="4" w:space="0" w:color="000000"/>
              <w:bottom w:val="single" w:sz="4" w:space="0" w:color="000000"/>
            </w:tcBorders>
          </w:tcPr>
          <w:p w:rsidR="00BB11D1" w:rsidRDefault="00BB11D1" w:rsidP="00451448">
            <w:pPr>
              <w:pStyle w:val="TableParagraph"/>
              <w:rPr>
                <w:rFonts w:ascii="Times New Roman"/>
                <w:sz w:val="14"/>
              </w:rPr>
            </w:pPr>
          </w:p>
        </w:tc>
        <w:tc>
          <w:tcPr>
            <w:tcW w:w="2002" w:type="dxa"/>
            <w:tcBorders>
              <w:bottom w:val="single" w:sz="4" w:space="0" w:color="000000"/>
              <w:right w:val="single" w:sz="4" w:space="0" w:color="000000"/>
            </w:tcBorders>
          </w:tcPr>
          <w:p w:rsidR="00BB11D1" w:rsidRDefault="00BB11D1" w:rsidP="00451448">
            <w:pPr>
              <w:pStyle w:val="TableParagraph"/>
              <w:rPr>
                <w:rFonts w:ascii="Times New Roman"/>
                <w:sz w:val="14"/>
              </w:rPr>
            </w:pPr>
          </w:p>
        </w:tc>
      </w:tr>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Corporates</w:t>
            </w:r>
          </w:p>
        </w:tc>
      </w:tr>
      <w:tr w:rsidR="00BB11D1" w:rsidTr="00451448">
        <w:trPr>
          <w:trHeight w:val="264"/>
        </w:trPr>
        <w:tc>
          <w:tcPr>
            <w:tcW w:w="2484"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Real assets</w:t>
            </w:r>
          </w:p>
        </w:tc>
        <w:tc>
          <w:tcPr>
            <w:tcW w:w="2124" w:type="dxa"/>
            <w:tcBorders>
              <w:top w:val="single" w:sz="4" w:space="0" w:color="000000"/>
              <w:right w:val="single" w:sz="4" w:space="0" w:color="000000"/>
            </w:tcBorders>
          </w:tcPr>
          <w:p w:rsidR="00BB11D1" w:rsidRDefault="00BB11D1" w:rsidP="00451448">
            <w:pPr>
              <w:pStyle w:val="TableParagraph"/>
              <w:spacing w:before="4"/>
              <w:ind w:left="103"/>
              <w:rPr>
                <w:sz w:val="20"/>
              </w:rPr>
            </w:pPr>
            <w:r>
              <w:rPr>
                <w:sz w:val="20"/>
              </w:rPr>
              <w:t>13</w:t>
            </w:r>
          </w:p>
        </w:tc>
        <w:tc>
          <w:tcPr>
            <w:tcW w:w="2004" w:type="dxa"/>
            <w:tcBorders>
              <w:top w:val="single" w:sz="4" w:space="0" w:color="000000"/>
              <w:left w:val="single" w:sz="4" w:space="0" w:color="000000"/>
            </w:tcBorders>
          </w:tcPr>
          <w:p w:rsidR="00BB11D1" w:rsidRDefault="00BB11D1" w:rsidP="00451448">
            <w:pPr>
              <w:pStyle w:val="TableParagraph"/>
              <w:spacing w:before="4"/>
              <w:ind w:left="103"/>
              <w:rPr>
                <w:sz w:val="20"/>
              </w:rPr>
            </w:pPr>
            <w:r>
              <w:rPr>
                <w:sz w:val="20"/>
              </w:rPr>
              <w:t>Bonds issued</w:t>
            </w:r>
          </w:p>
        </w:tc>
        <w:tc>
          <w:tcPr>
            <w:tcW w:w="2002" w:type="dxa"/>
            <w:tcBorders>
              <w:top w:val="single" w:sz="4" w:space="0" w:color="000000"/>
              <w:right w:val="single" w:sz="4" w:space="0" w:color="000000"/>
            </w:tcBorders>
          </w:tcPr>
          <w:p w:rsidR="00BB11D1" w:rsidRDefault="00BB11D1" w:rsidP="00451448">
            <w:pPr>
              <w:pStyle w:val="TableParagraph"/>
              <w:spacing w:before="4"/>
              <w:ind w:left="657"/>
              <w:rPr>
                <w:sz w:val="20"/>
              </w:rPr>
            </w:pPr>
            <w:r>
              <w:rPr>
                <w:w w:val="90"/>
                <w:sz w:val="20"/>
              </w:rPr>
              <w:t>3</w:t>
            </w: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Sight deposits</w:t>
            </w:r>
          </w:p>
        </w:tc>
        <w:tc>
          <w:tcPr>
            <w:tcW w:w="2124" w:type="dxa"/>
            <w:tcBorders>
              <w:right w:val="single" w:sz="4" w:space="0" w:color="000000"/>
            </w:tcBorders>
          </w:tcPr>
          <w:p w:rsidR="00BB11D1" w:rsidRDefault="00BB11D1" w:rsidP="00451448">
            <w:pPr>
              <w:pStyle w:val="TableParagraph"/>
              <w:spacing w:line="215" w:lineRule="exact"/>
              <w:ind w:left="211"/>
              <w:rPr>
                <w:sz w:val="20"/>
              </w:rPr>
            </w:pPr>
            <w:r>
              <w:rPr>
                <w:w w:val="90"/>
                <w:sz w:val="20"/>
              </w:rPr>
              <w:t>2</w:t>
            </w:r>
          </w:p>
        </w:tc>
        <w:tc>
          <w:tcPr>
            <w:tcW w:w="2004" w:type="dxa"/>
            <w:tcBorders>
              <w:left w:val="single" w:sz="4" w:space="0" w:color="000000"/>
            </w:tcBorders>
          </w:tcPr>
          <w:p w:rsidR="00BB11D1" w:rsidRDefault="00BB11D1" w:rsidP="00451448">
            <w:pPr>
              <w:pStyle w:val="TableParagraph"/>
              <w:spacing w:line="215" w:lineRule="exact"/>
              <w:ind w:left="103"/>
              <w:rPr>
                <w:sz w:val="20"/>
              </w:rPr>
            </w:pPr>
            <w:r>
              <w:rPr>
                <w:w w:val="95"/>
                <w:sz w:val="20"/>
              </w:rPr>
              <w:t>Loans</w:t>
            </w:r>
          </w:p>
        </w:tc>
        <w:tc>
          <w:tcPr>
            <w:tcW w:w="2002" w:type="dxa"/>
            <w:tcBorders>
              <w:right w:val="single" w:sz="4" w:space="0" w:color="000000"/>
            </w:tcBorders>
          </w:tcPr>
          <w:p w:rsidR="00BB11D1" w:rsidRDefault="00BB11D1" w:rsidP="00451448">
            <w:pPr>
              <w:pStyle w:val="TableParagraph"/>
              <w:spacing w:line="215" w:lineRule="exact"/>
              <w:ind w:left="653"/>
              <w:rPr>
                <w:sz w:val="20"/>
              </w:rPr>
            </w:pPr>
            <w:r>
              <w:rPr>
                <w:w w:val="90"/>
                <w:sz w:val="20"/>
              </w:rPr>
              <w:t>8</w:t>
            </w:r>
          </w:p>
        </w:tc>
      </w:tr>
      <w:tr w:rsidR="00BB11D1" w:rsidTr="00451448">
        <w:trPr>
          <w:trHeight w:val="224"/>
        </w:trPr>
        <w:tc>
          <w:tcPr>
            <w:tcW w:w="2484" w:type="dxa"/>
            <w:tcBorders>
              <w:left w:val="single" w:sz="4" w:space="0" w:color="000000"/>
              <w:bottom w:val="single" w:sz="4" w:space="0" w:color="000000"/>
            </w:tcBorders>
          </w:tcPr>
          <w:p w:rsidR="00BB11D1" w:rsidRDefault="00BB11D1" w:rsidP="00451448">
            <w:pPr>
              <w:pStyle w:val="TableParagraph"/>
              <w:spacing w:line="205" w:lineRule="exact"/>
              <w:ind w:left="107"/>
              <w:rPr>
                <w:sz w:val="20"/>
              </w:rPr>
            </w:pPr>
            <w:r>
              <w:rPr>
                <w:sz w:val="20"/>
              </w:rPr>
              <w:t>Savings deposits</w:t>
            </w:r>
          </w:p>
        </w:tc>
        <w:tc>
          <w:tcPr>
            <w:tcW w:w="2124" w:type="dxa"/>
            <w:tcBorders>
              <w:bottom w:val="single" w:sz="4" w:space="0" w:color="000000"/>
              <w:right w:val="single" w:sz="4" w:space="0" w:color="000000"/>
            </w:tcBorders>
          </w:tcPr>
          <w:p w:rsidR="00BB11D1" w:rsidRDefault="00BB11D1" w:rsidP="00451448">
            <w:pPr>
              <w:pStyle w:val="TableParagraph"/>
              <w:spacing w:line="205" w:lineRule="exact"/>
              <w:ind w:left="182"/>
              <w:rPr>
                <w:sz w:val="20"/>
              </w:rPr>
            </w:pPr>
            <w:r>
              <w:rPr>
                <w:w w:val="90"/>
                <w:sz w:val="20"/>
              </w:rPr>
              <w:t>1</w:t>
            </w:r>
          </w:p>
        </w:tc>
        <w:tc>
          <w:tcPr>
            <w:tcW w:w="2004" w:type="dxa"/>
            <w:tcBorders>
              <w:left w:val="single" w:sz="4" w:space="0" w:color="000000"/>
              <w:bottom w:val="single" w:sz="4" w:space="0" w:color="000000"/>
            </w:tcBorders>
          </w:tcPr>
          <w:p w:rsidR="00BB11D1" w:rsidRDefault="00BB11D1" w:rsidP="00451448">
            <w:pPr>
              <w:pStyle w:val="TableParagraph"/>
              <w:spacing w:line="205" w:lineRule="exact"/>
              <w:ind w:left="103"/>
              <w:rPr>
                <w:sz w:val="20"/>
              </w:rPr>
            </w:pPr>
            <w:r>
              <w:rPr>
                <w:sz w:val="20"/>
              </w:rPr>
              <w:t xml:space="preserve">Shares </w:t>
            </w:r>
            <w:r>
              <w:rPr>
                <w:w w:val="110"/>
                <w:sz w:val="20"/>
              </w:rPr>
              <w:t xml:space="preserve">/ </w:t>
            </w:r>
            <w:r>
              <w:rPr>
                <w:sz w:val="20"/>
              </w:rPr>
              <w:t>equity</w:t>
            </w:r>
          </w:p>
        </w:tc>
        <w:tc>
          <w:tcPr>
            <w:tcW w:w="2002" w:type="dxa"/>
            <w:tcBorders>
              <w:bottom w:val="single" w:sz="4" w:space="0" w:color="000000"/>
              <w:right w:val="single" w:sz="4" w:space="0" w:color="000000"/>
            </w:tcBorders>
          </w:tcPr>
          <w:p w:rsidR="00BB11D1" w:rsidRDefault="00BB11D1" w:rsidP="00451448">
            <w:pPr>
              <w:pStyle w:val="TableParagraph"/>
              <w:spacing w:line="205" w:lineRule="exact"/>
              <w:ind w:right="530"/>
              <w:jc w:val="center"/>
              <w:rPr>
                <w:sz w:val="20"/>
              </w:rPr>
            </w:pPr>
            <w:r>
              <w:rPr>
                <w:w w:val="90"/>
                <w:sz w:val="20"/>
              </w:rPr>
              <w:t>5</w:t>
            </w:r>
          </w:p>
        </w:tc>
      </w:tr>
      <w:tr w:rsidR="00BB11D1" w:rsidTr="00451448">
        <w:trPr>
          <w:trHeight w:val="340"/>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ind w:left="1237" w:right="1227"/>
              <w:jc w:val="center"/>
              <w:rPr>
                <w:rFonts w:ascii="Trebuchet MS"/>
                <w:b/>
                <w:sz w:val="20"/>
              </w:rPr>
            </w:pPr>
            <w:r>
              <w:rPr>
                <w:rFonts w:ascii="Trebuchet MS"/>
                <w:b/>
                <w:sz w:val="20"/>
              </w:rPr>
              <w:t>Government</w:t>
            </w:r>
          </w:p>
        </w:tc>
      </w:tr>
      <w:tr w:rsidR="00BB11D1" w:rsidTr="00451448">
        <w:trPr>
          <w:trHeight w:val="264"/>
        </w:trPr>
        <w:tc>
          <w:tcPr>
            <w:tcW w:w="2484"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Real assets</w:t>
            </w:r>
          </w:p>
        </w:tc>
        <w:tc>
          <w:tcPr>
            <w:tcW w:w="2124" w:type="dxa"/>
            <w:tcBorders>
              <w:top w:val="single" w:sz="4" w:space="0" w:color="000000"/>
              <w:right w:val="single" w:sz="4" w:space="0" w:color="000000"/>
            </w:tcBorders>
          </w:tcPr>
          <w:p w:rsidR="00BB11D1" w:rsidRDefault="00BB11D1" w:rsidP="00451448">
            <w:pPr>
              <w:pStyle w:val="TableParagraph"/>
              <w:spacing w:before="4"/>
              <w:ind w:left="57"/>
              <w:rPr>
                <w:sz w:val="20"/>
              </w:rPr>
            </w:pPr>
            <w:r>
              <w:rPr>
                <w:sz w:val="20"/>
              </w:rPr>
              <w:t>11</w:t>
            </w:r>
          </w:p>
        </w:tc>
        <w:tc>
          <w:tcPr>
            <w:tcW w:w="2004" w:type="dxa"/>
            <w:tcBorders>
              <w:top w:val="single" w:sz="4" w:space="0" w:color="000000"/>
              <w:left w:val="single" w:sz="4" w:space="0" w:color="000000"/>
            </w:tcBorders>
          </w:tcPr>
          <w:p w:rsidR="00BB11D1" w:rsidRDefault="00BB11D1" w:rsidP="00451448">
            <w:pPr>
              <w:pStyle w:val="TableParagraph"/>
              <w:spacing w:before="4"/>
              <w:ind w:left="103"/>
              <w:rPr>
                <w:sz w:val="20"/>
              </w:rPr>
            </w:pPr>
            <w:r>
              <w:rPr>
                <w:sz w:val="20"/>
              </w:rPr>
              <w:t>Bonds issued</w:t>
            </w:r>
          </w:p>
        </w:tc>
        <w:tc>
          <w:tcPr>
            <w:tcW w:w="2002" w:type="dxa"/>
            <w:tcBorders>
              <w:top w:val="single" w:sz="4" w:space="0" w:color="000000"/>
              <w:right w:val="single" w:sz="4" w:space="0" w:color="000000"/>
            </w:tcBorders>
          </w:tcPr>
          <w:p w:rsidR="00BB11D1" w:rsidRDefault="00BB11D1" w:rsidP="00451448">
            <w:pPr>
              <w:pStyle w:val="TableParagraph"/>
              <w:spacing w:before="4"/>
              <w:ind w:right="487"/>
              <w:jc w:val="center"/>
              <w:rPr>
                <w:sz w:val="20"/>
              </w:rPr>
            </w:pPr>
            <w:r>
              <w:rPr>
                <w:w w:val="90"/>
                <w:sz w:val="20"/>
              </w:rPr>
              <w:t>9</w:t>
            </w:r>
          </w:p>
        </w:tc>
      </w:tr>
      <w:tr w:rsidR="00BB11D1" w:rsidTr="00451448">
        <w:trPr>
          <w:trHeight w:val="224"/>
        </w:trPr>
        <w:tc>
          <w:tcPr>
            <w:tcW w:w="2484"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2124" w:type="dxa"/>
            <w:tcBorders>
              <w:bottom w:val="single" w:sz="4" w:space="0" w:color="000000"/>
              <w:right w:val="single" w:sz="4" w:space="0" w:color="000000"/>
            </w:tcBorders>
          </w:tcPr>
          <w:p w:rsidR="00BB11D1" w:rsidRDefault="00BB11D1" w:rsidP="00451448">
            <w:pPr>
              <w:pStyle w:val="TableParagraph"/>
              <w:rPr>
                <w:rFonts w:ascii="Times New Roman"/>
                <w:sz w:val="16"/>
              </w:rPr>
            </w:pPr>
          </w:p>
        </w:tc>
        <w:tc>
          <w:tcPr>
            <w:tcW w:w="2004" w:type="dxa"/>
            <w:tcBorders>
              <w:left w:val="single" w:sz="4" w:space="0" w:color="000000"/>
              <w:bottom w:val="single" w:sz="4" w:space="0" w:color="000000"/>
            </w:tcBorders>
          </w:tcPr>
          <w:p w:rsidR="00BB11D1" w:rsidRDefault="00BB11D1" w:rsidP="00451448">
            <w:pPr>
              <w:pStyle w:val="TableParagraph"/>
              <w:spacing w:line="205" w:lineRule="exact"/>
              <w:ind w:left="103"/>
              <w:rPr>
                <w:sz w:val="20"/>
              </w:rPr>
            </w:pPr>
            <w:r>
              <w:rPr>
                <w:w w:val="95"/>
                <w:sz w:val="20"/>
              </w:rPr>
              <w:t>Loans</w:t>
            </w:r>
          </w:p>
        </w:tc>
        <w:tc>
          <w:tcPr>
            <w:tcW w:w="2002" w:type="dxa"/>
            <w:tcBorders>
              <w:bottom w:val="single" w:sz="4" w:space="0" w:color="000000"/>
              <w:right w:val="single" w:sz="4" w:space="0" w:color="000000"/>
            </w:tcBorders>
          </w:tcPr>
          <w:p w:rsidR="00BB11D1" w:rsidRDefault="00BB11D1" w:rsidP="00451448">
            <w:pPr>
              <w:pStyle w:val="TableParagraph"/>
              <w:spacing w:line="205" w:lineRule="exact"/>
              <w:ind w:right="497"/>
              <w:jc w:val="center"/>
              <w:rPr>
                <w:sz w:val="20"/>
              </w:rPr>
            </w:pPr>
            <w:r>
              <w:rPr>
                <w:w w:val="90"/>
                <w:sz w:val="20"/>
              </w:rPr>
              <w:t>2</w:t>
            </w:r>
          </w:p>
        </w:tc>
      </w:tr>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Commercial bank 1</w:t>
            </w:r>
          </w:p>
        </w:tc>
      </w:tr>
      <w:tr w:rsidR="00BB11D1" w:rsidTr="00451448">
        <w:trPr>
          <w:trHeight w:val="260"/>
        </w:trPr>
        <w:tc>
          <w:tcPr>
            <w:tcW w:w="2484" w:type="dxa"/>
            <w:tcBorders>
              <w:top w:val="single" w:sz="4" w:space="0" w:color="000000"/>
              <w:left w:val="single" w:sz="4" w:space="0" w:color="000000"/>
            </w:tcBorders>
          </w:tcPr>
          <w:p w:rsidR="00BB11D1" w:rsidRDefault="00BB11D1" w:rsidP="00451448">
            <w:pPr>
              <w:pStyle w:val="TableParagraph"/>
              <w:spacing w:before="4"/>
              <w:ind w:left="107"/>
              <w:rPr>
                <w:sz w:val="20"/>
              </w:rPr>
            </w:pPr>
            <w:r>
              <w:rPr>
                <w:w w:val="95"/>
                <w:sz w:val="20"/>
              </w:rPr>
              <w:t>Loans</w:t>
            </w:r>
            <w:r>
              <w:rPr>
                <w:spacing w:val="-29"/>
                <w:w w:val="95"/>
                <w:sz w:val="20"/>
              </w:rPr>
              <w:t xml:space="preserve"> </w:t>
            </w:r>
            <w:r>
              <w:rPr>
                <w:w w:val="95"/>
                <w:sz w:val="20"/>
              </w:rPr>
              <w:t>to</w:t>
            </w:r>
            <w:r>
              <w:rPr>
                <w:spacing w:val="-29"/>
                <w:w w:val="95"/>
                <w:sz w:val="20"/>
              </w:rPr>
              <w:t xml:space="preserve"> </w:t>
            </w:r>
            <w:r>
              <w:rPr>
                <w:w w:val="95"/>
                <w:sz w:val="20"/>
              </w:rPr>
              <w:t>Corporates/Gvt/HH</w:t>
            </w:r>
          </w:p>
        </w:tc>
        <w:tc>
          <w:tcPr>
            <w:tcW w:w="2124" w:type="dxa"/>
            <w:tcBorders>
              <w:top w:val="single" w:sz="4" w:space="0" w:color="000000"/>
              <w:right w:val="single" w:sz="4" w:space="0" w:color="000000"/>
            </w:tcBorders>
          </w:tcPr>
          <w:p w:rsidR="00BB11D1" w:rsidRDefault="00BB11D1" w:rsidP="00451448">
            <w:pPr>
              <w:pStyle w:val="TableParagraph"/>
              <w:spacing w:before="4"/>
              <w:ind w:left="360"/>
              <w:rPr>
                <w:sz w:val="20"/>
              </w:rPr>
            </w:pPr>
            <w:r>
              <w:rPr>
                <w:sz w:val="20"/>
              </w:rPr>
              <w:t>7.5</w:t>
            </w:r>
          </w:p>
        </w:tc>
        <w:tc>
          <w:tcPr>
            <w:tcW w:w="2004" w:type="dxa"/>
            <w:tcBorders>
              <w:top w:val="single" w:sz="4" w:space="0" w:color="000000"/>
              <w:left w:val="single" w:sz="4" w:space="0" w:color="000000"/>
            </w:tcBorders>
          </w:tcPr>
          <w:p w:rsidR="00BB11D1" w:rsidRDefault="00BB11D1" w:rsidP="00451448">
            <w:pPr>
              <w:pStyle w:val="TableParagraph"/>
              <w:spacing w:before="23"/>
              <w:ind w:left="103"/>
              <w:rPr>
                <w:sz w:val="18"/>
              </w:rPr>
            </w:pPr>
            <w:r>
              <w:rPr>
                <w:sz w:val="18"/>
              </w:rPr>
              <w:t>Sight deposits</w:t>
            </w:r>
          </w:p>
        </w:tc>
        <w:tc>
          <w:tcPr>
            <w:tcW w:w="2002" w:type="dxa"/>
            <w:tcBorders>
              <w:top w:val="single" w:sz="4" w:space="0" w:color="000000"/>
              <w:right w:val="single" w:sz="4" w:space="0" w:color="000000"/>
            </w:tcBorders>
          </w:tcPr>
          <w:p w:rsidR="00BB11D1" w:rsidRDefault="00BB11D1" w:rsidP="00451448">
            <w:pPr>
              <w:pStyle w:val="TableParagraph"/>
              <w:spacing w:before="4"/>
              <w:ind w:left="141"/>
              <w:rPr>
                <w:rFonts w:ascii="Trebuchet MS" w:hAnsi="Trebuchet MS"/>
                <w:b/>
                <w:sz w:val="18"/>
              </w:rPr>
            </w:pPr>
            <w:r>
              <w:rPr>
                <w:sz w:val="18"/>
              </w:rPr>
              <w:t xml:space="preserve">3.5 </w:t>
            </w:r>
            <w:r>
              <w:rPr>
                <w:rFonts w:ascii="Trebuchet MS" w:hAnsi="Trebuchet MS"/>
                <w:b/>
                <w:color w:val="BE8F00"/>
                <w:sz w:val="20"/>
              </w:rPr>
              <w:t xml:space="preserve">-R1 </w:t>
            </w:r>
            <w:r>
              <w:rPr>
                <w:rFonts w:ascii="Trebuchet MS" w:hAnsi="Trebuchet MS"/>
                <w:b/>
                <w:color w:val="006FC0"/>
                <w:sz w:val="18"/>
              </w:rPr>
              <w:t xml:space="preserve">-R2/2 </w:t>
            </w:r>
            <w:r>
              <w:rPr>
                <w:rFonts w:ascii="Trebuchet MS" w:hAnsi="Trebuchet MS"/>
                <w:b/>
                <w:color w:val="FF0000"/>
                <w:w w:val="105"/>
                <w:sz w:val="18"/>
              </w:rPr>
              <w:t xml:space="preserve">– </w:t>
            </w:r>
            <w:r>
              <w:rPr>
                <w:rFonts w:ascii="Trebuchet MS" w:hAnsi="Trebuchet MS"/>
                <w:b/>
                <w:color w:val="FF0000"/>
                <w:sz w:val="18"/>
              </w:rPr>
              <w:t>R3/2</w:t>
            </w:r>
          </w:p>
        </w:tc>
      </w:tr>
      <w:tr w:rsidR="00BB11D1" w:rsidTr="00451448">
        <w:trPr>
          <w:trHeight w:val="232"/>
        </w:trPr>
        <w:tc>
          <w:tcPr>
            <w:tcW w:w="2484" w:type="dxa"/>
            <w:tcBorders>
              <w:left w:val="single" w:sz="4" w:space="0" w:color="000000"/>
            </w:tcBorders>
          </w:tcPr>
          <w:p w:rsidR="00BB11D1" w:rsidRDefault="00BB11D1" w:rsidP="00451448">
            <w:pPr>
              <w:pStyle w:val="TableParagraph"/>
              <w:spacing w:line="213" w:lineRule="exact"/>
              <w:ind w:left="107"/>
              <w:rPr>
                <w:sz w:val="20"/>
              </w:rPr>
            </w:pPr>
            <w:r>
              <w:rPr>
                <w:sz w:val="20"/>
              </w:rPr>
              <w:t>Corp/gvt bonds</w:t>
            </w:r>
          </w:p>
        </w:tc>
        <w:tc>
          <w:tcPr>
            <w:tcW w:w="2124" w:type="dxa"/>
            <w:tcBorders>
              <w:right w:val="single" w:sz="4" w:space="0" w:color="000000"/>
            </w:tcBorders>
          </w:tcPr>
          <w:p w:rsidR="00BB11D1" w:rsidRDefault="00BB11D1" w:rsidP="00451448">
            <w:pPr>
              <w:pStyle w:val="TableParagraph"/>
              <w:spacing w:line="213" w:lineRule="exact"/>
              <w:ind w:left="338"/>
              <w:rPr>
                <w:sz w:val="20"/>
              </w:rPr>
            </w:pPr>
            <w:r>
              <w:rPr>
                <w:sz w:val="20"/>
              </w:rPr>
              <w:t>2.5</w:t>
            </w:r>
          </w:p>
        </w:tc>
        <w:tc>
          <w:tcPr>
            <w:tcW w:w="2004" w:type="dxa"/>
            <w:tcBorders>
              <w:left w:val="single" w:sz="4" w:space="0" w:color="000000"/>
            </w:tcBorders>
          </w:tcPr>
          <w:p w:rsidR="00BB11D1" w:rsidRDefault="00BB11D1" w:rsidP="00451448">
            <w:pPr>
              <w:pStyle w:val="TableParagraph"/>
              <w:spacing w:line="192" w:lineRule="exact"/>
              <w:ind w:left="103"/>
              <w:rPr>
                <w:sz w:val="18"/>
              </w:rPr>
            </w:pPr>
            <w:r>
              <w:rPr>
                <w:sz w:val="18"/>
              </w:rPr>
              <w:t>Savings</w:t>
            </w:r>
            <w:r>
              <w:rPr>
                <w:spacing w:val="-33"/>
                <w:sz w:val="18"/>
              </w:rPr>
              <w:t xml:space="preserve"> </w:t>
            </w:r>
            <w:r>
              <w:rPr>
                <w:sz w:val="18"/>
              </w:rPr>
              <w:t>+</w:t>
            </w:r>
            <w:r>
              <w:rPr>
                <w:spacing w:val="-33"/>
                <w:sz w:val="18"/>
              </w:rPr>
              <w:t xml:space="preserve"> </w:t>
            </w:r>
            <w:r>
              <w:rPr>
                <w:sz w:val="18"/>
              </w:rPr>
              <w:t>time</w:t>
            </w:r>
            <w:r>
              <w:rPr>
                <w:spacing w:val="-32"/>
                <w:sz w:val="18"/>
              </w:rPr>
              <w:t xml:space="preserve"> </w:t>
            </w:r>
            <w:r>
              <w:rPr>
                <w:sz w:val="18"/>
              </w:rPr>
              <w:t>deposits</w:t>
            </w:r>
          </w:p>
        </w:tc>
        <w:tc>
          <w:tcPr>
            <w:tcW w:w="2002" w:type="dxa"/>
            <w:tcBorders>
              <w:right w:val="single" w:sz="4" w:space="0" w:color="000000"/>
            </w:tcBorders>
          </w:tcPr>
          <w:p w:rsidR="00BB11D1" w:rsidRDefault="00BB11D1" w:rsidP="00451448">
            <w:pPr>
              <w:pStyle w:val="TableParagraph"/>
              <w:spacing w:line="192" w:lineRule="exact"/>
              <w:ind w:left="132"/>
              <w:rPr>
                <w:sz w:val="18"/>
              </w:rPr>
            </w:pPr>
            <w:r>
              <w:rPr>
                <w:sz w:val="18"/>
              </w:rPr>
              <w:t>2.5</w:t>
            </w:r>
          </w:p>
        </w:tc>
      </w:tr>
      <w:tr w:rsidR="00BB11D1" w:rsidTr="00451448">
        <w:trPr>
          <w:trHeight w:val="228"/>
        </w:trPr>
        <w:tc>
          <w:tcPr>
            <w:tcW w:w="2484" w:type="dxa"/>
            <w:vMerge w:val="restart"/>
            <w:tcBorders>
              <w:left w:val="single" w:sz="4" w:space="0" w:color="000000"/>
              <w:bottom w:val="single" w:sz="4" w:space="0" w:color="000000"/>
            </w:tcBorders>
          </w:tcPr>
          <w:p w:rsidR="00BB11D1" w:rsidRDefault="00BB11D1" w:rsidP="00451448">
            <w:pPr>
              <w:pStyle w:val="TableParagraph"/>
              <w:spacing w:line="228" w:lineRule="exact"/>
              <w:ind w:left="107"/>
              <w:rPr>
                <w:sz w:val="20"/>
              </w:rPr>
            </w:pPr>
            <w:r>
              <w:rPr>
                <w:sz w:val="20"/>
              </w:rPr>
              <w:t>Central bank deposits</w:t>
            </w:r>
          </w:p>
        </w:tc>
        <w:tc>
          <w:tcPr>
            <w:tcW w:w="2124" w:type="dxa"/>
            <w:vMerge w:val="restart"/>
            <w:tcBorders>
              <w:bottom w:val="single" w:sz="4" w:space="0" w:color="000000"/>
              <w:right w:val="single" w:sz="4" w:space="0" w:color="000000"/>
            </w:tcBorders>
          </w:tcPr>
          <w:p w:rsidR="00BB11D1" w:rsidRDefault="00BB11D1" w:rsidP="00451448">
            <w:pPr>
              <w:pStyle w:val="TableParagraph"/>
              <w:spacing w:line="228" w:lineRule="exact"/>
              <w:ind w:left="479"/>
              <w:rPr>
                <w:sz w:val="20"/>
              </w:rPr>
            </w:pPr>
            <w:r>
              <w:rPr>
                <w:w w:val="90"/>
                <w:sz w:val="20"/>
              </w:rPr>
              <w:t>0</w:t>
            </w:r>
          </w:p>
        </w:tc>
        <w:tc>
          <w:tcPr>
            <w:tcW w:w="2004" w:type="dxa"/>
            <w:tcBorders>
              <w:left w:val="single" w:sz="4" w:space="0" w:color="000000"/>
            </w:tcBorders>
          </w:tcPr>
          <w:p w:rsidR="00BB11D1" w:rsidRDefault="00BB11D1" w:rsidP="00451448">
            <w:pPr>
              <w:pStyle w:val="TableParagraph"/>
              <w:spacing w:line="180" w:lineRule="exact"/>
              <w:ind w:left="103"/>
              <w:rPr>
                <w:sz w:val="18"/>
              </w:rPr>
            </w:pPr>
            <w:r>
              <w:rPr>
                <w:sz w:val="18"/>
              </w:rPr>
              <w:t>Bonds</w:t>
            </w:r>
            <w:r>
              <w:rPr>
                <w:spacing w:val="-37"/>
                <w:sz w:val="18"/>
              </w:rPr>
              <w:t xml:space="preserve"> </w:t>
            </w:r>
            <w:r>
              <w:rPr>
                <w:sz w:val="18"/>
              </w:rPr>
              <w:t>and</w:t>
            </w:r>
            <w:r>
              <w:rPr>
                <w:spacing w:val="-37"/>
                <w:sz w:val="18"/>
              </w:rPr>
              <w:t xml:space="preserve"> </w:t>
            </w:r>
            <w:r>
              <w:rPr>
                <w:sz w:val="18"/>
              </w:rPr>
              <w:t>equity</w:t>
            </w:r>
            <w:r>
              <w:rPr>
                <w:spacing w:val="-36"/>
                <w:sz w:val="18"/>
              </w:rPr>
              <w:t xml:space="preserve"> </w:t>
            </w:r>
            <w:r>
              <w:rPr>
                <w:sz w:val="18"/>
              </w:rPr>
              <w:t>issued</w:t>
            </w:r>
          </w:p>
        </w:tc>
        <w:tc>
          <w:tcPr>
            <w:tcW w:w="2002" w:type="dxa"/>
            <w:tcBorders>
              <w:right w:val="single" w:sz="4" w:space="0" w:color="000000"/>
            </w:tcBorders>
          </w:tcPr>
          <w:p w:rsidR="00BB11D1" w:rsidRDefault="00BB11D1" w:rsidP="00451448">
            <w:pPr>
              <w:pStyle w:val="TableParagraph"/>
              <w:spacing w:line="180" w:lineRule="exact"/>
              <w:ind w:left="161"/>
              <w:rPr>
                <w:sz w:val="18"/>
              </w:rPr>
            </w:pPr>
            <w:r>
              <w:rPr>
                <w:sz w:val="18"/>
              </w:rPr>
              <w:t>3.5</w:t>
            </w:r>
          </w:p>
        </w:tc>
      </w:tr>
      <w:tr w:rsidR="00BB11D1" w:rsidTr="00451448">
        <w:trPr>
          <w:trHeight w:val="195"/>
        </w:trPr>
        <w:tc>
          <w:tcPr>
            <w:tcW w:w="2484" w:type="dxa"/>
            <w:vMerge/>
            <w:tcBorders>
              <w:top w:val="nil"/>
              <w:left w:val="single" w:sz="4" w:space="0" w:color="000000"/>
              <w:bottom w:val="single" w:sz="4" w:space="0" w:color="000000"/>
            </w:tcBorders>
          </w:tcPr>
          <w:p w:rsidR="00BB11D1" w:rsidRDefault="00BB11D1" w:rsidP="00451448">
            <w:pPr>
              <w:rPr>
                <w:sz w:val="2"/>
                <w:szCs w:val="2"/>
              </w:rPr>
            </w:pPr>
          </w:p>
        </w:tc>
        <w:tc>
          <w:tcPr>
            <w:tcW w:w="2124" w:type="dxa"/>
            <w:vMerge/>
            <w:tcBorders>
              <w:top w:val="nil"/>
              <w:bottom w:val="single" w:sz="4" w:space="0" w:color="000000"/>
              <w:right w:val="single" w:sz="4" w:space="0" w:color="000000"/>
            </w:tcBorders>
          </w:tcPr>
          <w:p w:rsidR="00BB11D1" w:rsidRDefault="00BB11D1" w:rsidP="00451448">
            <w:pPr>
              <w:rPr>
                <w:sz w:val="2"/>
                <w:szCs w:val="2"/>
              </w:rPr>
            </w:pPr>
          </w:p>
        </w:tc>
        <w:tc>
          <w:tcPr>
            <w:tcW w:w="2004" w:type="dxa"/>
            <w:tcBorders>
              <w:left w:val="single" w:sz="4" w:space="0" w:color="000000"/>
              <w:bottom w:val="single" w:sz="4" w:space="0" w:color="000000"/>
            </w:tcBorders>
          </w:tcPr>
          <w:p w:rsidR="00BB11D1" w:rsidRDefault="00BB11D1" w:rsidP="00451448">
            <w:pPr>
              <w:pStyle w:val="TableParagraph"/>
              <w:spacing w:line="176" w:lineRule="exact"/>
              <w:ind w:left="103"/>
              <w:rPr>
                <w:sz w:val="18"/>
              </w:rPr>
            </w:pPr>
            <w:r>
              <w:rPr>
                <w:sz w:val="18"/>
              </w:rPr>
              <w:t>Central bank credit</w:t>
            </w:r>
          </w:p>
        </w:tc>
        <w:tc>
          <w:tcPr>
            <w:tcW w:w="2002" w:type="dxa"/>
            <w:tcBorders>
              <w:bottom w:val="single" w:sz="4" w:space="0" w:color="000000"/>
              <w:right w:val="single" w:sz="4" w:space="0" w:color="000000"/>
            </w:tcBorders>
          </w:tcPr>
          <w:p w:rsidR="00BB11D1" w:rsidRDefault="00BB11D1" w:rsidP="00451448">
            <w:pPr>
              <w:pStyle w:val="TableParagraph"/>
              <w:spacing w:line="176" w:lineRule="exact"/>
              <w:ind w:left="148"/>
              <w:rPr>
                <w:rFonts w:ascii="Trebuchet MS"/>
                <w:b/>
                <w:sz w:val="18"/>
              </w:rPr>
            </w:pPr>
            <w:r>
              <w:rPr>
                <w:sz w:val="18"/>
              </w:rPr>
              <w:t xml:space="preserve">0.5 </w:t>
            </w:r>
            <w:r>
              <w:rPr>
                <w:rFonts w:ascii="Trebuchet MS"/>
                <w:b/>
                <w:color w:val="BE8F00"/>
                <w:sz w:val="20"/>
              </w:rPr>
              <w:t xml:space="preserve">+R1 </w:t>
            </w:r>
            <w:r>
              <w:rPr>
                <w:rFonts w:ascii="Trebuchet MS"/>
                <w:b/>
                <w:color w:val="006FC0"/>
                <w:sz w:val="18"/>
              </w:rPr>
              <w:t xml:space="preserve">+R2/2 </w:t>
            </w:r>
            <w:r>
              <w:rPr>
                <w:rFonts w:ascii="Trebuchet MS"/>
                <w:b/>
                <w:color w:val="FF0000"/>
                <w:sz w:val="18"/>
              </w:rPr>
              <w:t>+R3/2</w:t>
            </w:r>
          </w:p>
        </w:tc>
      </w:tr>
      <w:tr w:rsidR="00BB11D1" w:rsidTr="00451448">
        <w:trPr>
          <w:trHeight w:val="242"/>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1" w:line="220" w:lineRule="exact"/>
              <w:ind w:left="1235" w:right="1229"/>
              <w:jc w:val="center"/>
              <w:rPr>
                <w:rFonts w:ascii="Trebuchet MS"/>
                <w:b/>
                <w:sz w:val="20"/>
              </w:rPr>
            </w:pPr>
            <w:r>
              <w:rPr>
                <w:rFonts w:ascii="Trebuchet MS"/>
                <w:b/>
                <w:sz w:val="20"/>
              </w:rPr>
              <w:t>Commercial bank 2</w:t>
            </w:r>
          </w:p>
        </w:tc>
      </w:tr>
      <w:tr w:rsidR="00BB11D1" w:rsidTr="00451448">
        <w:trPr>
          <w:trHeight w:val="880"/>
        </w:trPr>
        <w:tc>
          <w:tcPr>
            <w:tcW w:w="4608"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right" w:pos="3091"/>
              </w:tabs>
              <w:spacing w:before="4"/>
              <w:ind w:left="107"/>
              <w:rPr>
                <w:sz w:val="20"/>
              </w:rPr>
            </w:pPr>
            <w:r>
              <w:rPr>
                <w:sz w:val="20"/>
              </w:rPr>
              <w:t>Loans</w:t>
            </w:r>
            <w:r>
              <w:rPr>
                <w:spacing w:val="-29"/>
                <w:sz w:val="20"/>
              </w:rPr>
              <w:t xml:space="preserve"> </w:t>
            </w:r>
            <w:r>
              <w:rPr>
                <w:sz w:val="20"/>
              </w:rPr>
              <w:t>to</w:t>
            </w:r>
            <w:r>
              <w:rPr>
                <w:spacing w:val="-30"/>
                <w:sz w:val="20"/>
              </w:rPr>
              <w:t xml:space="preserve"> </w:t>
            </w:r>
            <w:r>
              <w:rPr>
                <w:sz w:val="20"/>
              </w:rPr>
              <w:t>Corporates/Gvt/HH</w:t>
            </w:r>
            <w:r>
              <w:rPr>
                <w:sz w:val="20"/>
              </w:rPr>
              <w:tab/>
              <w:t>7.5</w:t>
            </w:r>
          </w:p>
          <w:p w:rsidR="00BB11D1" w:rsidRDefault="00BB11D1" w:rsidP="00451448">
            <w:pPr>
              <w:pStyle w:val="TableParagraph"/>
              <w:tabs>
                <w:tab w:val="right" w:pos="3024"/>
              </w:tabs>
              <w:spacing w:before="15"/>
              <w:ind w:left="107"/>
              <w:rPr>
                <w:sz w:val="20"/>
              </w:rPr>
            </w:pPr>
            <w:r>
              <w:rPr>
                <w:sz w:val="20"/>
              </w:rPr>
              <w:t>Corp/gvt</w:t>
            </w:r>
            <w:r>
              <w:rPr>
                <w:spacing w:val="-14"/>
                <w:sz w:val="20"/>
              </w:rPr>
              <w:t xml:space="preserve"> </w:t>
            </w:r>
            <w:r>
              <w:rPr>
                <w:sz w:val="20"/>
              </w:rPr>
              <w:t>bonds</w:t>
            </w:r>
            <w:r>
              <w:rPr>
                <w:sz w:val="20"/>
              </w:rPr>
              <w:tab/>
              <w:t>2.5</w:t>
            </w:r>
          </w:p>
          <w:p w:rsidR="00BB11D1" w:rsidRDefault="00BB11D1" w:rsidP="00451448">
            <w:pPr>
              <w:pStyle w:val="TableParagraph"/>
              <w:spacing w:before="14"/>
              <w:ind w:left="107"/>
              <w:rPr>
                <w:rFonts w:ascii="Trebuchet MS"/>
                <w:b/>
                <w:sz w:val="18"/>
              </w:rPr>
            </w:pPr>
            <w:r>
              <w:rPr>
                <w:sz w:val="20"/>
              </w:rPr>
              <w:t>Central</w:t>
            </w:r>
            <w:r>
              <w:rPr>
                <w:spacing w:val="-37"/>
                <w:sz w:val="20"/>
              </w:rPr>
              <w:t xml:space="preserve"> </w:t>
            </w:r>
            <w:r>
              <w:rPr>
                <w:sz w:val="20"/>
              </w:rPr>
              <w:t>bank</w:t>
            </w:r>
            <w:r>
              <w:rPr>
                <w:spacing w:val="-36"/>
                <w:sz w:val="20"/>
              </w:rPr>
              <w:t xml:space="preserve"> </w:t>
            </w:r>
            <w:r>
              <w:rPr>
                <w:sz w:val="20"/>
              </w:rPr>
              <w:t>deposits</w:t>
            </w:r>
            <w:r>
              <w:rPr>
                <w:spacing w:val="23"/>
                <w:sz w:val="20"/>
              </w:rPr>
              <w:t xml:space="preserve"> </w:t>
            </w:r>
            <w:r>
              <w:rPr>
                <w:sz w:val="18"/>
              </w:rPr>
              <w:t>max(0,</w:t>
            </w:r>
            <w:r>
              <w:rPr>
                <w:spacing w:val="-33"/>
                <w:sz w:val="18"/>
              </w:rPr>
              <w:t xml:space="preserve"> </w:t>
            </w:r>
            <w:r>
              <w:rPr>
                <w:sz w:val="18"/>
              </w:rPr>
              <w:t>-(0.5</w:t>
            </w:r>
            <w:r>
              <w:rPr>
                <w:spacing w:val="-33"/>
                <w:sz w:val="18"/>
              </w:rPr>
              <w:t xml:space="preserve"> </w:t>
            </w:r>
            <w:r>
              <w:rPr>
                <w:rFonts w:ascii="Trebuchet MS"/>
                <w:b/>
                <w:color w:val="BE8F00"/>
                <w:sz w:val="20"/>
              </w:rPr>
              <w:t>-R1</w:t>
            </w:r>
            <w:r>
              <w:rPr>
                <w:rFonts w:ascii="Trebuchet MS"/>
                <w:b/>
                <w:color w:val="BE8F00"/>
                <w:spacing w:val="-40"/>
                <w:sz w:val="20"/>
              </w:rPr>
              <w:t xml:space="preserve"> </w:t>
            </w:r>
            <w:r>
              <w:rPr>
                <w:rFonts w:ascii="Trebuchet MS"/>
                <w:b/>
                <w:color w:val="006FC0"/>
                <w:sz w:val="18"/>
              </w:rPr>
              <w:t>+R2/2</w:t>
            </w:r>
            <w:r>
              <w:rPr>
                <w:rFonts w:ascii="Trebuchet MS"/>
                <w:b/>
                <w:color w:val="006FC0"/>
                <w:spacing w:val="-37"/>
                <w:sz w:val="18"/>
              </w:rPr>
              <w:t xml:space="preserve"> </w:t>
            </w:r>
            <w:r>
              <w:rPr>
                <w:rFonts w:ascii="Trebuchet MS"/>
                <w:b/>
                <w:color w:val="FF0000"/>
                <w:sz w:val="18"/>
              </w:rPr>
              <w:t>+R3/2</w:t>
            </w:r>
            <w:r>
              <w:rPr>
                <w:rFonts w:ascii="Trebuchet MS"/>
                <w:b/>
                <w:sz w:val="18"/>
              </w:rPr>
              <w:t>))</w:t>
            </w:r>
          </w:p>
        </w:tc>
        <w:tc>
          <w:tcPr>
            <w:tcW w:w="4006"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left" w:pos="2058"/>
              </w:tabs>
              <w:spacing w:before="3"/>
              <w:ind w:left="103"/>
              <w:rPr>
                <w:rFonts w:ascii="Trebuchet MS"/>
                <w:b/>
                <w:sz w:val="18"/>
              </w:rPr>
            </w:pPr>
            <w:r>
              <w:rPr>
                <w:w w:val="95"/>
                <w:sz w:val="18"/>
              </w:rPr>
              <w:t>Sight</w:t>
            </w:r>
            <w:r>
              <w:rPr>
                <w:spacing w:val="-22"/>
                <w:w w:val="95"/>
                <w:sz w:val="18"/>
              </w:rPr>
              <w:t xml:space="preserve"> </w:t>
            </w:r>
            <w:r>
              <w:rPr>
                <w:w w:val="95"/>
                <w:sz w:val="18"/>
              </w:rPr>
              <w:t>deposits</w:t>
            </w:r>
            <w:r>
              <w:rPr>
                <w:w w:val="95"/>
                <w:sz w:val="18"/>
              </w:rPr>
              <w:tab/>
            </w:r>
            <w:r>
              <w:rPr>
                <w:sz w:val="18"/>
              </w:rPr>
              <w:t>3.5</w:t>
            </w:r>
            <w:r>
              <w:rPr>
                <w:spacing w:val="10"/>
                <w:sz w:val="18"/>
              </w:rPr>
              <w:t xml:space="preserve"> </w:t>
            </w:r>
            <w:r>
              <w:rPr>
                <w:rFonts w:ascii="Trebuchet MS"/>
                <w:b/>
                <w:color w:val="BE8F00"/>
                <w:sz w:val="18"/>
              </w:rPr>
              <w:t>+R1</w:t>
            </w:r>
            <w:r>
              <w:rPr>
                <w:rFonts w:ascii="Trebuchet MS"/>
                <w:b/>
                <w:color w:val="BE8F00"/>
                <w:spacing w:val="-24"/>
                <w:sz w:val="18"/>
              </w:rPr>
              <w:t xml:space="preserve"> </w:t>
            </w:r>
            <w:r>
              <w:rPr>
                <w:rFonts w:ascii="Trebuchet MS"/>
                <w:b/>
                <w:color w:val="006FC0"/>
                <w:sz w:val="18"/>
              </w:rPr>
              <w:t>-R2/2</w:t>
            </w:r>
            <w:r>
              <w:rPr>
                <w:rFonts w:ascii="Trebuchet MS"/>
                <w:b/>
                <w:color w:val="006FC0"/>
                <w:spacing w:val="-24"/>
                <w:sz w:val="18"/>
              </w:rPr>
              <w:t xml:space="preserve"> </w:t>
            </w:r>
            <w:r>
              <w:rPr>
                <w:rFonts w:ascii="Trebuchet MS"/>
                <w:b/>
                <w:color w:val="FF0000"/>
                <w:sz w:val="18"/>
              </w:rPr>
              <w:t>-</w:t>
            </w:r>
            <w:r>
              <w:rPr>
                <w:rFonts w:ascii="Trebuchet MS"/>
                <w:b/>
                <w:color w:val="FF0000"/>
                <w:spacing w:val="-24"/>
                <w:sz w:val="18"/>
              </w:rPr>
              <w:t xml:space="preserve"> </w:t>
            </w:r>
            <w:r>
              <w:rPr>
                <w:rFonts w:ascii="Trebuchet MS"/>
                <w:b/>
                <w:color w:val="FF0000"/>
                <w:sz w:val="18"/>
              </w:rPr>
              <w:t>R3/2</w:t>
            </w:r>
          </w:p>
          <w:p w:rsidR="00BB11D1" w:rsidRDefault="00BB11D1" w:rsidP="00451448">
            <w:pPr>
              <w:pStyle w:val="TableParagraph"/>
              <w:tabs>
                <w:tab w:val="left" w:pos="2049"/>
              </w:tabs>
              <w:spacing w:before="12" w:line="252" w:lineRule="auto"/>
              <w:ind w:left="103" w:right="1716"/>
              <w:rPr>
                <w:sz w:val="18"/>
              </w:rPr>
            </w:pPr>
            <w:r>
              <w:rPr>
                <w:w w:val="95"/>
                <w:sz w:val="18"/>
              </w:rPr>
              <w:t>Savings</w:t>
            </w:r>
            <w:r>
              <w:rPr>
                <w:spacing w:val="-25"/>
                <w:w w:val="95"/>
                <w:sz w:val="18"/>
              </w:rPr>
              <w:t xml:space="preserve"> </w:t>
            </w:r>
            <w:r>
              <w:rPr>
                <w:w w:val="95"/>
                <w:sz w:val="18"/>
              </w:rPr>
              <w:t>+</w:t>
            </w:r>
            <w:r>
              <w:rPr>
                <w:spacing w:val="-25"/>
                <w:w w:val="95"/>
                <w:sz w:val="18"/>
              </w:rPr>
              <w:t xml:space="preserve"> </w:t>
            </w:r>
            <w:r>
              <w:rPr>
                <w:w w:val="95"/>
                <w:sz w:val="18"/>
              </w:rPr>
              <w:t>time</w:t>
            </w:r>
            <w:r>
              <w:rPr>
                <w:spacing w:val="-23"/>
                <w:w w:val="95"/>
                <w:sz w:val="18"/>
              </w:rPr>
              <w:t xml:space="preserve"> </w:t>
            </w:r>
            <w:r>
              <w:rPr>
                <w:w w:val="95"/>
                <w:sz w:val="18"/>
              </w:rPr>
              <w:t>deposits</w:t>
            </w:r>
            <w:r>
              <w:rPr>
                <w:w w:val="95"/>
                <w:sz w:val="18"/>
              </w:rPr>
              <w:tab/>
            </w:r>
            <w:r>
              <w:rPr>
                <w:spacing w:val="-6"/>
                <w:w w:val="95"/>
                <w:sz w:val="18"/>
              </w:rPr>
              <w:t xml:space="preserve">2.5 </w:t>
            </w:r>
            <w:r>
              <w:rPr>
                <w:sz w:val="18"/>
              </w:rPr>
              <w:t>Bonds</w:t>
            </w:r>
            <w:r>
              <w:rPr>
                <w:spacing w:val="-35"/>
                <w:sz w:val="18"/>
              </w:rPr>
              <w:t xml:space="preserve"> </w:t>
            </w:r>
            <w:r>
              <w:rPr>
                <w:sz w:val="18"/>
              </w:rPr>
              <w:t>and</w:t>
            </w:r>
            <w:r>
              <w:rPr>
                <w:spacing w:val="-35"/>
                <w:sz w:val="18"/>
              </w:rPr>
              <w:t xml:space="preserve"> </w:t>
            </w:r>
            <w:r>
              <w:rPr>
                <w:sz w:val="18"/>
              </w:rPr>
              <w:t>equity</w:t>
            </w:r>
            <w:r>
              <w:rPr>
                <w:spacing w:val="-35"/>
                <w:sz w:val="18"/>
              </w:rPr>
              <w:t xml:space="preserve"> </w:t>
            </w:r>
            <w:r>
              <w:rPr>
                <w:sz w:val="18"/>
              </w:rPr>
              <w:t>issued</w:t>
            </w:r>
            <w:r>
              <w:rPr>
                <w:spacing w:val="11"/>
                <w:sz w:val="18"/>
              </w:rPr>
              <w:t xml:space="preserve"> </w:t>
            </w:r>
            <w:r>
              <w:rPr>
                <w:sz w:val="18"/>
              </w:rPr>
              <w:t>3.5</w:t>
            </w:r>
          </w:p>
          <w:p w:rsidR="00BB11D1" w:rsidRDefault="00BB11D1" w:rsidP="00451448">
            <w:pPr>
              <w:pStyle w:val="TableParagraph"/>
              <w:spacing w:before="5" w:line="197" w:lineRule="exact"/>
              <w:ind w:left="103"/>
              <w:rPr>
                <w:rFonts w:ascii="Trebuchet MS"/>
                <w:b/>
                <w:sz w:val="18"/>
              </w:rPr>
            </w:pPr>
            <w:r>
              <w:rPr>
                <w:sz w:val="18"/>
              </w:rPr>
              <w:t>Central</w:t>
            </w:r>
            <w:r>
              <w:rPr>
                <w:spacing w:val="-30"/>
                <w:sz w:val="18"/>
              </w:rPr>
              <w:t xml:space="preserve"> </w:t>
            </w:r>
            <w:r>
              <w:rPr>
                <w:sz w:val="18"/>
              </w:rPr>
              <w:t>bank</w:t>
            </w:r>
            <w:r>
              <w:rPr>
                <w:spacing w:val="-30"/>
                <w:sz w:val="18"/>
              </w:rPr>
              <w:t xml:space="preserve"> </w:t>
            </w:r>
            <w:r>
              <w:rPr>
                <w:sz w:val="18"/>
              </w:rPr>
              <w:t>credit</w:t>
            </w:r>
            <w:r>
              <w:rPr>
                <w:spacing w:val="13"/>
                <w:sz w:val="18"/>
              </w:rPr>
              <w:t xml:space="preserve"> </w:t>
            </w:r>
            <w:r>
              <w:rPr>
                <w:sz w:val="18"/>
              </w:rPr>
              <w:t>max(0,</w:t>
            </w:r>
            <w:r>
              <w:rPr>
                <w:spacing w:val="-29"/>
                <w:sz w:val="18"/>
              </w:rPr>
              <w:t xml:space="preserve"> </w:t>
            </w:r>
            <w:r>
              <w:rPr>
                <w:sz w:val="18"/>
              </w:rPr>
              <w:t>0.5</w:t>
            </w:r>
            <w:r>
              <w:rPr>
                <w:spacing w:val="-30"/>
                <w:sz w:val="18"/>
              </w:rPr>
              <w:t xml:space="preserve"> </w:t>
            </w:r>
            <w:r>
              <w:rPr>
                <w:rFonts w:ascii="Trebuchet MS"/>
                <w:b/>
                <w:color w:val="BE8F00"/>
                <w:sz w:val="18"/>
              </w:rPr>
              <w:t>-R1</w:t>
            </w:r>
            <w:r>
              <w:rPr>
                <w:rFonts w:ascii="Trebuchet MS"/>
                <w:b/>
                <w:color w:val="BE8F00"/>
                <w:spacing w:val="-33"/>
                <w:sz w:val="18"/>
              </w:rPr>
              <w:t xml:space="preserve"> </w:t>
            </w:r>
            <w:r>
              <w:rPr>
                <w:rFonts w:ascii="Trebuchet MS"/>
                <w:b/>
                <w:color w:val="006FC0"/>
                <w:sz w:val="18"/>
              </w:rPr>
              <w:t>+R2/2</w:t>
            </w:r>
            <w:r>
              <w:rPr>
                <w:rFonts w:ascii="Trebuchet MS"/>
                <w:b/>
                <w:color w:val="006FC0"/>
                <w:spacing w:val="-34"/>
                <w:sz w:val="18"/>
              </w:rPr>
              <w:t xml:space="preserve"> </w:t>
            </w:r>
            <w:r>
              <w:rPr>
                <w:rFonts w:ascii="Trebuchet MS"/>
                <w:b/>
                <w:color w:val="FF0000"/>
                <w:sz w:val="18"/>
              </w:rPr>
              <w:t>+</w:t>
            </w:r>
            <w:r>
              <w:rPr>
                <w:rFonts w:ascii="Trebuchet MS"/>
                <w:b/>
                <w:color w:val="FF0000"/>
                <w:spacing w:val="-33"/>
                <w:sz w:val="18"/>
              </w:rPr>
              <w:t xml:space="preserve"> </w:t>
            </w:r>
            <w:r>
              <w:rPr>
                <w:rFonts w:ascii="Trebuchet MS"/>
                <w:b/>
                <w:color w:val="FF0000"/>
                <w:sz w:val="18"/>
              </w:rPr>
              <w:t>R3/2</w:t>
            </w:r>
            <w:r>
              <w:rPr>
                <w:rFonts w:ascii="Trebuchet MS"/>
                <w:b/>
                <w:sz w:val="18"/>
              </w:rPr>
              <w:t>)</w:t>
            </w:r>
          </w:p>
        </w:tc>
      </w:tr>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7" w:right="1229"/>
              <w:jc w:val="center"/>
              <w:rPr>
                <w:rFonts w:ascii="Trebuchet MS"/>
                <w:b/>
                <w:sz w:val="20"/>
              </w:rPr>
            </w:pPr>
            <w:r>
              <w:rPr>
                <w:rFonts w:ascii="Trebuchet MS"/>
                <w:b/>
                <w:sz w:val="20"/>
              </w:rPr>
              <w:t>Central Bank</w:t>
            </w:r>
          </w:p>
        </w:tc>
      </w:tr>
      <w:tr w:rsidR="00BB11D1" w:rsidTr="00451448">
        <w:trPr>
          <w:trHeight w:val="731"/>
        </w:trPr>
        <w:tc>
          <w:tcPr>
            <w:tcW w:w="4608"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ind w:left="107"/>
              <w:rPr>
                <w:rFonts w:ascii="Trebuchet MS"/>
                <w:b/>
                <w:sz w:val="16"/>
              </w:rPr>
            </w:pPr>
            <w:r>
              <w:rPr>
                <w:w w:val="95"/>
                <w:sz w:val="16"/>
              </w:rPr>
              <w:t>Credit</w:t>
            </w:r>
            <w:r>
              <w:rPr>
                <w:spacing w:val="-21"/>
                <w:w w:val="95"/>
                <w:sz w:val="16"/>
              </w:rPr>
              <w:t xml:space="preserve"> </w:t>
            </w:r>
            <w:r>
              <w:rPr>
                <w:w w:val="95"/>
                <w:sz w:val="16"/>
              </w:rPr>
              <w:t>to</w:t>
            </w:r>
            <w:r>
              <w:rPr>
                <w:spacing w:val="-21"/>
                <w:w w:val="95"/>
                <w:sz w:val="16"/>
              </w:rPr>
              <w:t xml:space="preserve"> </w:t>
            </w:r>
            <w:r>
              <w:rPr>
                <w:w w:val="95"/>
                <w:sz w:val="16"/>
              </w:rPr>
              <w:t>banks</w:t>
            </w:r>
            <w:r>
              <w:rPr>
                <w:spacing w:val="6"/>
                <w:w w:val="95"/>
                <w:sz w:val="16"/>
              </w:rPr>
              <w:t xml:space="preserve"> </w:t>
            </w:r>
            <w:r>
              <w:rPr>
                <w:w w:val="95"/>
                <w:sz w:val="16"/>
              </w:rPr>
              <w:t>0.5</w:t>
            </w:r>
            <w:r>
              <w:rPr>
                <w:spacing w:val="-20"/>
                <w:w w:val="95"/>
                <w:sz w:val="16"/>
              </w:rPr>
              <w:t xml:space="preserve"> </w:t>
            </w:r>
            <w:r>
              <w:rPr>
                <w:rFonts w:ascii="Trebuchet MS"/>
                <w:b/>
                <w:color w:val="BE8F00"/>
                <w:w w:val="95"/>
                <w:sz w:val="16"/>
              </w:rPr>
              <w:t>+R1</w:t>
            </w:r>
            <w:r>
              <w:rPr>
                <w:rFonts w:ascii="Trebuchet MS"/>
                <w:b/>
                <w:color w:val="006FC0"/>
                <w:w w:val="95"/>
                <w:sz w:val="16"/>
              </w:rPr>
              <w:t>+R2/2</w:t>
            </w:r>
            <w:r>
              <w:rPr>
                <w:rFonts w:ascii="Trebuchet MS"/>
                <w:b/>
                <w:color w:val="FF0000"/>
                <w:w w:val="95"/>
                <w:sz w:val="16"/>
              </w:rPr>
              <w:t>+R3/2</w:t>
            </w:r>
            <w:r>
              <w:rPr>
                <w:rFonts w:ascii="Trebuchet MS"/>
                <w:b/>
                <w:color w:val="FF0000"/>
                <w:spacing w:val="-25"/>
                <w:w w:val="95"/>
                <w:sz w:val="16"/>
              </w:rPr>
              <w:t xml:space="preserve"> </w:t>
            </w:r>
            <w:r>
              <w:rPr>
                <w:rFonts w:ascii="Trebuchet MS"/>
                <w:b/>
                <w:w w:val="95"/>
                <w:sz w:val="16"/>
              </w:rPr>
              <w:t>+</w:t>
            </w:r>
            <w:r>
              <w:rPr>
                <w:w w:val="95"/>
                <w:sz w:val="16"/>
              </w:rPr>
              <w:t>max(0,</w:t>
            </w:r>
            <w:r>
              <w:rPr>
                <w:spacing w:val="-19"/>
                <w:w w:val="95"/>
                <w:sz w:val="16"/>
              </w:rPr>
              <w:t xml:space="preserve"> </w:t>
            </w:r>
            <w:r>
              <w:rPr>
                <w:w w:val="95"/>
                <w:sz w:val="16"/>
              </w:rPr>
              <w:t>0.5</w:t>
            </w:r>
            <w:r>
              <w:rPr>
                <w:spacing w:val="-20"/>
                <w:w w:val="95"/>
                <w:sz w:val="16"/>
              </w:rPr>
              <w:t xml:space="preserve"> </w:t>
            </w:r>
            <w:r>
              <w:rPr>
                <w:rFonts w:ascii="Trebuchet MS"/>
                <w:b/>
                <w:color w:val="BE8F00"/>
                <w:w w:val="95"/>
                <w:sz w:val="16"/>
              </w:rPr>
              <w:t>-R1</w:t>
            </w:r>
            <w:r>
              <w:rPr>
                <w:rFonts w:ascii="Trebuchet MS"/>
                <w:b/>
                <w:color w:val="006FC0"/>
                <w:w w:val="95"/>
                <w:sz w:val="16"/>
              </w:rPr>
              <w:t>+R2/2</w:t>
            </w:r>
            <w:r>
              <w:rPr>
                <w:rFonts w:ascii="Trebuchet MS"/>
                <w:b/>
                <w:color w:val="FF0000"/>
                <w:w w:val="95"/>
                <w:sz w:val="16"/>
              </w:rPr>
              <w:t>+</w:t>
            </w:r>
            <w:r>
              <w:rPr>
                <w:rFonts w:ascii="Trebuchet MS"/>
                <w:b/>
                <w:color w:val="FF0000"/>
                <w:spacing w:val="-24"/>
                <w:w w:val="95"/>
                <w:sz w:val="16"/>
              </w:rPr>
              <w:t xml:space="preserve"> </w:t>
            </w:r>
            <w:r>
              <w:rPr>
                <w:rFonts w:ascii="Trebuchet MS"/>
                <w:b/>
                <w:color w:val="FF0000"/>
                <w:w w:val="95"/>
                <w:sz w:val="16"/>
              </w:rPr>
              <w:t>R3/2</w:t>
            </w:r>
            <w:r>
              <w:rPr>
                <w:rFonts w:ascii="Trebuchet MS"/>
                <w:b/>
                <w:w w:val="95"/>
                <w:sz w:val="16"/>
              </w:rPr>
              <w:t>)</w:t>
            </w:r>
          </w:p>
          <w:p w:rsidR="00BB11D1" w:rsidRDefault="00BB11D1" w:rsidP="00451448">
            <w:pPr>
              <w:pStyle w:val="TableParagraph"/>
              <w:spacing w:before="1"/>
              <w:rPr>
                <w:i/>
              </w:rPr>
            </w:pPr>
          </w:p>
          <w:p w:rsidR="00BB11D1" w:rsidRDefault="00BB11D1" w:rsidP="00451448">
            <w:pPr>
              <w:pStyle w:val="TableParagraph"/>
              <w:tabs>
                <w:tab w:val="left" w:pos="3554"/>
              </w:tabs>
              <w:ind w:left="107"/>
              <w:rPr>
                <w:sz w:val="16"/>
              </w:rPr>
            </w:pPr>
            <w:r>
              <w:rPr>
                <w:w w:val="95"/>
                <w:sz w:val="16"/>
              </w:rPr>
              <w:t>Corp/state</w:t>
            </w:r>
            <w:r>
              <w:rPr>
                <w:spacing w:val="-16"/>
                <w:w w:val="95"/>
                <w:sz w:val="16"/>
              </w:rPr>
              <w:t xml:space="preserve"> </w:t>
            </w:r>
            <w:r>
              <w:rPr>
                <w:w w:val="95"/>
                <w:sz w:val="16"/>
              </w:rPr>
              <w:t>bonds</w:t>
            </w:r>
            <w:r>
              <w:rPr>
                <w:w w:val="95"/>
                <w:sz w:val="16"/>
              </w:rPr>
              <w:tab/>
            </w:r>
            <w:r>
              <w:rPr>
                <w:sz w:val="16"/>
              </w:rPr>
              <w:t>0</w:t>
            </w:r>
          </w:p>
        </w:tc>
        <w:tc>
          <w:tcPr>
            <w:tcW w:w="4006"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left" w:pos="2423"/>
              </w:tabs>
              <w:spacing w:before="4"/>
              <w:ind w:left="103"/>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5"/>
                <w:sz w:val="20"/>
              </w:rPr>
              <w:t xml:space="preserve"> </w:t>
            </w:r>
            <w:r>
              <w:rPr>
                <w:rFonts w:ascii="Trebuchet MS"/>
                <w:b/>
                <w:color w:val="006FC0"/>
                <w:sz w:val="20"/>
              </w:rPr>
              <w:t>+R2</w:t>
            </w:r>
          </w:p>
          <w:p w:rsidR="00BB11D1" w:rsidRDefault="00BB11D1" w:rsidP="00451448">
            <w:pPr>
              <w:pStyle w:val="TableParagraph"/>
              <w:spacing w:before="10"/>
              <w:ind w:left="103"/>
              <w:rPr>
                <w:rFonts w:ascii="Trebuchet MS"/>
                <w:b/>
                <w:sz w:val="18"/>
              </w:rPr>
            </w:pPr>
            <w:r>
              <w:rPr>
                <w:w w:val="95"/>
                <w:sz w:val="20"/>
              </w:rPr>
              <w:t>Deposits of banks m</w:t>
            </w:r>
            <w:r>
              <w:rPr>
                <w:w w:val="95"/>
                <w:sz w:val="18"/>
              </w:rPr>
              <w:t>ax(0, -(0.5</w:t>
            </w:r>
            <w:r>
              <w:rPr>
                <w:rFonts w:ascii="Trebuchet MS"/>
                <w:b/>
                <w:color w:val="BE8F00"/>
                <w:w w:val="95"/>
                <w:sz w:val="18"/>
              </w:rPr>
              <w:t>-R1</w:t>
            </w:r>
            <w:r>
              <w:rPr>
                <w:rFonts w:ascii="Trebuchet MS"/>
                <w:b/>
                <w:color w:val="006FC0"/>
                <w:w w:val="95"/>
                <w:sz w:val="18"/>
              </w:rPr>
              <w:t>+R2/2</w:t>
            </w:r>
            <w:r>
              <w:rPr>
                <w:rFonts w:ascii="Trebuchet MS"/>
                <w:b/>
                <w:color w:val="FF0000"/>
                <w:w w:val="95"/>
                <w:sz w:val="18"/>
              </w:rPr>
              <w:t>+R3/2</w:t>
            </w:r>
            <w:r>
              <w:rPr>
                <w:rFonts w:ascii="Trebuchet MS"/>
                <w:b/>
                <w:w w:val="95"/>
                <w:sz w:val="18"/>
              </w:rPr>
              <w:t>))</w:t>
            </w:r>
          </w:p>
          <w:p w:rsidR="00BB11D1" w:rsidRDefault="00BB11D1" w:rsidP="00451448">
            <w:pPr>
              <w:pStyle w:val="TableParagraph"/>
              <w:tabs>
                <w:tab w:val="left" w:pos="2447"/>
              </w:tabs>
              <w:spacing w:before="15" w:line="220" w:lineRule="exact"/>
              <w:ind w:left="103"/>
              <w:rPr>
                <w:rFonts w:ascii="Trebuchet MS"/>
                <w:b/>
                <w:sz w:val="20"/>
              </w:rPr>
            </w:pPr>
            <w:r>
              <w:rPr>
                <w:w w:val="95"/>
                <w:sz w:val="20"/>
              </w:rPr>
              <w:t>Non-bank</w:t>
            </w:r>
            <w:r>
              <w:rPr>
                <w:spacing w:val="-24"/>
                <w:w w:val="95"/>
                <w:sz w:val="20"/>
              </w:rPr>
              <w:t xml:space="preserve"> </w:t>
            </w:r>
            <w:r>
              <w:rPr>
                <w:w w:val="95"/>
                <w:sz w:val="20"/>
              </w:rPr>
              <w:t>deposits</w:t>
            </w:r>
            <w:r>
              <w:rPr>
                <w:w w:val="95"/>
                <w:sz w:val="20"/>
              </w:rPr>
              <w:tab/>
            </w:r>
            <w:r>
              <w:rPr>
                <w:rFonts w:ascii="Trebuchet MS"/>
                <w:b/>
                <w:color w:val="FF0000"/>
                <w:sz w:val="20"/>
              </w:rPr>
              <w:t>R3</w:t>
            </w:r>
          </w:p>
        </w:tc>
      </w:tr>
    </w:tbl>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8"/>
        </w:rPr>
      </w:pPr>
    </w:p>
    <w:p w:rsidR="000255A4" w:rsidRPr="00BB11D1" w:rsidRDefault="009C2E3C"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لاحظ</w:t>
      </w:r>
      <w:r w:rsidR="00BB11D1" w:rsidRPr="00BB11D1">
        <w:rPr>
          <w:rFonts w:asciiTheme="majorBidi" w:hAnsiTheme="majorBidi" w:cstheme="majorBidi"/>
          <w:rtl/>
          <w:lang w:bidi="ar-SA"/>
        </w:rPr>
        <w:t xml:space="preserve"> أن </w:t>
      </w:r>
      <w:r w:rsidR="00BB11D1" w:rsidRPr="00BB11D1">
        <w:rPr>
          <w:rFonts w:asciiTheme="majorBidi" w:hAnsiTheme="majorBidi" w:cstheme="majorBidi"/>
          <w:lang w:bidi="ar-SA"/>
        </w:rPr>
        <w:t>R2</w:t>
      </w:r>
      <w:r w:rsidR="00BB11D1" w:rsidRPr="00BB11D1">
        <w:rPr>
          <w:rFonts w:asciiTheme="majorBidi" w:hAnsiTheme="majorBidi" w:cstheme="majorBidi"/>
          <w:rtl/>
          <w:lang w:bidi="ar-SA"/>
        </w:rPr>
        <w:t xml:space="preserve"> و </w:t>
      </w:r>
      <w:r w:rsidR="00BB11D1" w:rsidRPr="00BB11D1">
        <w:rPr>
          <w:rFonts w:asciiTheme="majorBidi" w:hAnsiTheme="majorBidi" w:cstheme="majorBidi"/>
          <w:lang w:bidi="ar-SA"/>
        </w:rPr>
        <w:t>R3</w:t>
      </w:r>
      <w:r w:rsidR="00BB11D1" w:rsidRPr="00BB11D1">
        <w:rPr>
          <w:rFonts w:asciiTheme="majorBidi" w:hAnsiTheme="majorBidi" w:cstheme="majorBidi"/>
          <w:rtl/>
          <w:lang w:bidi="ar-SA"/>
        </w:rPr>
        <w:t xml:space="preserve"> يمكن ملاحظتهما في الحسابات الكلية بينما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xml:space="preserve"> لا. في الواقع ، لا تصبح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xml:space="preserve"> مرئية في الحسابات الإجمالية حتى يقوم البنك المستفيد من تدفقات الودائع بتسديد كامل رصيده من البنك المركزي. علاوة على ذلك ، يجب استخراج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xml:space="preserve"> من الاحتياطيات الزائدة للبنوك التي تتأثر أيضًا بـ </w:t>
      </w:r>
      <w:r w:rsidR="00BB11D1" w:rsidRPr="00BB11D1">
        <w:rPr>
          <w:rFonts w:asciiTheme="majorBidi" w:hAnsiTheme="majorBidi" w:cstheme="majorBidi"/>
          <w:lang w:bidi="ar-SA"/>
        </w:rPr>
        <w:t>R2</w:t>
      </w:r>
      <w:r w:rsidR="00BB11D1" w:rsidRPr="00BB11D1">
        <w:rPr>
          <w:rFonts w:asciiTheme="majorBidi" w:hAnsiTheme="majorBidi" w:cstheme="majorBidi"/>
          <w:rtl/>
          <w:lang w:bidi="ar-SA"/>
        </w:rPr>
        <w:t xml:space="preserve"> و </w:t>
      </w:r>
      <w:r w:rsidR="00BB11D1" w:rsidRPr="00BB11D1">
        <w:rPr>
          <w:rFonts w:asciiTheme="majorBidi" w:hAnsiTheme="majorBidi" w:cstheme="majorBidi"/>
          <w:lang w:bidi="ar-SA"/>
        </w:rPr>
        <w:t>R3</w:t>
      </w:r>
      <w:r w:rsidR="00BB11D1" w:rsidRPr="00BB11D1">
        <w:rPr>
          <w:rFonts w:asciiTheme="majorBidi" w:hAnsiTheme="majorBidi" w:cstheme="majorBidi"/>
          <w:rtl/>
          <w:lang w:bidi="ar-SA"/>
        </w:rPr>
        <w:t xml:space="preserve"> (وفي الواقع ، من الواضح أنه لا يوجد بنكين فقط). يوضح الجدول أدناه أهمية الأنواع الثلاثة من المسارات ، مرة أخرى مع التحذير المذكور أعلاه لـ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علاوة على ذلك ، دعا النظام الأوروبي إلى حد ما إلى إنشاء احتياطيات فائضة في عام 2011 من خلال عمليات ائتمانية جذابة للغاية ، بحيث تؤدي الزيادة في الاحتياطيات الزائدة إلى المبالغة في تقدير النظام المصرفي.</w:t>
      </w: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Pr="00BB11D1" w:rsidRDefault="00BB11D1" w:rsidP="00BB11D1">
      <w:pPr>
        <w:pStyle w:val="BodyText"/>
        <w:bidi/>
        <w:spacing w:before="59" w:line="254" w:lineRule="auto"/>
        <w:ind w:left="249" w:right="765"/>
        <w:jc w:val="both"/>
        <w:rPr>
          <w:rFonts w:asciiTheme="majorBidi" w:hAnsiTheme="majorBidi" w:cstheme="majorBidi"/>
          <w:sz w:val="21"/>
        </w:rPr>
      </w:pPr>
    </w:p>
    <w:p w:rsidR="000255A4" w:rsidRPr="00BB11D1" w:rsidRDefault="00BB11D1" w:rsidP="006A2441">
      <w:pPr>
        <w:bidi/>
        <w:spacing w:after="14"/>
        <w:ind w:left="249"/>
        <w:jc w:val="both"/>
        <w:rPr>
          <w:rFonts w:asciiTheme="majorBidi" w:hAnsiTheme="majorBidi" w:cstheme="majorBidi"/>
          <w:i/>
        </w:rPr>
      </w:pPr>
      <w:r w:rsidRPr="00BB11D1">
        <w:rPr>
          <w:rFonts w:asciiTheme="majorBidi" w:hAnsiTheme="majorBidi" w:cs="Times New Roman"/>
          <w:i/>
          <w:iCs/>
          <w:rtl/>
          <w:lang w:bidi="ar-SA"/>
        </w:rPr>
        <w:lastRenderedPageBreak/>
        <w:t xml:space="preserve">الجدول 3: مؤشرات التشغيل على الودائع المصرفية ، 2008 و 2011 ، </w:t>
      </w:r>
      <w:r w:rsidRPr="00BB11D1">
        <w:rPr>
          <w:rFonts w:asciiTheme="majorBidi" w:hAnsiTheme="majorBidi" w:cstheme="majorBidi"/>
          <w:i/>
          <w:iCs/>
        </w:rPr>
        <w:t>Eurosystem</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1212"/>
        <w:gridCol w:w="1274"/>
        <w:gridCol w:w="1418"/>
        <w:gridCol w:w="1274"/>
        <w:gridCol w:w="1276"/>
        <w:gridCol w:w="1274"/>
      </w:tblGrid>
      <w:tr w:rsidR="00BB11D1" w:rsidTr="00451448">
        <w:trPr>
          <w:trHeight w:val="537"/>
        </w:trPr>
        <w:tc>
          <w:tcPr>
            <w:tcW w:w="1591" w:type="dxa"/>
          </w:tcPr>
          <w:p w:rsidR="00BB11D1" w:rsidRDefault="00BB11D1" w:rsidP="00451448">
            <w:pPr>
              <w:pStyle w:val="TableParagraph"/>
              <w:rPr>
                <w:rFonts w:ascii="Times New Roman"/>
              </w:rPr>
            </w:pPr>
          </w:p>
        </w:tc>
        <w:tc>
          <w:tcPr>
            <w:tcW w:w="3904" w:type="dxa"/>
            <w:gridSpan w:val="3"/>
          </w:tcPr>
          <w:p w:rsidR="00BB11D1" w:rsidRDefault="00BB11D1" w:rsidP="00451448">
            <w:pPr>
              <w:pStyle w:val="TableParagraph"/>
              <w:spacing w:before="2"/>
              <w:ind w:left="108"/>
            </w:pPr>
            <w:r>
              <w:t>∆ in % of stock at beginning of period</w:t>
            </w:r>
          </w:p>
        </w:tc>
        <w:tc>
          <w:tcPr>
            <w:tcW w:w="3824" w:type="dxa"/>
            <w:gridSpan w:val="3"/>
          </w:tcPr>
          <w:p w:rsidR="00BB11D1" w:rsidRDefault="00BB11D1" w:rsidP="00451448">
            <w:pPr>
              <w:pStyle w:val="TableParagraph"/>
              <w:spacing w:before="2"/>
              <w:ind w:left="108"/>
            </w:pPr>
            <w:r>
              <w:t>∆</w:t>
            </w:r>
            <w:r>
              <w:rPr>
                <w:spacing w:val="-17"/>
              </w:rPr>
              <w:t xml:space="preserve"> </w:t>
            </w:r>
            <w:r>
              <w:t>in</w:t>
            </w:r>
            <w:r>
              <w:rPr>
                <w:spacing w:val="-18"/>
              </w:rPr>
              <w:t xml:space="preserve"> </w:t>
            </w:r>
            <w:r>
              <w:t>%</w:t>
            </w:r>
            <w:r>
              <w:rPr>
                <w:spacing w:val="-17"/>
              </w:rPr>
              <w:t xml:space="preserve"> </w:t>
            </w:r>
            <w:r>
              <w:t>of</w:t>
            </w:r>
            <w:r>
              <w:rPr>
                <w:spacing w:val="-19"/>
              </w:rPr>
              <w:t xml:space="preserve"> </w:t>
            </w:r>
            <w:r>
              <w:t>Eurosystem</w:t>
            </w:r>
            <w:r>
              <w:rPr>
                <w:spacing w:val="-16"/>
              </w:rPr>
              <w:t xml:space="preserve"> </w:t>
            </w:r>
            <w:r>
              <w:t>balance</w:t>
            </w:r>
            <w:r>
              <w:rPr>
                <w:spacing w:val="-16"/>
              </w:rPr>
              <w:t xml:space="preserve"> </w:t>
            </w:r>
            <w:r>
              <w:t>sheet</w:t>
            </w:r>
            <w:r>
              <w:rPr>
                <w:spacing w:val="-17"/>
              </w:rPr>
              <w:t xml:space="preserve"> </w:t>
            </w:r>
            <w:r>
              <w:t>at</w:t>
            </w:r>
          </w:p>
          <w:p w:rsidR="00BB11D1" w:rsidRDefault="00BB11D1" w:rsidP="00451448">
            <w:pPr>
              <w:pStyle w:val="TableParagraph"/>
              <w:spacing w:before="16" w:line="246" w:lineRule="exact"/>
              <w:ind w:left="108"/>
            </w:pPr>
            <w:r>
              <w:t>beginning of the period</w:t>
            </w:r>
          </w:p>
        </w:tc>
      </w:tr>
      <w:tr w:rsidR="00BB11D1" w:rsidTr="00451448">
        <w:trPr>
          <w:trHeight w:val="1343"/>
        </w:trPr>
        <w:tc>
          <w:tcPr>
            <w:tcW w:w="1591" w:type="dxa"/>
          </w:tcPr>
          <w:p w:rsidR="00BB11D1" w:rsidRDefault="00BB11D1" w:rsidP="00451448">
            <w:pPr>
              <w:pStyle w:val="TableParagraph"/>
              <w:spacing w:before="2" w:line="254" w:lineRule="auto"/>
              <w:ind w:left="107" w:right="364"/>
            </w:pPr>
            <w:r>
              <w:rPr>
                <w:w w:val="90"/>
              </w:rPr>
              <w:t xml:space="preserve">Comparison </w:t>
            </w:r>
            <w:r>
              <w:t xml:space="preserve">between December </w:t>
            </w:r>
            <w:r>
              <w:rPr>
                <w:w w:val="90"/>
              </w:rPr>
              <w:t>averages of:</w:t>
            </w:r>
          </w:p>
        </w:tc>
        <w:tc>
          <w:tcPr>
            <w:tcW w:w="1212" w:type="dxa"/>
          </w:tcPr>
          <w:p w:rsidR="00BB11D1" w:rsidRDefault="00BB11D1" w:rsidP="00451448">
            <w:pPr>
              <w:pStyle w:val="TableParagraph"/>
              <w:spacing w:before="2" w:line="254" w:lineRule="auto"/>
              <w:ind w:left="108" w:right="138"/>
            </w:pPr>
            <w:r>
              <w:rPr>
                <w:w w:val="90"/>
              </w:rPr>
              <w:t xml:space="preserve">Banknotes </w:t>
            </w:r>
            <w:r>
              <w:t>(“R2”)</w:t>
            </w:r>
          </w:p>
        </w:tc>
        <w:tc>
          <w:tcPr>
            <w:tcW w:w="1274" w:type="dxa"/>
          </w:tcPr>
          <w:p w:rsidR="00BB11D1" w:rsidRDefault="00BB11D1" w:rsidP="00451448">
            <w:pPr>
              <w:pStyle w:val="TableParagraph"/>
              <w:spacing w:before="2" w:line="254" w:lineRule="auto"/>
              <w:ind w:left="107" w:right="37"/>
            </w:pPr>
            <w:r>
              <w:t>Excess reserves of banks</w:t>
            </w:r>
          </w:p>
        </w:tc>
        <w:tc>
          <w:tcPr>
            <w:tcW w:w="1418" w:type="dxa"/>
          </w:tcPr>
          <w:p w:rsidR="00BB11D1" w:rsidRDefault="00BB11D1" w:rsidP="00451448">
            <w:pPr>
              <w:pStyle w:val="TableParagraph"/>
              <w:tabs>
                <w:tab w:val="left" w:pos="1128"/>
              </w:tabs>
              <w:spacing w:before="2" w:line="254" w:lineRule="auto"/>
              <w:ind w:left="108" w:right="92"/>
            </w:pPr>
            <w:r>
              <w:t xml:space="preserve">Excess </w:t>
            </w:r>
            <w:r>
              <w:rPr>
                <w:w w:val="95"/>
              </w:rPr>
              <w:t>reserves</w:t>
            </w:r>
            <w:r>
              <w:rPr>
                <w:w w:val="95"/>
              </w:rPr>
              <w:tab/>
            </w:r>
            <w:r>
              <w:rPr>
                <w:spacing w:val="-9"/>
              </w:rPr>
              <w:t xml:space="preserve">of </w:t>
            </w:r>
            <w:r>
              <w:t>non-bank depositors</w:t>
            </w:r>
          </w:p>
          <w:p w:rsidR="00BB11D1" w:rsidRDefault="00BB11D1" w:rsidP="00451448">
            <w:pPr>
              <w:pStyle w:val="TableParagraph"/>
              <w:spacing w:before="3" w:line="246" w:lineRule="exact"/>
              <w:ind w:left="108"/>
            </w:pPr>
            <w:r>
              <w:t>(“R3”)</w:t>
            </w:r>
          </w:p>
        </w:tc>
        <w:tc>
          <w:tcPr>
            <w:tcW w:w="1274" w:type="dxa"/>
          </w:tcPr>
          <w:p w:rsidR="00BB11D1" w:rsidRDefault="00BB11D1" w:rsidP="00451448">
            <w:pPr>
              <w:pStyle w:val="TableParagraph"/>
              <w:spacing w:before="2" w:line="254" w:lineRule="auto"/>
              <w:ind w:left="108" w:right="200"/>
            </w:pPr>
            <w:r>
              <w:rPr>
                <w:w w:val="90"/>
              </w:rPr>
              <w:t xml:space="preserve">Banknotes </w:t>
            </w:r>
            <w:r>
              <w:t>(“R2”)</w:t>
            </w:r>
          </w:p>
        </w:tc>
        <w:tc>
          <w:tcPr>
            <w:tcW w:w="1276" w:type="dxa"/>
          </w:tcPr>
          <w:p w:rsidR="00BB11D1" w:rsidRDefault="00BB11D1" w:rsidP="00451448">
            <w:pPr>
              <w:pStyle w:val="TableParagraph"/>
              <w:spacing w:before="2" w:line="254" w:lineRule="auto"/>
              <w:ind w:left="111"/>
            </w:pPr>
            <w:r>
              <w:t>Excess reserves of banks</w:t>
            </w:r>
          </w:p>
        </w:tc>
        <w:tc>
          <w:tcPr>
            <w:tcW w:w="1274" w:type="dxa"/>
          </w:tcPr>
          <w:p w:rsidR="00BB11D1" w:rsidRDefault="00BB11D1" w:rsidP="00451448">
            <w:pPr>
              <w:pStyle w:val="TableParagraph"/>
              <w:spacing w:before="2" w:line="254" w:lineRule="auto"/>
              <w:ind w:left="110" w:right="37"/>
            </w:pPr>
            <w:r>
              <w:t>Excess reserves of non-bank depositors</w:t>
            </w:r>
          </w:p>
          <w:p w:rsidR="00BB11D1" w:rsidRDefault="00BB11D1" w:rsidP="00451448">
            <w:pPr>
              <w:pStyle w:val="TableParagraph"/>
              <w:spacing w:before="3" w:line="246" w:lineRule="exact"/>
              <w:ind w:left="110"/>
            </w:pPr>
            <w:r>
              <w:t>(“R3”)</w:t>
            </w:r>
          </w:p>
        </w:tc>
      </w:tr>
      <w:tr w:rsidR="00BB11D1" w:rsidTr="00451448">
        <w:trPr>
          <w:trHeight w:val="268"/>
        </w:trPr>
        <w:tc>
          <w:tcPr>
            <w:tcW w:w="1591" w:type="dxa"/>
          </w:tcPr>
          <w:p w:rsidR="00BB11D1" w:rsidRDefault="00BB11D1" w:rsidP="00451448">
            <w:pPr>
              <w:pStyle w:val="TableParagraph"/>
              <w:spacing w:before="2" w:line="246" w:lineRule="exact"/>
              <w:ind w:left="107"/>
            </w:pPr>
            <w:r>
              <w:t>2008 vs 2007</w:t>
            </w:r>
          </w:p>
        </w:tc>
        <w:tc>
          <w:tcPr>
            <w:tcW w:w="1212" w:type="dxa"/>
          </w:tcPr>
          <w:p w:rsidR="00BB11D1" w:rsidRDefault="00BB11D1" w:rsidP="00451448">
            <w:pPr>
              <w:pStyle w:val="TableParagraph"/>
              <w:spacing w:before="2" w:line="246" w:lineRule="exact"/>
              <w:ind w:right="95"/>
              <w:jc w:val="right"/>
            </w:pPr>
            <w:r>
              <w:rPr>
                <w:w w:val="85"/>
              </w:rPr>
              <w:t>+13%</w:t>
            </w:r>
          </w:p>
        </w:tc>
        <w:tc>
          <w:tcPr>
            <w:tcW w:w="1274" w:type="dxa"/>
          </w:tcPr>
          <w:p w:rsidR="00BB11D1" w:rsidRDefault="00BB11D1" w:rsidP="00451448">
            <w:pPr>
              <w:pStyle w:val="TableParagraph"/>
              <w:spacing w:before="2" w:line="246" w:lineRule="exact"/>
              <w:ind w:right="95"/>
              <w:jc w:val="right"/>
            </w:pPr>
            <w:r>
              <w:rPr>
                <w:w w:val="85"/>
              </w:rPr>
              <w:t>+3675%</w:t>
            </w:r>
          </w:p>
        </w:tc>
        <w:tc>
          <w:tcPr>
            <w:tcW w:w="1418" w:type="dxa"/>
          </w:tcPr>
          <w:p w:rsidR="00BB11D1" w:rsidRDefault="00BB11D1" w:rsidP="00451448">
            <w:pPr>
              <w:pStyle w:val="TableParagraph"/>
              <w:spacing w:before="2" w:line="246" w:lineRule="exact"/>
              <w:ind w:right="94"/>
              <w:jc w:val="right"/>
            </w:pPr>
            <w:r>
              <w:rPr>
                <w:w w:val="90"/>
              </w:rPr>
              <w:t>+ 321%</w:t>
            </w:r>
          </w:p>
        </w:tc>
        <w:tc>
          <w:tcPr>
            <w:tcW w:w="1274" w:type="dxa"/>
          </w:tcPr>
          <w:p w:rsidR="00BB11D1" w:rsidRDefault="00BB11D1" w:rsidP="00451448">
            <w:pPr>
              <w:pStyle w:val="TableParagraph"/>
              <w:spacing w:before="2" w:line="246" w:lineRule="exact"/>
              <w:ind w:right="90"/>
              <w:jc w:val="right"/>
            </w:pPr>
            <w:r>
              <w:rPr>
                <w:w w:val="85"/>
              </w:rPr>
              <w:t>+7%</w:t>
            </w:r>
          </w:p>
        </w:tc>
        <w:tc>
          <w:tcPr>
            <w:tcW w:w="1276" w:type="dxa"/>
          </w:tcPr>
          <w:p w:rsidR="00BB11D1" w:rsidRDefault="00BB11D1" w:rsidP="00451448">
            <w:pPr>
              <w:pStyle w:val="TableParagraph"/>
              <w:spacing w:before="2" w:line="246" w:lineRule="exact"/>
              <w:ind w:right="93"/>
              <w:jc w:val="right"/>
            </w:pPr>
            <w:r>
              <w:rPr>
                <w:w w:val="85"/>
              </w:rPr>
              <w:t>+32%</w:t>
            </w:r>
          </w:p>
        </w:tc>
        <w:tc>
          <w:tcPr>
            <w:tcW w:w="1274" w:type="dxa"/>
          </w:tcPr>
          <w:p w:rsidR="00BB11D1" w:rsidRDefault="00BB11D1" w:rsidP="00451448">
            <w:pPr>
              <w:pStyle w:val="TableParagraph"/>
              <w:spacing w:before="2" w:line="246" w:lineRule="exact"/>
              <w:ind w:right="93"/>
              <w:jc w:val="right"/>
            </w:pPr>
            <w:r>
              <w:rPr>
                <w:w w:val="85"/>
              </w:rPr>
              <w:t>+23%</w:t>
            </w:r>
          </w:p>
        </w:tc>
      </w:tr>
      <w:tr w:rsidR="00BB11D1" w:rsidTr="00451448">
        <w:trPr>
          <w:trHeight w:val="268"/>
        </w:trPr>
        <w:tc>
          <w:tcPr>
            <w:tcW w:w="1591" w:type="dxa"/>
          </w:tcPr>
          <w:p w:rsidR="00BB11D1" w:rsidRDefault="00BB11D1" w:rsidP="00451448">
            <w:pPr>
              <w:pStyle w:val="TableParagraph"/>
              <w:spacing w:before="2" w:line="246" w:lineRule="exact"/>
              <w:ind w:left="107"/>
            </w:pPr>
            <w:r>
              <w:t>2012 vs. 2010</w:t>
            </w:r>
          </w:p>
        </w:tc>
        <w:tc>
          <w:tcPr>
            <w:tcW w:w="1212" w:type="dxa"/>
          </w:tcPr>
          <w:p w:rsidR="00BB11D1" w:rsidRDefault="00BB11D1" w:rsidP="00451448">
            <w:pPr>
              <w:pStyle w:val="TableParagraph"/>
              <w:spacing w:before="2" w:line="246" w:lineRule="exact"/>
              <w:ind w:right="94"/>
              <w:jc w:val="right"/>
            </w:pPr>
            <w:r>
              <w:rPr>
                <w:w w:val="85"/>
              </w:rPr>
              <w:t>+8%</w:t>
            </w:r>
          </w:p>
        </w:tc>
        <w:tc>
          <w:tcPr>
            <w:tcW w:w="1274" w:type="dxa"/>
          </w:tcPr>
          <w:p w:rsidR="00BB11D1" w:rsidRDefault="00BB11D1" w:rsidP="00451448">
            <w:pPr>
              <w:pStyle w:val="TableParagraph"/>
              <w:spacing w:before="2" w:line="246" w:lineRule="exact"/>
              <w:ind w:right="92"/>
              <w:jc w:val="right"/>
            </w:pPr>
            <w:r>
              <w:rPr>
                <w:w w:val="85"/>
              </w:rPr>
              <w:t>+580%</w:t>
            </w:r>
          </w:p>
        </w:tc>
        <w:tc>
          <w:tcPr>
            <w:tcW w:w="1418" w:type="dxa"/>
          </w:tcPr>
          <w:p w:rsidR="00BB11D1" w:rsidRDefault="00BB11D1" w:rsidP="00451448">
            <w:pPr>
              <w:pStyle w:val="TableParagraph"/>
              <w:spacing w:before="2" w:line="246" w:lineRule="exact"/>
              <w:ind w:right="92"/>
              <w:jc w:val="right"/>
            </w:pPr>
            <w:r>
              <w:rPr>
                <w:w w:val="85"/>
              </w:rPr>
              <w:t>+151%</w:t>
            </w:r>
          </w:p>
        </w:tc>
        <w:tc>
          <w:tcPr>
            <w:tcW w:w="1274" w:type="dxa"/>
          </w:tcPr>
          <w:p w:rsidR="00BB11D1" w:rsidRDefault="00BB11D1" w:rsidP="00451448">
            <w:pPr>
              <w:pStyle w:val="TableParagraph"/>
              <w:spacing w:before="2" w:line="246" w:lineRule="exact"/>
              <w:ind w:right="90"/>
              <w:jc w:val="right"/>
            </w:pPr>
            <w:r>
              <w:rPr>
                <w:w w:val="85"/>
              </w:rPr>
              <w:t>+4%</w:t>
            </w:r>
          </w:p>
        </w:tc>
        <w:tc>
          <w:tcPr>
            <w:tcW w:w="1276" w:type="dxa"/>
          </w:tcPr>
          <w:p w:rsidR="00BB11D1" w:rsidRDefault="00BB11D1" w:rsidP="00451448">
            <w:pPr>
              <w:pStyle w:val="TableParagraph"/>
              <w:spacing w:before="2" w:line="246" w:lineRule="exact"/>
              <w:ind w:right="93"/>
              <w:jc w:val="right"/>
            </w:pPr>
            <w:r>
              <w:rPr>
                <w:w w:val="85"/>
              </w:rPr>
              <w:t>+38%</w:t>
            </w:r>
          </w:p>
        </w:tc>
        <w:tc>
          <w:tcPr>
            <w:tcW w:w="1274" w:type="dxa"/>
          </w:tcPr>
          <w:p w:rsidR="00BB11D1" w:rsidRDefault="00BB11D1" w:rsidP="00451448">
            <w:pPr>
              <w:pStyle w:val="TableParagraph"/>
              <w:spacing w:before="2" w:line="246" w:lineRule="exact"/>
              <w:ind w:right="93"/>
              <w:jc w:val="right"/>
            </w:pPr>
            <w:r>
              <w:rPr>
                <w:w w:val="85"/>
              </w:rPr>
              <w:t>+10%</w:t>
            </w:r>
          </w:p>
        </w:tc>
      </w:tr>
    </w:tbl>
    <w:p w:rsidR="000255A4" w:rsidRPr="00BB11D1" w:rsidRDefault="000255A4" w:rsidP="006A2441">
      <w:pPr>
        <w:pStyle w:val="BodyText"/>
        <w:bidi/>
        <w:spacing w:before="6"/>
        <w:rPr>
          <w:rFonts w:asciiTheme="majorBidi" w:hAnsiTheme="majorBidi" w:cstheme="majorBidi"/>
          <w:i/>
          <w:sz w:val="23"/>
        </w:rPr>
      </w:pPr>
    </w:p>
    <w:p w:rsidR="00BB11D1"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يشير الجدول إلى أن مساهمة الجري من الودائع المصرفية في الأوراق النقدية كانت صغيرة بشكل ملحوظ مقارنة بالعاملين الآخرين. من الواضح أن الركود من البنوك الضعيفة إلى البنوك القوية كان الأقوى بين الثلاثة ، يليه الركود إلى الودائع غير المصرفية.</w:t>
      </w:r>
    </w:p>
    <w:p w:rsidR="000255A4"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تجدر الإشارة إلى أن الفارق بين سعر الفائدة على عمليات إعادة التمويل الرئيسية للبنك المركزي الأوروبي (</w:t>
      </w:r>
      <w:r w:rsidRPr="00BB11D1">
        <w:rPr>
          <w:rFonts w:asciiTheme="majorBidi" w:hAnsiTheme="majorBidi" w:cstheme="majorBidi"/>
          <w:lang w:bidi="ar-SA"/>
        </w:rPr>
        <w:t>MRO</w:t>
      </w:r>
      <w:r w:rsidRPr="00BB11D1">
        <w:rPr>
          <w:rFonts w:asciiTheme="majorBidi" w:hAnsiTheme="majorBidi" w:cstheme="majorBidi"/>
          <w:rtl/>
          <w:lang w:bidi="ar-SA"/>
        </w:rPr>
        <w:t xml:space="preserve"> - يُطلق عليه ما يسمى "التخصيص الكامل للمعدل الثابت") ومعدل المكافأة من الاحتياطيات الزائدة هو أداة لوضع الحوافز مقابل الركض من الودائع لدى بنك واحد في ودائع بنك آخر. ومع ذلك ، إذا كان هناك أي شيء ، فقد ضاقت </w:t>
      </w:r>
      <w:r w:rsidRPr="00BB11D1">
        <w:rPr>
          <w:rFonts w:asciiTheme="majorBidi" w:hAnsiTheme="majorBidi" w:cstheme="majorBidi"/>
          <w:lang w:bidi="ar-SA"/>
        </w:rPr>
        <w:t>Eurosystem</w:t>
      </w:r>
      <w:r w:rsidRPr="00BB11D1">
        <w:rPr>
          <w:rFonts w:asciiTheme="majorBidi" w:hAnsiTheme="majorBidi" w:cstheme="majorBidi"/>
          <w:rtl/>
          <w:lang w:bidi="ar-SA"/>
        </w:rPr>
        <w:t xml:space="preserve"> هذا الانتشار خلال فترات الأزمة ، نسبةً إلى مستوى ما قبل الأزمة عند 200 نقطة أساس ، مما يشير إلى أن محاولة منع الركض من خلال حوافز الأسعار لم تعتبر الحل الصحيح (انظر على سبيل المثال </w:t>
      </w:r>
      <w:r w:rsidRPr="00BB11D1">
        <w:rPr>
          <w:rFonts w:asciiTheme="majorBidi" w:hAnsiTheme="majorBidi" w:cstheme="majorBidi"/>
          <w:lang w:bidi="ar-SA"/>
        </w:rPr>
        <w:t>Bindseil</w:t>
      </w:r>
      <w:r w:rsidRPr="00BB11D1">
        <w:rPr>
          <w:rFonts w:asciiTheme="majorBidi" w:hAnsiTheme="majorBidi" w:cstheme="majorBidi"/>
          <w:rtl/>
          <w:lang w:bidi="ar-SA"/>
        </w:rPr>
        <w:t xml:space="preserve"> و </w:t>
      </w:r>
      <w:r w:rsidRPr="00BB11D1">
        <w:rPr>
          <w:rFonts w:asciiTheme="majorBidi" w:hAnsiTheme="majorBidi" w:cstheme="majorBidi"/>
          <w:lang w:bidi="ar-SA"/>
        </w:rPr>
        <w:t xml:space="preserve">Jablecki </w:t>
      </w:r>
      <w:r w:rsidRPr="00BB11D1">
        <w:rPr>
          <w:rFonts w:asciiTheme="majorBidi" w:hAnsiTheme="majorBidi" w:cstheme="majorBidi"/>
          <w:rtl/>
          <w:lang w:bidi="ar-SA"/>
        </w:rPr>
        <w:t xml:space="preserve">، </w:t>
      </w:r>
      <w:r w:rsidRPr="00BB11D1">
        <w:rPr>
          <w:rFonts w:asciiTheme="majorBidi" w:hAnsiTheme="majorBidi" w:cstheme="majorBidi"/>
          <w:lang w:bidi="ar-SA"/>
        </w:rPr>
        <w:t>2011</w:t>
      </w:r>
      <w:r w:rsidRPr="00BB11D1">
        <w:rPr>
          <w:rFonts w:asciiTheme="majorBidi" w:hAnsiTheme="majorBidi" w:cstheme="majorBidi"/>
          <w:rtl/>
          <w:lang w:bidi="ar-SA"/>
        </w:rPr>
        <w:t>).</w:t>
      </w:r>
    </w:p>
    <w:p w:rsidR="00BB11D1" w:rsidRPr="00BB11D1" w:rsidRDefault="00BB11D1" w:rsidP="00BB11D1">
      <w:pPr>
        <w:tabs>
          <w:tab w:val="left" w:pos="610"/>
        </w:tabs>
        <w:bidi/>
        <w:spacing w:line="480" w:lineRule="auto"/>
        <w:ind w:right="766"/>
        <w:jc w:val="both"/>
        <w:rPr>
          <w:rFonts w:asciiTheme="majorBidi" w:hAnsiTheme="majorBidi" w:cstheme="majorBidi"/>
          <w:sz w:val="23"/>
        </w:rPr>
      </w:pPr>
      <w:r w:rsidRPr="00BB11D1">
        <w:rPr>
          <w:rFonts w:asciiTheme="majorBidi" w:hAnsiTheme="majorBidi" w:cstheme="majorBidi"/>
          <w:sz w:val="23"/>
          <w:rtl/>
          <w:lang w:bidi="ar-SA"/>
        </w:rPr>
        <w:t xml:space="preserve">لفهم محركات </w:t>
      </w:r>
      <w:r w:rsidRPr="00BB11D1">
        <w:rPr>
          <w:rFonts w:asciiTheme="majorBidi" w:hAnsiTheme="majorBidi" w:cstheme="majorBidi"/>
          <w:sz w:val="23"/>
        </w:rPr>
        <w:t>R3</w:t>
      </w:r>
      <w:r w:rsidRPr="00BB11D1">
        <w:rPr>
          <w:rFonts w:asciiTheme="majorBidi" w:hAnsiTheme="majorBidi" w:cstheme="majorBidi"/>
          <w:sz w:val="23"/>
          <w:rtl/>
          <w:lang w:bidi="ar-SA"/>
        </w:rPr>
        <w:t xml:space="preserve"> بشكل أفضل على مدار العقد الماضي ، يوضح الشكل أدناه تطور ثلاثة مراكز للمسؤولية في النظام الأوروبي والتي تستحوذ على ودائع غير مصرفية مفتوحة لكيانات القطاع العام المختلفة ، وهي (وفقًا للمرفق الرابع من المبدأ التوجيهي المحاسبي للبنك المركزي الأوروبي ، انظر البنك المركزي الأوروبي ، 2016):</w:t>
      </w:r>
    </w:p>
    <w:p w:rsidR="00BB11D1" w:rsidRPr="00BB11D1" w:rsidRDefault="00BB11D1" w:rsidP="00BB11D1">
      <w:pPr>
        <w:pStyle w:val="ListParagraph"/>
        <w:numPr>
          <w:ilvl w:val="0"/>
          <w:numId w:val="9"/>
        </w:numPr>
        <w:tabs>
          <w:tab w:val="left" w:pos="610"/>
        </w:tabs>
        <w:bidi/>
        <w:spacing w:line="480" w:lineRule="auto"/>
        <w:ind w:right="766"/>
        <w:rPr>
          <w:rFonts w:asciiTheme="majorBidi" w:hAnsiTheme="majorBidi" w:cstheme="majorBidi"/>
          <w:sz w:val="23"/>
        </w:rPr>
      </w:pPr>
      <w:r w:rsidRPr="00BB11D1">
        <w:rPr>
          <w:rFonts w:asciiTheme="majorBidi" w:hAnsiTheme="majorBidi" w:cstheme="majorBidi"/>
          <w:sz w:val="23"/>
        </w:rPr>
        <w:t>L.5.1</w:t>
      </w:r>
      <w:r w:rsidRPr="00BB11D1">
        <w:rPr>
          <w:rFonts w:asciiTheme="majorBidi" w:hAnsiTheme="majorBidi" w:cstheme="majorBidi"/>
          <w:sz w:val="23"/>
          <w:rtl/>
          <w:lang w:bidi="ar-SA"/>
        </w:rPr>
        <w:t xml:space="preserve"> "الحكومة العامة. الحسابات الجارية ، الودائع الثابتة ، الودائع المستحقة عند الطلب "</w:t>
      </w:r>
    </w:p>
    <w:p w:rsidR="00BB11D1" w:rsidRPr="00BB11D1" w:rsidRDefault="00BB11D1" w:rsidP="00BB11D1">
      <w:pPr>
        <w:pStyle w:val="ListParagraph"/>
        <w:numPr>
          <w:ilvl w:val="0"/>
          <w:numId w:val="9"/>
        </w:numPr>
        <w:tabs>
          <w:tab w:val="left" w:pos="610"/>
        </w:tabs>
        <w:bidi/>
        <w:spacing w:line="480" w:lineRule="auto"/>
        <w:ind w:right="766"/>
        <w:rPr>
          <w:rFonts w:asciiTheme="majorBidi" w:hAnsiTheme="majorBidi" w:cstheme="majorBidi"/>
          <w:sz w:val="23"/>
        </w:rPr>
      </w:pPr>
      <w:r w:rsidRPr="00BB11D1">
        <w:rPr>
          <w:rFonts w:asciiTheme="majorBidi" w:hAnsiTheme="majorBidi" w:cstheme="majorBidi"/>
          <w:sz w:val="23"/>
        </w:rPr>
        <w:t>L.5.2</w:t>
      </w:r>
      <w:r w:rsidRPr="00BB11D1">
        <w:rPr>
          <w:rFonts w:asciiTheme="majorBidi" w:hAnsiTheme="majorBidi" w:cstheme="majorBidi"/>
          <w:sz w:val="23"/>
          <w:rtl/>
          <w:lang w:bidi="ar-SA"/>
        </w:rPr>
        <w:t xml:space="preserve"> "الخصوم الأخرى. الحسابات الجارية للموظفين والشركات والعملاء بما في ذلك المؤسسات المالية المدرجة على أنها معفاة من الالتزام بالاحتفاظ بالحد الأدنى من الاحتياطيات (انظر بند المسؤولية 2.1 "الحسابات الجارية") ؛ ودائع محددة الأجل ، ودائع مستحقة الدفع عند الطلب "</w:t>
      </w:r>
    </w:p>
    <w:p w:rsidR="000255A4" w:rsidRPr="00BB11D1" w:rsidRDefault="00BB11D1" w:rsidP="00BB11D1">
      <w:pPr>
        <w:pStyle w:val="ListParagraph"/>
        <w:numPr>
          <w:ilvl w:val="0"/>
          <w:numId w:val="9"/>
        </w:numPr>
        <w:tabs>
          <w:tab w:val="left" w:pos="610"/>
        </w:tabs>
        <w:bidi/>
        <w:spacing w:line="480" w:lineRule="auto"/>
        <w:ind w:right="766"/>
        <w:rPr>
          <w:rFonts w:asciiTheme="majorBidi" w:hAnsiTheme="majorBidi" w:cstheme="majorBidi"/>
        </w:rPr>
      </w:pPr>
      <w:r w:rsidRPr="00BB11D1">
        <w:rPr>
          <w:rFonts w:asciiTheme="majorBidi" w:hAnsiTheme="majorBidi" w:cstheme="majorBidi"/>
          <w:sz w:val="23"/>
        </w:rPr>
        <w:t>L.6</w:t>
      </w:r>
      <w:r w:rsidRPr="00BB11D1">
        <w:rPr>
          <w:rFonts w:asciiTheme="majorBidi" w:hAnsiTheme="majorBidi" w:cstheme="majorBidi"/>
          <w:sz w:val="23"/>
          <w:rtl/>
          <w:lang w:bidi="ar-SA"/>
        </w:rPr>
        <w:t xml:space="preserve"> "الخصوم لسكان منطقة اليورو غير مقومة باليورو. الحسابات الجارية والودائع الثابتة الأجل والودائع المستحقة الدفع عند الطلب بما في ذلك الحسابات المحتفظ بها لأغراض الدفع والحسابات المحتفظ بها لأغراض إدارة الاحتياطيات: للمصارف الأخرى والمصارف المركزية والمؤسسات الدولية / فوق الوطنية بما في ذلك المفوضية الأوروبية ؛ الحسابات الجارية للمودعين الآخرين. معاملات إعادة الشراء فيما يتعلق بمعاملات إعادة الشراء العكسي المتزامنة لإدارة الأوراق المالية المقومة باليورو. أرصدة </w:t>
      </w:r>
      <w:r w:rsidRPr="00BB11D1">
        <w:rPr>
          <w:rFonts w:asciiTheme="majorBidi" w:hAnsiTheme="majorBidi" w:cstheme="majorBidi"/>
          <w:sz w:val="23"/>
        </w:rPr>
        <w:t>TARGET2</w:t>
      </w:r>
      <w:r w:rsidRPr="00BB11D1">
        <w:rPr>
          <w:rFonts w:asciiTheme="majorBidi" w:hAnsiTheme="majorBidi" w:cstheme="majorBidi"/>
          <w:sz w:val="23"/>
          <w:rtl/>
          <w:lang w:bidi="ar-SA"/>
        </w:rPr>
        <w:t xml:space="preserve"> من حسابات البنوك المركزية للدول الأعضاء التي ليست عملتها هي اليورو. "</w:t>
      </w:r>
      <w:r w:rsidR="009C2E3C" w:rsidRPr="00BB11D1">
        <w:rPr>
          <w:rFonts w:asciiTheme="majorBidi" w:hAnsiTheme="majorBidi" w:cstheme="majorBidi"/>
        </w:rPr>
        <w:t xml:space="preserve"> ".</w:t>
      </w:r>
    </w:p>
    <w:p w:rsidR="00BB11D1" w:rsidRPr="00BB11D1" w:rsidRDefault="00BB11D1" w:rsidP="00BB11D1">
      <w:pPr>
        <w:pStyle w:val="BodyText"/>
        <w:bidi/>
        <w:spacing w:before="5" w:line="480" w:lineRule="auto"/>
        <w:jc w:val="both"/>
        <w:rPr>
          <w:rFonts w:asciiTheme="majorBidi" w:hAnsiTheme="majorBidi" w:cstheme="majorBidi"/>
        </w:rPr>
      </w:pPr>
      <w:r w:rsidRPr="00BB11D1">
        <w:rPr>
          <w:rFonts w:asciiTheme="majorBidi" w:hAnsiTheme="majorBidi" w:cstheme="majorBidi"/>
          <w:rtl/>
          <w:lang w:bidi="ar-SA"/>
        </w:rPr>
        <w:t xml:space="preserve">يشير الشكل إلى أن تسعير الودائع غير المصرفية من قبل </w:t>
      </w:r>
      <w:r w:rsidRPr="00BB11D1">
        <w:rPr>
          <w:rFonts w:asciiTheme="majorBidi" w:hAnsiTheme="majorBidi" w:cstheme="majorBidi"/>
        </w:rPr>
        <w:t>Eurosystem</w:t>
      </w:r>
      <w:r w:rsidRPr="00BB11D1">
        <w:rPr>
          <w:rFonts w:asciiTheme="majorBidi" w:hAnsiTheme="majorBidi" w:cstheme="majorBidi"/>
          <w:rtl/>
          <w:lang w:bidi="ar-SA"/>
        </w:rPr>
        <w:t xml:space="preserve"> لم يكن مثل منع أي زيادة في الالتزامات غير المصرفية في </w:t>
      </w:r>
      <w:r w:rsidRPr="00BB11D1">
        <w:rPr>
          <w:rFonts w:asciiTheme="majorBidi" w:hAnsiTheme="majorBidi" w:cstheme="majorBidi"/>
          <w:rtl/>
          <w:lang w:bidi="ar-SA"/>
        </w:rPr>
        <w:lastRenderedPageBreak/>
        <w:t xml:space="preserve">كل من عمليات التوسعة في الميزانية العمومية الثلاثة خلال السنوات الماضية:. خلال الأزمة المصرفية في عام 2008 ، على وجه الخصوص زادت </w:t>
      </w:r>
      <w:r w:rsidRPr="00BB11D1">
        <w:rPr>
          <w:rFonts w:asciiTheme="majorBidi" w:hAnsiTheme="majorBidi" w:cstheme="majorBidi"/>
        </w:rPr>
        <w:t>L6</w:t>
      </w:r>
      <w:r w:rsidRPr="00BB11D1">
        <w:rPr>
          <w:rFonts w:asciiTheme="majorBidi" w:hAnsiTheme="majorBidi" w:cstheme="majorBidi"/>
          <w:rtl/>
          <w:lang w:bidi="ar-SA"/>
        </w:rPr>
        <w:t xml:space="preserve"> بشكل حاد وسريع ، وبلغت ذروتها في ديسمبر 2008 ، في حين زادت </w:t>
      </w:r>
      <w:r w:rsidRPr="00BB11D1">
        <w:rPr>
          <w:rFonts w:asciiTheme="majorBidi" w:hAnsiTheme="majorBidi" w:cstheme="majorBidi"/>
        </w:rPr>
        <w:t>L5</w:t>
      </w:r>
      <w:r w:rsidRPr="00BB11D1">
        <w:rPr>
          <w:rFonts w:asciiTheme="majorBidi" w:hAnsiTheme="majorBidi" w:cstheme="majorBidi"/>
          <w:rtl/>
          <w:lang w:bidi="ar-SA"/>
        </w:rPr>
        <w:t xml:space="preserve"> بشكل تدريجي. خلال أزمة الديون السيادية ، وصلت </w:t>
      </w:r>
      <w:r w:rsidRPr="00BB11D1">
        <w:rPr>
          <w:rFonts w:asciiTheme="majorBidi" w:hAnsiTheme="majorBidi" w:cstheme="majorBidi"/>
        </w:rPr>
        <w:t>L6</w:t>
      </w:r>
      <w:r w:rsidRPr="00BB11D1">
        <w:rPr>
          <w:rFonts w:asciiTheme="majorBidi" w:hAnsiTheme="majorBidi" w:cstheme="majorBidi"/>
          <w:rtl/>
          <w:lang w:bidi="ar-SA"/>
        </w:rPr>
        <w:t xml:space="preserve"> مرة أخرى إلى مستويات عالية ، وبلغت هذه المرة ذروتها في يوليو 2012. تم الوصول إلى أعلى المستويات لجميع أنواع الودائع الثلاثة خلال برنامج </w:t>
      </w:r>
      <w:r w:rsidRPr="00BB11D1">
        <w:rPr>
          <w:rFonts w:asciiTheme="majorBidi" w:hAnsiTheme="majorBidi" w:cstheme="majorBidi"/>
        </w:rPr>
        <w:t>APP</w:t>
      </w:r>
      <w:r w:rsidRPr="00BB11D1">
        <w:rPr>
          <w:rFonts w:asciiTheme="majorBidi" w:hAnsiTheme="majorBidi" w:cstheme="majorBidi"/>
          <w:rtl/>
          <w:lang w:bidi="ar-SA"/>
        </w:rPr>
        <w:t xml:space="preserve"> شراء الأصول ، مع بلوغ الذروة مع الحد الأقصى لمستوى أسهم </w:t>
      </w:r>
      <w:r w:rsidRPr="00BB11D1">
        <w:rPr>
          <w:rFonts w:asciiTheme="majorBidi" w:hAnsiTheme="majorBidi" w:cstheme="majorBidi"/>
        </w:rPr>
        <w:t>APP</w:t>
      </w:r>
      <w:r w:rsidRPr="00BB11D1">
        <w:rPr>
          <w:rFonts w:asciiTheme="majorBidi" w:hAnsiTheme="majorBidi" w:cstheme="majorBidi"/>
          <w:rtl/>
          <w:lang w:bidi="ar-SA"/>
        </w:rPr>
        <w:t xml:space="preserve"> في ديسمبر 2018.</w:t>
      </w:r>
    </w:p>
    <w:p w:rsidR="00BB11D1" w:rsidRPr="00BB11D1" w:rsidRDefault="00BB11D1" w:rsidP="00BB11D1">
      <w:pPr>
        <w:pStyle w:val="BodyText"/>
        <w:bidi/>
        <w:spacing w:before="5"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في الواقع ، يجب تمييز ثلاثة عوامل خاصة خلال هذه المراحل. أولاً ، بشكل خاص خلال عام 2008 ، وأيضًا مرة أخرى خلال 2011-2012 ، أدت التصورات القوية للمخاطر الائتمانية فيما يتعلق بأجزاء من النظام المصرفي على الأقل إلى سحب الودائع. من منظور البنوك ذات التدفقات الخارجية للودائع ، لا يوجد فرق معين إذا كانت التدفقات الخارجة لمبلغ معين تفيد البنوك الأخرى ، أو انتقلت إلى بعض حسابات الودائع غير المصرفية لدى البنك المركزي ، أو تأخذ شكل الأوراق النقدية (كما هو موضح أعلاه ، انظر أيضا </w:t>
      </w:r>
      <w:r w:rsidRPr="00BB11D1">
        <w:rPr>
          <w:rFonts w:asciiTheme="majorBidi" w:hAnsiTheme="majorBidi" w:cstheme="majorBidi"/>
        </w:rPr>
        <w:t xml:space="preserve">Juks </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 القسم 5). ثانياً ، كان للمستويات الاستثنائية لمعدلات البنك المركزي آثار على الجاذبية النسبية للاستثمارات المختلفة. على سبيل المثال ، إذا تم تعيين معدل الأجور لبعض الودائع غير المصرفية على الصفر من قبل البنك المركزي ، فقد يكون هذا عادةً ، أي في العالم القديم بأسعار الفائدة الإيجابية ، غير جذابة ، وكضمان أن المبالغ المودعة سوف لا تزال منخفضة. ولكن بمجرد أن تتحرك أسعار الفائدة في السياسة النقدية ، على عكس الافتراضات السابقة ، إلى الصفر أو حتى إلى أقل من الصفر ، تصبح أسعار الفائدة على الودائع غير المصرفية (المستوى الثاني) غير جذابة في السابق ، حتى يغير البنك المركزي صيغة تحديد سعر الفائدة للرد على الواقع الجديد. في الواقع ، قام النظام الأوروبي بتعديل صيغه ، وإن لم يكن بطريقة تمنع الزيادة بشكل كامل. ثالثًا ، دفعت مبالغ استثنائية من الاحتياطيات الزائدة بعض أسعار السوق قصيرة الأجل إلى أقل من مستوى تسهيل الودائع المتاح للبنوك. على سبيل المثال ، تم تداول أسعار إعادة الشراء في </w:t>
      </w:r>
      <w:r w:rsidRPr="00BB11D1">
        <w:rPr>
          <w:rFonts w:asciiTheme="majorBidi" w:hAnsiTheme="majorBidi" w:cstheme="majorBidi"/>
        </w:rPr>
        <w:t>GC</w:t>
      </w:r>
      <w:r w:rsidRPr="00BB11D1">
        <w:rPr>
          <w:rFonts w:asciiTheme="majorBidi" w:hAnsiTheme="majorBidi" w:cstheme="majorBidi"/>
          <w:rtl/>
          <w:lang w:bidi="ar-SA"/>
        </w:rPr>
        <w:t xml:space="preserve"> خلال الفترة 2017 2018 بحوالي 15 </w:t>
      </w:r>
      <w:r>
        <w:rPr>
          <w:rFonts w:asciiTheme="majorBidi" w:hAnsiTheme="majorBidi" w:cstheme="majorBidi"/>
          <w:rtl/>
          <w:lang w:bidi="ar-SA"/>
        </w:rPr>
        <w:t>نقطة أساس عن معدل تسهيل الودائع</w:t>
      </w:r>
      <w:r w:rsidRPr="00BB11D1">
        <w:rPr>
          <w:rFonts w:asciiTheme="majorBidi" w:hAnsiTheme="majorBidi" w:cstheme="majorBidi"/>
          <w:rtl/>
          <w:lang w:bidi="ar-SA"/>
        </w:rPr>
        <w:t>، وهو ما كان لا يمكن تصوره في ظروف السيولة العادية.</w:t>
      </w:r>
    </w:p>
    <w:p w:rsidR="000255A4" w:rsidRPr="00BB11D1" w:rsidRDefault="00BB11D1" w:rsidP="00BB11D1">
      <w:pPr>
        <w:pStyle w:val="BodyText"/>
        <w:bidi/>
        <w:spacing w:before="5"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كما ذكرنا سابقًا ، لم يكن النظام الأوروبي بحاجة إلى تحمل هذه الحلقات من الزيادة في الودائع غير المصرفية ، أي عن طريق تسعير الودائع بقوة أكبر. على سبيل المثال ، إذا كان النظام الأوروبي كان سيحصل على مكافآت عند -5٪ ، فسيمنع حدوث زيادات كبيرة في هذه الودائع ، حيث كان المستثمرون في القطاع الرسمي يفضلون الاستثمار في السندات الحكومية ذات التصنيف </w:t>
      </w:r>
      <w:r w:rsidRPr="00BB11D1">
        <w:rPr>
          <w:rFonts w:asciiTheme="majorBidi" w:hAnsiTheme="majorBidi" w:cstheme="majorBidi"/>
        </w:rPr>
        <w:t>AAA</w:t>
      </w:r>
      <w:r w:rsidRPr="00BB11D1">
        <w:rPr>
          <w:rFonts w:asciiTheme="majorBidi" w:hAnsiTheme="majorBidi" w:cstheme="majorBidi"/>
          <w:rtl/>
          <w:lang w:bidi="ar-SA"/>
        </w:rPr>
        <w:t>. إن عدم قيام النظام الأوروبي بذلك لم يكشف عن حكم النظام الأوروبي بأن الزيادة الملحوظة للودائع غير المصرفية كانت مقبولة من منظور الاستقرار المالي والسياسة النقدية.</w:t>
      </w: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Pr="00BB11D1" w:rsidRDefault="00BB11D1" w:rsidP="00BB11D1">
      <w:pPr>
        <w:pStyle w:val="BodyText"/>
        <w:bidi/>
        <w:spacing w:before="5" w:line="480" w:lineRule="auto"/>
        <w:jc w:val="both"/>
        <w:rPr>
          <w:rFonts w:asciiTheme="majorBidi" w:hAnsiTheme="majorBidi" w:cstheme="majorBidi"/>
          <w:sz w:val="23"/>
        </w:rPr>
      </w:pPr>
    </w:p>
    <w:p w:rsidR="000255A4" w:rsidRPr="00BB11D1" w:rsidRDefault="00BB11D1" w:rsidP="006A2441">
      <w:pPr>
        <w:pStyle w:val="BodyText"/>
        <w:bidi/>
        <w:ind w:left="250"/>
        <w:rPr>
          <w:rFonts w:asciiTheme="majorBidi" w:hAnsiTheme="majorBidi" w:cstheme="majorBidi"/>
          <w:sz w:val="20"/>
        </w:rPr>
      </w:pPr>
      <w:r w:rsidRPr="00BB11D1">
        <w:rPr>
          <w:rFonts w:asciiTheme="majorBidi" w:hAnsiTheme="majorBidi" w:cs="Times New Roman"/>
          <w:i/>
          <w:iCs/>
          <w:rtl/>
          <w:lang w:bidi="ar-SA"/>
        </w:rPr>
        <w:lastRenderedPageBreak/>
        <w:t>الشكل 3: تطور الودائع غير المصرفية لدى النظام الأوروبي ، 2007-2018</w:t>
      </w:r>
      <w:r w:rsidR="009C2E3C" w:rsidRPr="00BB11D1">
        <w:rPr>
          <w:rFonts w:asciiTheme="majorBidi" w:hAnsiTheme="majorBidi" w:cstheme="majorBidi"/>
          <w:noProof/>
          <w:sz w:val="20"/>
          <w:lang w:bidi="ar-SA"/>
        </w:rPr>
        <w:drawing>
          <wp:inline distT="0" distB="0" distL="0" distR="0" wp14:anchorId="36DDB3EF" wp14:editId="724CB8C7">
            <wp:extent cx="5356581" cy="2359152"/>
            <wp:effectExtent l="0" t="0" r="0" b="0"/>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24" cstate="print"/>
                    <a:stretch>
                      <a:fillRect/>
                    </a:stretch>
                  </pic:blipFill>
                  <pic:spPr>
                    <a:xfrm>
                      <a:off x="0" y="0"/>
                      <a:ext cx="5356581" cy="2359152"/>
                    </a:xfrm>
                    <a:prstGeom prst="rect">
                      <a:avLst/>
                    </a:prstGeom>
                  </pic:spPr>
                </pic:pic>
              </a:graphicData>
            </a:graphic>
          </wp:inline>
        </w:drawing>
      </w:r>
    </w:p>
    <w:p w:rsidR="000255A4" w:rsidRPr="00BB11D1" w:rsidRDefault="000255A4" w:rsidP="006A2441">
      <w:pPr>
        <w:bidi/>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7"/>
        <w:rPr>
          <w:rFonts w:asciiTheme="majorBidi" w:hAnsiTheme="majorBidi" w:cstheme="majorBidi"/>
          <w:i/>
          <w:sz w:val="23"/>
        </w:rPr>
      </w:pPr>
    </w:p>
    <w:p w:rsidR="00BB11D1" w:rsidRPr="00BB11D1" w:rsidRDefault="00BB11D1" w:rsidP="00BB11D1">
      <w:pPr>
        <w:pStyle w:val="Heading2"/>
        <w:numPr>
          <w:ilvl w:val="0"/>
          <w:numId w:val="13"/>
        </w:numPr>
        <w:tabs>
          <w:tab w:val="left" w:pos="529"/>
        </w:tabs>
        <w:bidi/>
        <w:spacing w:before="17" w:line="480" w:lineRule="auto"/>
        <w:ind w:right="766"/>
        <w:jc w:val="both"/>
        <w:rPr>
          <w:rFonts w:asciiTheme="majorBidi" w:hAnsiTheme="majorBidi" w:cstheme="majorBidi"/>
        </w:rPr>
      </w:pPr>
      <w:bookmarkStart w:id="10" w:name="4_Controlling_CBDC_volumes_–_approaches_"/>
      <w:bookmarkStart w:id="11" w:name="4.1_The_approach_of_Kumhoff_and_Noone_(2"/>
      <w:bookmarkEnd w:id="10"/>
      <w:bookmarkEnd w:id="11"/>
      <w:r w:rsidRPr="00BB11D1">
        <w:rPr>
          <w:rFonts w:asciiTheme="majorBidi" w:hAnsiTheme="majorBidi" w:cstheme="majorBidi"/>
          <w:rtl/>
          <w:lang w:bidi="ar-SA"/>
        </w:rPr>
        <w:t xml:space="preserve"> التحكم في أحجام </w:t>
      </w:r>
      <w:r w:rsidRPr="00BB11D1">
        <w:rPr>
          <w:rFonts w:asciiTheme="majorBidi" w:hAnsiTheme="majorBidi" w:cstheme="majorBidi"/>
          <w:lang w:bidi="ar-SA"/>
        </w:rPr>
        <w:t>CBDC</w:t>
      </w:r>
      <w:r w:rsidRPr="00BB11D1">
        <w:rPr>
          <w:rFonts w:asciiTheme="majorBidi" w:hAnsiTheme="majorBidi" w:cstheme="majorBidi"/>
          <w:rtl/>
          <w:lang w:bidi="ar-SA"/>
        </w:rPr>
        <w:t xml:space="preserve"> - مناهج في الأدب</w:t>
      </w:r>
      <w:r w:rsidR="009C2E3C" w:rsidRPr="00BB11D1">
        <w:rPr>
          <w:rFonts w:asciiTheme="majorBidi" w:hAnsiTheme="majorBidi" w:cstheme="majorBidi"/>
        </w:rPr>
        <w:t xml:space="preserve"> </w:t>
      </w:r>
    </w:p>
    <w:p w:rsidR="00BB11D1" w:rsidRPr="00BB11D1" w:rsidRDefault="00BB11D1" w:rsidP="00BB11D1">
      <w:pPr>
        <w:pStyle w:val="BodyText"/>
        <w:bidi/>
        <w:spacing w:before="4" w:line="480" w:lineRule="auto"/>
        <w:jc w:val="both"/>
        <w:rPr>
          <w:rFonts w:asciiTheme="majorBidi" w:eastAsia="Trebuchet MS" w:hAnsiTheme="majorBidi" w:cstheme="majorBidi"/>
          <w:lang w:bidi="ar-SA"/>
        </w:rPr>
      </w:pPr>
      <w:r w:rsidRPr="00BB11D1">
        <w:rPr>
          <w:rFonts w:asciiTheme="majorBidi" w:eastAsia="Trebuchet MS" w:hAnsiTheme="majorBidi" w:cstheme="majorBidi"/>
          <w:rtl/>
          <w:lang w:bidi="ar-SA"/>
        </w:rPr>
        <w:t xml:space="preserve">يجب إطلاق </w:t>
      </w:r>
      <w:r w:rsidRPr="00BB11D1">
        <w:rPr>
          <w:rFonts w:asciiTheme="majorBidi" w:eastAsia="Trebuchet MS" w:hAnsiTheme="majorBidi" w:cstheme="majorBidi"/>
        </w:rPr>
        <w:t>CBDC</w:t>
      </w:r>
      <w:r w:rsidRPr="00BB11D1">
        <w:rPr>
          <w:rFonts w:asciiTheme="majorBidi" w:eastAsia="Trebuchet MS" w:hAnsiTheme="majorBidi" w:cstheme="majorBidi"/>
          <w:rtl/>
          <w:lang w:bidi="ar-SA"/>
        </w:rPr>
        <w:t xml:space="preserve"> فقط إذا كان البنك المركزي واثقًا من أنه قد تم حل المشكلات التي تمت مناقشتها في القسمين السابقين - التوسط الهيكلي غير المرغوب فيه للنظام المصرفي ، وتجنب الأزمات النظامية لتسهيل عمليات إدارة البنوك الإجمالية -. وقد تم الاعتراف بهذه القضايا في الأدبيات ، وقد اقترح بعض المؤلفين ، كما هو الحال مع </w:t>
      </w:r>
      <w:r w:rsidRPr="00BB11D1">
        <w:rPr>
          <w:rFonts w:asciiTheme="majorBidi" w:eastAsia="Trebuchet MS" w:hAnsiTheme="majorBidi" w:cstheme="majorBidi"/>
        </w:rPr>
        <w:t>Kumhoff</w:t>
      </w:r>
      <w:r w:rsidRPr="00BB11D1">
        <w:rPr>
          <w:rFonts w:asciiTheme="majorBidi" w:eastAsia="Trebuchet MS" w:hAnsiTheme="majorBidi" w:cstheme="majorBidi"/>
          <w:rtl/>
          <w:lang w:bidi="ar-SA"/>
        </w:rPr>
        <w:t xml:space="preserve"> و </w:t>
      </w:r>
      <w:r w:rsidRPr="00BB11D1">
        <w:rPr>
          <w:rFonts w:asciiTheme="majorBidi" w:eastAsia="Trebuchet MS" w:hAnsiTheme="majorBidi" w:cstheme="majorBidi"/>
        </w:rPr>
        <w:t>Noone (2018</w:t>
      </w:r>
      <w:r w:rsidRPr="00BB11D1">
        <w:rPr>
          <w:rFonts w:asciiTheme="majorBidi" w:eastAsia="Trebuchet MS" w:hAnsiTheme="majorBidi" w:cstheme="majorBidi"/>
          <w:rtl/>
          <w:lang w:bidi="ar-SA"/>
        </w:rPr>
        <w:t>) ، آليات تحكم في هذا الصدد.</w:t>
      </w:r>
    </w:p>
    <w:p w:rsidR="000255A4" w:rsidRPr="00BB11D1" w:rsidRDefault="00BB11D1" w:rsidP="00BB11D1">
      <w:pPr>
        <w:pStyle w:val="Heading4"/>
        <w:numPr>
          <w:ilvl w:val="1"/>
          <w:numId w:val="8"/>
        </w:numPr>
        <w:tabs>
          <w:tab w:val="left" w:pos="584"/>
        </w:tabs>
        <w:bidi/>
        <w:spacing w:line="480" w:lineRule="auto"/>
        <w:ind w:hanging="335"/>
        <w:rPr>
          <w:rFonts w:asciiTheme="majorBidi" w:hAnsiTheme="majorBidi" w:cstheme="majorBidi"/>
        </w:rPr>
      </w:pPr>
      <w:r w:rsidRPr="00BB11D1">
        <w:rPr>
          <w:rFonts w:asciiTheme="majorBidi" w:hAnsiTheme="majorBidi" w:cstheme="majorBidi"/>
          <w:rtl/>
          <w:lang w:bidi="ar-SA"/>
        </w:rPr>
        <w:t xml:space="preserve">مقاربة </w:t>
      </w:r>
      <w:r w:rsidR="009C2E3C" w:rsidRPr="00BB11D1">
        <w:rPr>
          <w:rFonts w:asciiTheme="majorBidi" w:hAnsiTheme="majorBidi" w:cstheme="majorBidi"/>
        </w:rPr>
        <w:t xml:space="preserve"> Kumhoff </w:t>
      </w:r>
      <w:r w:rsidR="009C2E3C" w:rsidRPr="00BB11D1">
        <w:rPr>
          <w:rFonts w:asciiTheme="majorBidi" w:hAnsiTheme="majorBidi" w:cstheme="majorBidi"/>
          <w:rtl/>
          <w:lang w:bidi="ar-SA"/>
        </w:rPr>
        <w:t>و</w:t>
      </w:r>
      <w:r w:rsidRPr="00BB11D1">
        <w:rPr>
          <w:rFonts w:asciiTheme="majorBidi" w:hAnsiTheme="majorBidi" w:cstheme="majorBidi"/>
        </w:rPr>
        <w:t xml:space="preserve">(2018) Noone </w:t>
      </w:r>
    </w:p>
    <w:p w:rsidR="00BB11D1" w:rsidRPr="00BB11D1" w:rsidRDefault="00BB11D1" w:rsidP="00BB11D1">
      <w:pPr>
        <w:pStyle w:val="BodyText"/>
        <w:bidi/>
        <w:spacing w:before="8" w:line="480" w:lineRule="auto"/>
        <w:jc w:val="both"/>
        <w:rPr>
          <w:rFonts w:asciiTheme="majorBidi" w:hAnsiTheme="majorBidi" w:cstheme="majorBidi"/>
          <w:lang w:bidi="ar-SA"/>
        </w:rPr>
      </w:pPr>
      <w:r w:rsidRPr="00BB11D1">
        <w:rPr>
          <w:rFonts w:asciiTheme="majorBidi" w:hAnsiTheme="majorBidi" w:cstheme="majorBidi"/>
          <w:rtl/>
          <w:lang w:bidi="ar-SA"/>
        </w:rPr>
        <w:t xml:space="preserve">يعتمد نهج </w:t>
      </w:r>
      <w:r w:rsidRPr="00BB11D1">
        <w:rPr>
          <w:rFonts w:asciiTheme="majorBidi" w:hAnsiTheme="majorBidi" w:cstheme="majorBidi"/>
        </w:rPr>
        <w:t>Kumhoff and Noone (2018</w:t>
      </w:r>
      <w:r w:rsidRPr="00BB11D1">
        <w:rPr>
          <w:rFonts w:asciiTheme="majorBidi" w:hAnsiTheme="majorBidi" w:cstheme="majorBidi"/>
          <w:rtl/>
          <w:lang w:bidi="ar-SA"/>
        </w:rPr>
        <w:t>) على أربعة مبادئ رئيسية (من الملخص):</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"وجدنا أنه إذا كان تطبيق </w:t>
      </w:r>
      <w:r w:rsidRPr="00BB11D1">
        <w:rPr>
          <w:rFonts w:asciiTheme="majorBidi" w:hAnsiTheme="majorBidi" w:cstheme="majorBidi"/>
          <w:iCs/>
        </w:rPr>
        <w:t>CBDC</w:t>
      </w:r>
      <w:r w:rsidRPr="00BB11D1">
        <w:rPr>
          <w:rFonts w:asciiTheme="majorBidi" w:hAnsiTheme="majorBidi" w:cstheme="majorBidi"/>
          <w:iCs/>
          <w:rtl/>
          <w:lang w:bidi="ar-SA"/>
        </w:rPr>
        <w:t xml:space="preserve"> يتبع مجموعة من المبادئ الأساسية ، فلن يتم تخفيض التمويل المصرفي بالضرورة ، ولا يلزم التعاقد على توفير السيولة والائتمان للقطاع الخاص ، وتكون مخاطر التشغيل على نطاق المنظومة من الودائع المصرفية إلى </w:t>
      </w:r>
      <w:r w:rsidRPr="00BB11D1">
        <w:rPr>
          <w:rFonts w:asciiTheme="majorBidi" w:hAnsiTheme="majorBidi" w:cstheme="majorBidi"/>
          <w:iCs/>
        </w:rPr>
        <w:t>CBDC</w:t>
      </w:r>
      <w:r w:rsidRPr="00BB11D1">
        <w:rPr>
          <w:rFonts w:asciiTheme="majorBidi" w:hAnsiTheme="majorBidi" w:cstheme="majorBidi"/>
          <w:iCs/>
          <w:rtl/>
          <w:lang w:bidi="ar-SA"/>
        </w:rPr>
        <w:t xml:space="preserve"> هي معالجتها. المبادئ الأساسية هي:</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(1) يدفع </w:t>
      </w:r>
      <w:r w:rsidRPr="00BB11D1">
        <w:rPr>
          <w:rFonts w:asciiTheme="majorBidi" w:hAnsiTheme="majorBidi" w:cstheme="majorBidi"/>
          <w:iCs/>
        </w:rPr>
        <w:t>CBDC</w:t>
      </w:r>
      <w:r w:rsidRPr="00BB11D1">
        <w:rPr>
          <w:rFonts w:asciiTheme="majorBidi" w:hAnsiTheme="majorBidi" w:cstheme="majorBidi"/>
          <w:iCs/>
          <w:rtl/>
          <w:lang w:bidi="ar-SA"/>
        </w:rPr>
        <w:t xml:space="preserve"> سعر فائدة قابل للتعديل.</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(2) </w:t>
      </w:r>
      <w:r w:rsidRPr="00BB11D1">
        <w:rPr>
          <w:rFonts w:asciiTheme="majorBidi" w:hAnsiTheme="majorBidi" w:cstheme="majorBidi"/>
          <w:iCs/>
        </w:rPr>
        <w:t>CBDC</w:t>
      </w:r>
      <w:r w:rsidRPr="00BB11D1">
        <w:rPr>
          <w:rFonts w:asciiTheme="majorBidi" w:hAnsiTheme="majorBidi" w:cstheme="majorBidi"/>
          <w:iCs/>
          <w:rtl/>
          <w:lang w:bidi="ar-SA"/>
        </w:rPr>
        <w:t xml:space="preserve"> والاحتياطيات متميزة ، وغير قابلة للتحويل إلى بعضها البعض.</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(3) عدم قابلية تحويل الودائع المصرفية المضمونة عند الطلب إلى </w:t>
      </w:r>
      <w:r w:rsidRPr="00BB11D1">
        <w:rPr>
          <w:rFonts w:asciiTheme="majorBidi" w:hAnsiTheme="majorBidi" w:cstheme="majorBidi"/>
          <w:iCs/>
        </w:rPr>
        <w:t>CBDC</w:t>
      </w:r>
      <w:r w:rsidRPr="00BB11D1">
        <w:rPr>
          <w:rFonts w:asciiTheme="majorBidi" w:hAnsiTheme="majorBidi" w:cstheme="majorBidi"/>
          <w:iCs/>
          <w:rtl/>
          <w:lang w:bidi="ar-SA"/>
        </w:rPr>
        <w:t xml:space="preserve"> لدى البنوك التجارية (وبالتالي ضمنا في البنك المركزي).</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(4) يصدر البنك المركزي </w:t>
      </w:r>
      <w:r w:rsidRPr="00BB11D1">
        <w:rPr>
          <w:rFonts w:asciiTheme="majorBidi" w:hAnsiTheme="majorBidi" w:cstheme="majorBidi"/>
          <w:iCs/>
        </w:rPr>
        <w:t>CBDC</w:t>
      </w:r>
      <w:r w:rsidRPr="00BB11D1">
        <w:rPr>
          <w:rFonts w:asciiTheme="majorBidi" w:hAnsiTheme="majorBidi" w:cstheme="majorBidi"/>
          <w:iCs/>
          <w:rtl/>
          <w:lang w:bidi="ar-SA"/>
        </w:rPr>
        <w:t xml:space="preserve"> فقط ضد الأوراق المالية المؤهلة (خاصة الأوراق المالية الحكومية).</w:t>
      </w:r>
    </w:p>
    <w:p w:rsidR="00BB11D1" w:rsidRPr="00BB11D1" w:rsidRDefault="00BB11D1" w:rsidP="00BB11D1">
      <w:pPr>
        <w:pStyle w:val="BodyText"/>
        <w:bidi/>
        <w:spacing w:before="4" w:line="480" w:lineRule="auto"/>
        <w:jc w:val="both"/>
        <w:rPr>
          <w:rFonts w:asciiTheme="majorBidi" w:hAnsiTheme="majorBidi" w:cstheme="majorBidi"/>
          <w:i/>
          <w:lang w:bidi="ar-SA"/>
        </w:rPr>
      </w:pPr>
      <w:r w:rsidRPr="00BB11D1">
        <w:rPr>
          <w:rFonts w:asciiTheme="majorBidi" w:hAnsiTheme="majorBidi" w:cstheme="majorBidi"/>
          <w:iCs/>
          <w:rtl/>
          <w:lang w:bidi="ar-SA"/>
        </w:rPr>
        <w:t xml:space="preserve">يعني المبدأان الأخيران أنه يمكن للأسر والشركات أن تتداول بحرية الودائع المصرفية ضد البنك التجاري المركزي في سوق خاص ، وأن السوق الخاصة يمكن أن تحصل بحرية على </w:t>
      </w:r>
      <w:r w:rsidRPr="00BB11D1">
        <w:rPr>
          <w:rFonts w:asciiTheme="majorBidi" w:hAnsiTheme="majorBidi" w:cstheme="majorBidi"/>
          <w:iCs/>
        </w:rPr>
        <w:t>CBDC</w:t>
      </w:r>
      <w:r w:rsidRPr="00BB11D1">
        <w:rPr>
          <w:rFonts w:asciiTheme="majorBidi" w:hAnsiTheme="majorBidi" w:cstheme="majorBidi"/>
          <w:iCs/>
          <w:rtl/>
          <w:lang w:bidi="ar-SA"/>
        </w:rPr>
        <w:t xml:space="preserve"> إضافية من البنك المركزي ، بسعر فائدة </w:t>
      </w:r>
      <w:r w:rsidRPr="00BB11D1">
        <w:rPr>
          <w:rFonts w:asciiTheme="majorBidi" w:hAnsiTheme="majorBidi" w:cstheme="majorBidi"/>
          <w:iCs/>
        </w:rPr>
        <w:t>CBDC</w:t>
      </w:r>
      <w:r w:rsidRPr="00BB11D1">
        <w:rPr>
          <w:rFonts w:asciiTheme="majorBidi" w:hAnsiTheme="majorBidi" w:cstheme="majorBidi"/>
          <w:iCs/>
          <w:rtl/>
          <w:lang w:bidi="ar-SA"/>
        </w:rPr>
        <w:t xml:space="preserve"> المنشور وضد الأوراق المالية المؤهلة. "</w:t>
      </w:r>
    </w:p>
    <w:p w:rsidR="000255A4" w:rsidRPr="00BB11D1" w:rsidRDefault="00BB11D1" w:rsidP="00BB11D1">
      <w:pPr>
        <w:pStyle w:val="BodyText"/>
        <w:bidi/>
        <w:spacing w:before="8" w:line="480" w:lineRule="auto"/>
        <w:jc w:val="both"/>
        <w:rPr>
          <w:rFonts w:asciiTheme="majorBidi" w:hAnsiTheme="majorBidi" w:cstheme="majorBidi"/>
          <w:lang w:bidi="ar-SA"/>
        </w:rPr>
      </w:pPr>
      <w:r w:rsidRPr="00BB11D1">
        <w:rPr>
          <w:rFonts w:asciiTheme="majorBidi" w:hAnsiTheme="majorBidi" w:cstheme="majorBidi"/>
          <w:rtl/>
          <w:lang w:bidi="ar-SA"/>
        </w:rPr>
        <w:t xml:space="preserve">بينما يحدد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بشكل صحيح القضايا التي يجب معالجتها ، فإن الحلول التي يقترحونها من خلال مبادئهم الأربعة قد تتعارض جزئيًا مع الحدس الأولي لممارسي عمليات السوق المركزي بالبنك المركزي. أدناه ، تتم مناقشة كل مبدأ من مبادئ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بمزيد من التفصيل إلى حد ما. بعد ذلك ، في القسم 6 ، يُقترح بديل بسيط. كما ناقش بييرج (2018) بالتفصيل المبادئ الأربعة لكومهوف ونون ، على الرغم من وجهة نظر مختلفة والتوصل إلى استنتاجات مختلفة. يمس </w:t>
      </w:r>
      <w:r w:rsidRPr="00BB11D1">
        <w:rPr>
          <w:rFonts w:asciiTheme="majorBidi" w:hAnsiTheme="majorBidi" w:cstheme="majorBidi"/>
        </w:rPr>
        <w:t>Juks (2018</w:t>
      </w:r>
      <w:r w:rsidRPr="00BB11D1">
        <w:rPr>
          <w:rFonts w:asciiTheme="majorBidi" w:hAnsiTheme="majorBidi" w:cstheme="majorBidi"/>
          <w:rtl/>
          <w:lang w:bidi="ar-SA"/>
        </w:rPr>
        <w:t xml:space="preserve"> ، القسم 5.2.3) باختصار بعض المبادئ ، على الرغم من عدم تقديم تقييم.</w:t>
      </w: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sz w:val="23"/>
        </w:rPr>
      </w:pPr>
    </w:p>
    <w:p w:rsidR="00BB11D1" w:rsidRPr="00BB11D1" w:rsidRDefault="00BB11D1" w:rsidP="00BB11D1">
      <w:pPr>
        <w:pStyle w:val="BodyText"/>
        <w:bidi/>
        <w:spacing w:before="14" w:line="480" w:lineRule="auto"/>
        <w:ind w:left="249" w:right="767"/>
        <w:jc w:val="both"/>
        <w:rPr>
          <w:rFonts w:asciiTheme="majorBidi" w:eastAsia="Trebuchet MS" w:hAnsiTheme="majorBidi" w:cstheme="majorBidi"/>
          <w:b/>
          <w:bCs/>
          <w:lang w:bidi="ar-SA"/>
        </w:rPr>
      </w:pPr>
      <w:r w:rsidRPr="00BB11D1">
        <w:rPr>
          <w:rFonts w:asciiTheme="majorBidi" w:eastAsia="Trebuchet MS" w:hAnsiTheme="majorBidi" w:cstheme="majorBidi"/>
          <w:b/>
          <w:bCs/>
          <w:rtl/>
          <w:lang w:bidi="ar-SA"/>
        </w:rPr>
        <w:t>المبدأ 1: "</w:t>
      </w:r>
      <w:r w:rsidRPr="00BB11D1">
        <w:rPr>
          <w:rFonts w:asciiTheme="majorBidi" w:eastAsia="Trebuchet MS" w:hAnsiTheme="majorBidi" w:cstheme="majorBidi"/>
          <w:b/>
          <w:bCs/>
        </w:rPr>
        <w:t>CBDC</w:t>
      </w:r>
      <w:r w:rsidRPr="00BB11D1">
        <w:rPr>
          <w:rFonts w:asciiTheme="majorBidi" w:eastAsia="Trebuchet MS" w:hAnsiTheme="majorBidi" w:cstheme="majorBidi"/>
          <w:b/>
          <w:bCs/>
          <w:rtl/>
          <w:lang w:bidi="ar-SA"/>
        </w:rPr>
        <w:t xml:space="preserve"> يدفع سعر فائدة قابل للتعديل"</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في الواقع ، ينبغي تصميم </w:t>
      </w:r>
      <w:r w:rsidRPr="00BB11D1">
        <w:rPr>
          <w:rFonts w:asciiTheme="majorBidi" w:hAnsiTheme="majorBidi" w:cstheme="majorBidi"/>
        </w:rPr>
        <w:t>CDBC</w:t>
      </w:r>
      <w:r w:rsidRPr="00BB11D1">
        <w:rPr>
          <w:rFonts w:asciiTheme="majorBidi" w:hAnsiTheme="majorBidi" w:cstheme="majorBidi"/>
          <w:rtl/>
          <w:lang w:bidi="ar-SA"/>
        </w:rPr>
        <w:t xml:space="preserve"> بحيث يمكن تطبيق سعر فائدة غير صفري عليه. يبرر كومهوف ونوون هذا المبدأ على النحو التالي (ص 8):</w:t>
      </w:r>
    </w:p>
    <w:p w:rsidR="00BB11D1" w:rsidRPr="00BB11D1" w:rsidRDefault="00BB11D1" w:rsidP="00BB11D1">
      <w:pPr>
        <w:pStyle w:val="BodyText"/>
        <w:bidi/>
        <w:spacing w:before="6" w:line="480" w:lineRule="auto"/>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t xml:space="preserve">"يتطلب التوازن في سوق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سعراً لتحقيق التوازن بين العرض والطلب. لنفترض أن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يدفع معدل فائدة اسمية ثابتًا يساوي صفرًا ، مثل النقد ، وأن البنك المركزي يقوم بإفراط في تزويد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بالسوق ، ربما لأن تقديره للطلب على أرصدة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الحقيقية غير دقيق. نسأل الآن: ما هو السعر الذي يمكن أن يمهد السوق من خلال القضاء على زيادة العرض؟ الاحتمال الأول هو أن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ينخفض ​​بالنسبة إلى أشكال أخرى من المال ، وبمعنى آخر ، ينهار التكافؤ. هذا أمر غير مرغوب فيه إلى حد كبير من وجهة نظر البنك المركزي ، ولكن قد يكون من الممكن تجنب ذلك من خلال تصميم آلية إصدار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 والتي سنناقشها لاحقًا. الاحتمال الثاني هو أن يظل سعر الصرف ثابتًا عند مستوى التكافؤ ، لكن مستوى السعر العام يزيل السوق عن طريق تخفيض القيمة الحقيقية لأرصدة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الاسمية وجعلها متماشية مع الطلب الحقيقي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هذا من شأنه أن يتحدى بشكل مباشر تفويض البنك المركزي المناهض للتضخم ، وبالتالي فهو غير مرغوب فيه للغاية ".</w:t>
      </w:r>
    </w:p>
    <w:p w:rsidR="00BB11D1" w:rsidRPr="00BB11D1" w:rsidRDefault="00BB11D1" w:rsidP="00BB11D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قد ينشأ السؤال عن سبب عدم تطبيق المشكلات الموضحة في هذا المقتطف على الأوراق النقدية المتداولة ، والتي "تدفع بالفعل سعر فائدة رمزي ثابت قدره صفر". يبدو أن الإجابة على "زيادة العرض" النظرية هي في الواقع "ارتداد" </w:t>
      </w:r>
      <w:r w:rsidRPr="00BB11D1">
        <w:rPr>
          <w:rFonts w:asciiTheme="majorBidi" w:hAnsiTheme="majorBidi" w:cstheme="majorBidi"/>
        </w:rPr>
        <w:t>CBDC</w:t>
      </w:r>
      <w:r w:rsidRPr="00BB11D1">
        <w:rPr>
          <w:rFonts w:asciiTheme="majorBidi" w:hAnsiTheme="majorBidi" w:cstheme="majorBidi"/>
          <w:rtl/>
          <w:lang w:bidi="ar-SA"/>
        </w:rPr>
        <w:t xml:space="preserve"> إلى البنك المركزي ، عبر البنوك ، بالطريقة نفسها التي يحدث بها للأوراق النقدية. على سبيل المثال ، بعد ذروة التسوق في عيد الميلاد للأوراق النقدية ، تعود الأوراق النقدية إلى البنك المركزي وتولد بذلك احتياطيات إضافية للبنوك لدى البنك المركزي ، أي انخفاض مستوى السيولة التي تمتص عامل السيولة المستقل (انظر على سبيل المثال </w:t>
      </w:r>
      <w:r w:rsidRPr="00BB11D1">
        <w:rPr>
          <w:rFonts w:asciiTheme="majorBidi" w:hAnsiTheme="majorBidi" w:cstheme="majorBidi"/>
        </w:rPr>
        <w:t xml:space="preserve">Cabrero et al </w:t>
      </w:r>
      <w:r w:rsidRPr="00BB11D1">
        <w:rPr>
          <w:rFonts w:asciiTheme="majorBidi" w:hAnsiTheme="majorBidi" w:cstheme="majorBidi"/>
          <w:rtl/>
          <w:lang w:bidi="ar-SA"/>
        </w:rPr>
        <w:t xml:space="preserve">، </w:t>
      </w:r>
      <w:r w:rsidRPr="00BB11D1">
        <w:rPr>
          <w:rFonts w:asciiTheme="majorBidi" w:hAnsiTheme="majorBidi" w:cstheme="majorBidi"/>
        </w:rPr>
        <w:t>2002</w:t>
      </w:r>
      <w:r w:rsidRPr="00BB11D1">
        <w:rPr>
          <w:rFonts w:asciiTheme="majorBidi" w:hAnsiTheme="majorBidi" w:cstheme="majorBidi"/>
          <w:rtl/>
          <w:lang w:bidi="ar-SA"/>
        </w:rPr>
        <w:t xml:space="preserve">) . سوف يحدث نفس الشيء بالنسبة لـ </w:t>
      </w:r>
      <w:r w:rsidRPr="00BB11D1">
        <w:rPr>
          <w:rFonts w:asciiTheme="majorBidi" w:hAnsiTheme="majorBidi" w:cstheme="majorBidi"/>
        </w:rPr>
        <w:t>CBDC</w:t>
      </w:r>
      <w:r w:rsidRPr="00BB11D1">
        <w:rPr>
          <w:rFonts w:asciiTheme="majorBidi" w:hAnsiTheme="majorBidi" w:cstheme="majorBidi"/>
          <w:rtl/>
          <w:lang w:bidi="ar-SA"/>
        </w:rPr>
        <w:t xml:space="preserve"> (بالنسبة لمستوى المكافآت المحدد دون سعر الفائدة الخالي من المخاطر) ، والذي سوف يعتبره البنك المركزي ، في إدارته للسيولة ، مجرد عامل مستقل. بسبب الافتراض ، الظاهر للعاملين في عمليات السوق المركزية بالبنك ، بالتحويل غير المقيد لأشكال مختلفة من أموال البنك المركزي (الاحتياطيات ، الأوراق النقدية ، </w:t>
      </w:r>
      <w:r w:rsidRPr="00BB11D1">
        <w:rPr>
          <w:rFonts w:asciiTheme="majorBidi" w:hAnsiTheme="majorBidi" w:cstheme="majorBidi"/>
        </w:rPr>
        <w:t>CBDC</w:t>
      </w:r>
      <w:r w:rsidRPr="00BB11D1">
        <w:rPr>
          <w:rFonts w:asciiTheme="majorBidi" w:hAnsiTheme="majorBidi" w:cstheme="majorBidi"/>
          <w:rtl/>
          <w:lang w:bidi="ar-SA"/>
        </w:rPr>
        <w:t>) ، أي عدم تحديد الكمية على أي شكل من أشكال أموال البنك المركزي ، أو على إجمالي المبلغ منه ، يبدو سيناريو "التكافؤ بين الجنسين" مستبعدًا بحد ذاته.</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والخطر الثاني المدرك ، وهو أن هناك حاجة للتضخم لمعالجة العرض المفرط المفترض ل</w:t>
      </w:r>
      <w:r>
        <w:rPr>
          <w:rFonts w:asciiTheme="majorBidi" w:hAnsiTheme="majorBidi" w:cstheme="majorBidi"/>
          <w:lang w:bidi="ar-SA"/>
        </w:rPr>
        <w:t>CBDC</w:t>
      </w:r>
      <w:r w:rsidRPr="00BB11D1">
        <w:rPr>
          <w:rFonts w:asciiTheme="majorBidi" w:hAnsiTheme="majorBidi" w:cstheme="majorBidi"/>
          <w:rtl/>
          <w:lang w:bidi="ar-SA"/>
        </w:rPr>
        <w:t xml:space="preserve"> ، لن يخطر على بالنا أيضًا ممارسي عمليات السوق في البنك المركزي ، لنفس الأسباب التي لا يُفهم فيها العرض المفرط في الأوراق النقدية قدر الإمكان. سبب التضخم. تقوم البنوك المركزية بمراقبة جميع العوامل المؤثرة على التضخم على المدى المتوسط ​​بطريقة مستقبلية. ثم يقومون بتعديل هدفهم لبعض سعر الفائدة بين عشية وضحاها ، والذي هو مرساة للنهاية القصيرة لمنحنى العائد الخالي من المخاطر ، بحيث يتم توليد النبضات النقدية اللازمة ، لتحقيق استقرار الأسعار على المدى المتوسط. عادة ما تعمل السيطرة على أسعار الفائدة بين عشية وضحاها من خلال تحديد معدلات التسهيلات الدائمة للبنك المركزي على المستوى المناسب ، والسيطرة على شروط الاحتياطي مثل أن تكون متوافقة مع بعض مستوى أسعار الفائدة داخل الممر الذي وضعته التسهيلات الدائمة (مثل </w:t>
      </w:r>
      <w:r w:rsidRPr="00BB11D1">
        <w:rPr>
          <w:rFonts w:asciiTheme="majorBidi" w:hAnsiTheme="majorBidi" w:cstheme="majorBidi"/>
        </w:rPr>
        <w:t xml:space="preserve">Bindseil </w:t>
      </w:r>
      <w:r w:rsidRPr="00BB11D1">
        <w:rPr>
          <w:rFonts w:asciiTheme="majorBidi" w:hAnsiTheme="majorBidi" w:cstheme="majorBidi"/>
          <w:rtl/>
          <w:lang w:bidi="ar-SA"/>
        </w:rPr>
        <w:t xml:space="preserve">، </w:t>
      </w:r>
      <w:r w:rsidRPr="00BB11D1">
        <w:rPr>
          <w:rFonts w:asciiTheme="majorBidi" w:hAnsiTheme="majorBidi" w:cstheme="majorBidi"/>
        </w:rPr>
        <w:t>2014</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36- 41</w:t>
      </w:r>
      <w:r w:rsidRPr="00BB11D1">
        <w:rPr>
          <w:rFonts w:asciiTheme="majorBidi" w:hAnsiTheme="majorBidi" w:cstheme="majorBidi"/>
          <w:rtl/>
          <w:lang w:bidi="ar-SA"/>
        </w:rPr>
        <w:t xml:space="preserve"> ؛ 51-61). من هذا المنظور ، لا يبدو أن الإفراط في المعروض من </w:t>
      </w:r>
      <w:r w:rsidRPr="00BB11D1">
        <w:rPr>
          <w:rFonts w:asciiTheme="majorBidi" w:hAnsiTheme="majorBidi" w:cstheme="majorBidi"/>
        </w:rPr>
        <w:t>CBDC</w:t>
      </w:r>
      <w:r w:rsidRPr="00BB11D1">
        <w:rPr>
          <w:rFonts w:asciiTheme="majorBidi" w:hAnsiTheme="majorBidi" w:cstheme="majorBidi"/>
          <w:rtl/>
          <w:lang w:bidi="ar-SA"/>
        </w:rPr>
        <w:t xml:space="preserve"> أو الأوراق النقدية من قبل البنك المركزي يمكن أن </w:t>
      </w:r>
      <w:r w:rsidRPr="00BB11D1">
        <w:rPr>
          <w:rFonts w:asciiTheme="majorBidi" w:hAnsiTheme="majorBidi" w:cstheme="majorBidi"/>
          <w:rtl/>
          <w:lang w:bidi="ar-SA"/>
        </w:rPr>
        <w:lastRenderedPageBreak/>
        <w:t>يتحدى تفويض البنك المركزي المناهض للتضخم. عوائد العرض الزائدة في البنك المركزي في شكل احتياطيات البنوك من خلال قابلية التحويل ، وسيقوم البنك المركزي في المقابل بتخفيض المعروض من الاحتياطيات من خلال تقليل حجم عمليات السوق المفتوحة ، مثل الحفاظ على ظروف الاحتياطي مستقرة.</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باختصار: يبدو أن مكافأة </w:t>
      </w:r>
      <w:r w:rsidRPr="00BB11D1">
        <w:rPr>
          <w:rFonts w:asciiTheme="majorBidi" w:hAnsiTheme="majorBidi" w:cstheme="majorBidi"/>
        </w:rPr>
        <w:t>CBDC</w:t>
      </w:r>
      <w:r w:rsidRPr="00BB11D1">
        <w:rPr>
          <w:rFonts w:asciiTheme="majorBidi" w:hAnsiTheme="majorBidi" w:cstheme="majorBidi"/>
          <w:rtl/>
          <w:lang w:bidi="ar-SA"/>
        </w:rPr>
        <w:t xml:space="preserve"> في حد ذاتها ليست ضرورية لتصفية السوق ، ولا للسيطرة على التضخم ، قياسًا على حالة الأوراق النقدية ، والتي لا تسبب أيضًا أيًا من هذه القضايا</w:t>
      </w:r>
      <w:r>
        <w:rPr>
          <w:rStyle w:val="FootnoteReference"/>
          <w:rFonts w:asciiTheme="majorBidi" w:hAnsiTheme="majorBidi" w:cstheme="majorBidi"/>
          <w:rtl/>
          <w:lang w:bidi="ar-SA"/>
        </w:rPr>
        <w:footnoteReference w:id="7"/>
      </w:r>
      <w:r w:rsidRPr="00BB11D1">
        <w:rPr>
          <w:rFonts w:asciiTheme="majorBidi" w:hAnsiTheme="majorBidi" w:cstheme="majorBidi"/>
          <w:rtl/>
          <w:lang w:bidi="ar-SA"/>
        </w:rPr>
        <w:t xml:space="preserve">. ومع ذلك ، لا تزال القدرة على مكافأة </w:t>
      </w:r>
      <w:r w:rsidRPr="00BB11D1">
        <w:rPr>
          <w:rFonts w:asciiTheme="majorBidi" w:hAnsiTheme="majorBidi" w:cstheme="majorBidi"/>
        </w:rPr>
        <w:t>CBDC</w:t>
      </w:r>
      <w:r w:rsidRPr="00BB11D1">
        <w:rPr>
          <w:rFonts w:asciiTheme="majorBidi" w:hAnsiTheme="majorBidi" w:cstheme="majorBidi"/>
          <w:rtl/>
          <w:lang w:bidi="ar-SA"/>
        </w:rPr>
        <w:t xml:space="preserve"> ، على عكس الأوراق النقدية ، ميزة لها عدد من المزايا. يسمح بتغيير سعر الفائدة على </w:t>
      </w:r>
      <w:r w:rsidRPr="00BB11D1">
        <w:rPr>
          <w:rFonts w:asciiTheme="majorBidi" w:hAnsiTheme="majorBidi" w:cstheme="majorBidi"/>
        </w:rPr>
        <w:t>CBDC</w:t>
      </w:r>
      <w:r w:rsidRPr="00BB11D1">
        <w:rPr>
          <w:rFonts w:asciiTheme="majorBidi" w:hAnsiTheme="majorBidi" w:cstheme="majorBidi"/>
          <w:rtl/>
          <w:lang w:bidi="ar-SA"/>
        </w:rPr>
        <w:t xml:space="preserve"> من حيث المبدأ بالتوازي مع أسعار السياسة النقدية ، مثل تجنب أن الجاذبية النسبية لـ </w:t>
      </w:r>
      <w:r w:rsidRPr="00BB11D1">
        <w:rPr>
          <w:rFonts w:asciiTheme="majorBidi" w:hAnsiTheme="majorBidi" w:cstheme="majorBidi"/>
        </w:rPr>
        <w:t>CBDC</w:t>
      </w:r>
      <w:r w:rsidRPr="00BB11D1">
        <w:rPr>
          <w:rFonts w:asciiTheme="majorBidi" w:hAnsiTheme="majorBidi" w:cstheme="majorBidi"/>
          <w:rtl/>
          <w:lang w:bidi="ar-SA"/>
        </w:rPr>
        <w:t xml:space="preserve"> بالنسبة لسعر السوق وسياسة البنك المركزي تعتمد على المستوى المطلق لأسعار الفائدة ، كما هو الحال للأوراق النقدية. في الواقع ، فإن حقيقة أن المكافأة من الأوراق النقدية تقف عند مستوى الصفر بغض النظر عما إذا كانت أسعار الفائدة على المدى القصير خالية من المخاطر عند 10 ٪ أو عند 0.5 ٪ (كما هو الحال حاليا في منطقة اليورو) قد ينظر إليها على أنها حالة شاذة ، والتي أصبحت مشكلة على نحو متزايد عندما يتم اقتراب الحد الأدنى صفر أو مرت. علاوة على ذلك ، فإن المكافأة السلبية لـ </w:t>
      </w:r>
      <w:r w:rsidRPr="00BB11D1">
        <w:rPr>
          <w:rFonts w:asciiTheme="majorBidi" w:hAnsiTheme="majorBidi" w:cstheme="majorBidi"/>
        </w:rPr>
        <w:t>CBDC</w:t>
      </w:r>
      <w:r w:rsidRPr="00BB11D1">
        <w:rPr>
          <w:rFonts w:asciiTheme="majorBidi" w:hAnsiTheme="majorBidi" w:cstheme="majorBidi"/>
          <w:rtl/>
          <w:lang w:bidi="ar-SA"/>
        </w:rPr>
        <w:t xml:space="preserve"> تسمح أيضًا بمعالجة الخطر المحتمل للهروب إلى </w:t>
      </w:r>
      <w:r w:rsidRPr="00BB11D1">
        <w:rPr>
          <w:rFonts w:asciiTheme="majorBidi" w:hAnsiTheme="majorBidi" w:cstheme="majorBidi"/>
        </w:rPr>
        <w:t>CBDC</w:t>
      </w:r>
      <w:r w:rsidRPr="00BB11D1">
        <w:rPr>
          <w:rFonts w:asciiTheme="majorBidi" w:hAnsiTheme="majorBidi" w:cstheme="majorBidi"/>
          <w:rtl/>
          <w:lang w:bidi="ar-SA"/>
        </w:rPr>
        <w:t xml:space="preserve"> في حالة حدوث أزمة مصرفية شاملة (كما لاحظ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كما هو مبين في القسم 4 ، في أزمات ديون البنوك عام 2008 و 2011/2012 ، لعب الركض في الأوراق النقدية دورًا بسيطًا إلى حد ما ، مقارنة بالهروب من البنوك الضعيفة إلى البنوك القوية المتصورة - على الرغم من أن المكافآت من الأوراق النقدية بقي عند مستوى الصفر ، وأن مستوى أسعار الفائدة على المدى القصير خالية من المخاطر اقترب بسرعة من هذا المستوى بعد التخلف عن السداد ليمان ، مما يقلل من تكاليف الفرصة البديلة لعقد الأوراق النقدية. ومع ذلك ، نظرًا لأن الركض إلى </w:t>
      </w:r>
      <w:r w:rsidRPr="00BB11D1">
        <w:rPr>
          <w:rFonts w:asciiTheme="majorBidi" w:hAnsiTheme="majorBidi" w:cstheme="majorBidi"/>
        </w:rPr>
        <w:t>CBDC</w:t>
      </w:r>
      <w:r w:rsidRPr="00BB11D1">
        <w:rPr>
          <w:rFonts w:asciiTheme="majorBidi" w:hAnsiTheme="majorBidi" w:cstheme="majorBidi"/>
          <w:rtl/>
          <w:lang w:bidi="ar-SA"/>
        </w:rPr>
        <w:t xml:space="preserve"> سيكون أسهل ، سيكون من المريح أن يكون لدينا كأداة إضافية القدرة على فرض أسعار سلبية على </w:t>
      </w:r>
      <w:r w:rsidRPr="00BB11D1">
        <w:rPr>
          <w:rFonts w:asciiTheme="majorBidi" w:hAnsiTheme="majorBidi" w:cstheme="majorBidi"/>
        </w:rPr>
        <w:t>CBDC</w:t>
      </w:r>
      <w:r w:rsidRPr="00BB11D1">
        <w:rPr>
          <w:rFonts w:asciiTheme="majorBidi" w:hAnsiTheme="majorBidi" w:cstheme="majorBidi"/>
          <w:rtl/>
          <w:lang w:bidi="ar-SA"/>
        </w:rPr>
        <w:t>.</w:t>
      </w:r>
    </w:p>
    <w:p w:rsidR="000255A4" w:rsidRPr="00BB11D1" w:rsidRDefault="00BB11D1" w:rsidP="00BB11D1">
      <w:pPr>
        <w:pStyle w:val="BodyText"/>
        <w:bidi/>
        <w:spacing w:line="480" w:lineRule="auto"/>
        <w:jc w:val="both"/>
        <w:rPr>
          <w:rFonts w:asciiTheme="majorBidi" w:hAnsiTheme="majorBidi" w:cstheme="majorBidi"/>
          <w:sz w:val="20"/>
        </w:rPr>
      </w:pPr>
      <w:r w:rsidRPr="00BB11D1">
        <w:rPr>
          <w:rFonts w:asciiTheme="majorBidi" w:hAnsiTheme="majorBidi" w:cstheme="majorBidi"/>
          <w:rtl/>
          <w:lang w:bidi="ar-SA"/>
        </w:rPr>
        <w:t xml:space="preserve">علاوة على ذلك ، يجادل كومهوف ونوون (ص 11) بأنه يمكن استخدام الفائدة على </w:t>
      </w:r>
      <w:r w:rsidRPr="00BB11D1">
        <w:rPr>
          <w:rFonts w:asciiTheme="majorBidi" w:hAnsiTheme="majorBidi" w:cstheme="majorBidi"/>
        </w:rPr>
        <w:t>CBDC</w:t>
      </w:r>
      <w:r w:rsidRPr="00BB11D1">
        <w:rPr>
          <w:rFonts w:asciiTheme="majorBidi" w:hAnsiTheme="majorBidi" w:cstheme="majorBidi"/>
          <w:rtl/>
          <w:lang w:bidi="ar-SA"/>
        </w:rPr>
        <w:t xml:space="preserve"> كأداة سياسة نقدية أخرى:</w:t>
      </w:r>
    </w:p>
    <w:p w:rsidR="00BB11D1" w:rsidRPr="00BB11D1" w:rsidRDefault="00BB11D1" w:rsidP="00BB11D1">
      <w:pPr>
        <w:pStyle w:val="BodyText"/>
        <w:bidi/>
        <w:spacing w:line="480" w:lineRule="auto"/>
        <w:jc w:val="both"/>
        <w:rPr>
          <w:rFonts w:asciiTheme="majorBidi" w:hAnsiTheme="majorBidi" w:cstheme="majorBidi"/>
          <w:i/>
          <w:iCs/>
          <w:sz w:val="20"/>
          <w:szCs w:val="20"/>
          <w:lang w:bidi="ar-SA"/>
        </w:rPr>
      </w:pPr>
      <w:r w:rsidRPr="00BB11D1">
        <w:rPr>
          <w:rFonts w:asciiTheme="majorBidi" w:hAnsiTheme="majorBidi" w:cstheme="majorBidi"/>
          <w:i/>
          <w:iCs/>
          <w:sz w:val="20"/>
          <w:szCs w:val="20"/>
          <w:rtl/>
          <w:lang w:bidi="ar-SA"/>
        </w:rPr>
        <w:t>"... لماذا تتخلى السلطات عن السيطرة على أداة السياسة الثانية عندما لا تكون هناك ضرورة للقيام بذلك ، ومع العلم أن هناك ... على الأقل فرصة لأن هذه الأداة الثانية يمكن أن تقدم مساهمة كبيرة في استقرار الاقتصاد؟</w:t>
      </w:r>
      <w:r w:rsidRPr="00BB11D1">
        <w:rPr>
          <w:rFonts w:asciiTheme="majorBidi" w:hAnsiTheme="majorBidi" w:cstheme="majorBidi"/>
          <w:i/>
          <w:iCs/>
          <w:sz w:val="20"/>
          <w:szCs w:val="20"/>
          <w:lang w:bidi="ar-SA"/>
        </w:rPr>
        <w:t>”</w:t>
      </w:r>
    </w:p>
    <w:p w:rsidR="00BB11D1" w:rsidRPr="00BB11D1" w:rsidRDefault="00BB11D1" w:rsidP="00BB11D1">
      <w:pPr>
        <w:pStyle w:val="BodyText"/>
        <w:bidi/>
        <w:spacing w:line="480" w:lineRule="auto"/>
        <w:jc w:val="both"/>
        <w:rPr>
          <w:rFonts w:asciiTheme="majorBidi" w:hAnsiTheme="majorBidi" w:cstheme="majorBidi"/>
          <w:sz w:val="20"/>
          <w:lang w:bidi="ar-SA"/>
        </w:rPr>
      </w:pPr>
      <w:r w:rsidRPr="00BB11D1">
        <w:rPr>
          <w:rFonts w:asciiTheme="majorBidi" w:hAnsiTheme="majorBidi" w:cstheme="majorBidi"/>
          <w:sz w:val="20"/>
          <w:rtl/>
          <w:lang w:bidi="ar-SA"/>
        </w:rPr>
        <w:t xml:space="preserve">يتم إضفاء الطابع الرسمي على استخدام أسعار الفائدة على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كأدوات مستقلة للسياسة النقدية للاقتصاد الكلي في </w:t>
      </w:r>
      <w:r w:rsidRPr="00BB11D1">
        <w:rPr>
          <w:rFonts w:asciiTheme="majorBidi" w:hAnsiTheme="majorBidi" w:cstheme="majorBidi"/>
          <w:sz w:val="20"/>
          <w:lang w:bidi="ar-SA"/>
        </w:rPr>
        <w:t>Barrdear</w:t>
      </w:r>
      <w:r w:rsidRPr="00BB11D1">
        <w:rPr>
          <w:rFonts w:asciiTheme="majorBidi" w:hAnsiTheme="majorBidi" w:cstheme="majorBidi"/>
          <w:sz w:val="20"/>
          <w:rtl/>
          <w:lang w:bidi="ar-SA"/>
        </w:rPr>
        <w:t xml:space="preserve"> و </w:t>
      </w:r>
      <w:r w:rsidRPr="00BB11D1">
        <w:rPr>
          <w:rFonts w:asciiTheme="majorBidi" w:hAnsiTheme="majorBidi" w:cstheme="majorBidi"/>
          <w:sz w:val="20"/>
          <w:lang w:bidi="ar-SA"/>
        </w:rPr>
        <w:t>Kumhof (2016</w:t>
      </w:r>
      <w:r w:rsidRPr="00BB11D1">
        <w:rPr>
          <w:rFonts w:asciiTheme="majorBidi" w:hAnsiTheme="majorBidi" w:cstheme="majorBidi"/>
          <w:sz w:val="20"/>
          <w:rtl/>
          <w:lang w:bidi="ar-SA"/>
        </w:rPr>
        <w:t>) في نموذج نقدي على أحدث طراز.</w:t>
      </w:r>
    </w:p>
    <w:p w:rsidR="000255A4" w:rsidRPr="00BB11D1" w:rsidRDefault="00BB11D1" w:rsidP="00BB11D1">
      <w:pPr>
        <w:pStyle w:val="BodyText"/>
        <w:bidi/>
        <w:spacing w:line="480" w:lineRule="auto"/>
        <w:jc w:val="both"/>
        <w:rPr>
          <w:rFonts w:asciiTheme="majorBidi" w:hAnsiTheme="majorBidi" w:cstheme="majorBidi"/>
          <w:sz w:val="20"/>
        </w:rPr>
      </w:pPr>
      <w:r w:rsidRPr="00BB11D1">
        <w:rPr>
          <w:rFonts w:asciiTheme="majorBidi" w:hAnsiTheme="majorBidi" w:cstheme="majorBidi"/>
          <w:sz w:val="20"/>
          <w:rtl/>
          <w:lang w:bidi="ar-SA"/>
        </w:rPr>
        <w:t xml:space="preserve">من المنظور العملي لعمليات البنك المركزي ، قد لا يُنظر إلى معدل المكافآت في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على أنه أداة مستقلة للسياسة النقدية ، ولكن أكثر من ذلك كأداة مماثلة للفوارق الأخرى بين معدلات سياسة البنك المركزي الأوروبي ومعدلات الأجور لحسابات الودائع المحددة. قد تسعى هذه المعدلات (أو فروق الأسعار المتعلقة بمعدل السياسة الرئيسي) إلى تحقيق أهداف محددة فيما يتعلق بتحفيز سلوكيات تلك المعدلات ذات الصلة ، بما في ذلك على سبيل المثال حوافز الاعتماد على البنك المركزي مقابل الاعتماد على البدائل القائمة على السوق ، مع تداعيات على الميزانية العمومية للبنك المركزي وعلى أداء السوق. لا يُنظر إليهم كمساهمين مستقلين في موقف السياسة </w:t>
      </w:r>
      <w:r w:rsidRPr="00BB11D1">
        <w:rPr>
          <w:rFonts w:asciiTheme="majorBidi" w:hAnsiTheme="majorBidi" w:cstheme="majorBidi"/>
          <w:sz w:val="20"/>
          <w:rtl/>
          <w:lang w:bidi="ar-SA"/>
        </w:rPr>
        <w:lastRenderedPageBreak/>
        <w:t>النقدية. إن سعر الفائدة (بين عشية وضحاها) على احتياطيات البنك المركزي يثبت النهاية القصيرة لمنحنى العائد الخالي من المخاطر، وقد رسخ نفسه باعتباره الهدف التشغيلي الوحيد والوحيد للسياسة النقدية (</w:t>
      </w:r>
      <w:r w:rsidRPr="00BB11D1">
        <w:rPr>
          <w:rFonts w:asciiTheme="majorBidi" w:hAnsiTheme="majorBidi" w:cstheme="majorBidi"/>
          <w:sz w:val="20"/>
          <w:lang w:bidi="ar-SA"/>
        </w:rPr>
        <w:t>Bindseil</w:t>
      </w:r>
      <w:r w:rsidRPr="00BB11D1">
        <w:rPr>
          <w:rFonts w:asciiTheme="majorBidi" w:hAnsiTheme="majorBidi" w:cstheme="majorBidi"/>
          <w:sz w:val="20"/>
          <w:rtl/>
          <w:lang w:bidi="ar-SA"/>
        </w:rPr>
        <w:t xml:space="preserve">، </w:t>
      </w:r>
      <w:r w:rsidRPr="00BB11D1">
        <w:rPr>
          <w:rFonts w:asciiTheme="majorBidi" w:hAnsiTheme="majorBidi" w:cstheme="majorBidi"/>
          <w:sz w:val="20"/>
          <w:lang w:bidi="ar-SA"/>
        </w:rPr>
        <w:t>2014</w:t>
      </w:r>
      <w:r w:rsidRPr="00BB11D1">
        <w:rPr>
          <w:rFonts w:asciiTheme="majorBidi" w:hAnsiTheme="majorBidi" w:cstheme="majorBidi"/>
          <w:sz w:val="20"/>
          <w:rtl/>
          <w:lang w:bidi="ar-SA"/>
        </w:rPr>
        <w:t xml:space="preserve">، </w:t>
      </w:r>
      <w:r w:rsidRPr="00BB11D1">
        <w:rPr>
          <w:rFonts w:asciiTheme="majorBidi" w:hAnsiTheme="majorBidi" w:cstheme="majorBidi"/>
          <w:sz w:val="20"/>
          <w:lang w:bidi="ar-SA"/>
        </w:rPr>
        <w:t>36- 43</w:t>
      </w:r>
      <w:r w:rsidRPr="00BB11D1">
        <w:rPr>
          <w:rFonts w:asciiTheme="majorBidi" w:hAnsiTheme="majorBidi" w:cstheme="majorBidi"/>
          <w:sz w:val="20"/>
          <w:rtl/>
          <w:lang w:bidi="ar-SA"/>
        </w:rPr>
        <w:t xml:space="preserve">). تعد معدلات عمليات البنك المركزي المختلفة - كما في حالة البنك المركزي الأوروبي ، ومعدل عمليات إعادة التمويل الرئيسية ، ومعدل تسهيلات الإقراض الهامشي ، ومعدل تسهيلات الودائع ، ومعدل الصفر على أجر الأوراق النقدية - كلها لا ينظر إليها على أنها أسعار سياسة نقدية مستقلة. إن ما يهم السياسة النقدية في النهاية هو مستوى أسعار السوق قصيرة الأجل ، وخاصة سعر الفائدة بين عشية وضحاها على احتياطيات البنوك لدى البنك المركزي ، باعتباره أساسًا لجميع أسعار الفائدة الأخرى في السوق. يجب أن لا يتغير هذا المبدأ مع إدخال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سيتم اختيار معدل الأجور على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بحيث يكون له ، في الأوقات العادية ، انتشار سلبي كافٍ نحو أسعار السوق الخالية من المخاطر على المدى القصير ، حتى لا يصبح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مخزنًا واسع النطاق للقيمة. سيكون معدل المكافآت في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هو معدل "السياسة" فقط بمعنى هدف "السياسة" هذا ، ولكن ليس بمعنى المساهمة المحددة في موقف السياسة النقدية. قد يعكس هذا الرأي الشكوك حول قدرة البنوك المركزية على إدارة مجموعة أدوات معقدة من المتغيرات التشغيلية لتحقيق أهداف السياسة النقدية. على سبيل المثال ، بدءًا من عشرينيات القرن العشرين ، ولكن تتوجت في الستينيات والسبعينيات من القرن الماضي ، كانت التغييرات في متطلبات الاحتياطي وإدارة عمليات السوق المفتوحة وتحديد أسعار الفائدة غالبًا ما تُعرض على أنها ثلاث أدوات مستقلة يمكن استخدامها بشكل مستقل لتحقيق السياسة النقدية أهداف أفضل. في العقود اللاحقة ، تخلت البنوك المركزية عن هذا الموقف الطموح وبدا أنها تقبل ذلك متغير واحد - النهاية القصيرة لمنحنى العائد الخالي من المخاطر</w:t>
      </w:r>
      <w:r w:rsidRPr="00BB11D1">
        <w:rPr>
          <w:rFonts w:asciiTheme="majorBidi" w:hAnsiTheme="majorBidi" w:cstheme="majorBidi"/>
          <w:sz w:val="20"/>
          <w:lang w:bidi="ar-SA"/>
        </w:rPr>
        <w:t xml:space="preserve"> </w:t>
      </w:r>
      <w:r w:rsidRPr="00BB11D1">
        <w:rPr>
          <w:rFonts w:asciiTheme="majorBidi" w:hAnsiTheme="majorBidi" w:cstheme="majorBidi"/>
          <w:sz w:val="20"/>
          <w:rtl/>
          <w:lang w:bidi="ar-SA"/>
        </w:rPr>
        <w:t>- يجب أن يكون مقياسًا كافيًا لموقف السياسة النقدية في الأوقات العادية. فقط في أوقات الأزمات المالية ، أو عندما تصل السياسة النقدية إلى الحد الأدنى الفعال ، تصبح الظروف المالية بالمعنى الأوسع هي الهدف التشغيلي.</w:t>
      </w:r>
    </w:p>
    <w:p w:rsidR="000255A4" w:rsidRPr="00BB11D1" w:rsidRDefault="000255A4" w:rsidP="006A2441">
      <w:pPr>
        <w:pStyle w:val="BodyText"/>
        <w:bidi/>
        <w:spacing w:before="3"/>
        <w:rPr>
          <w:rFonts w:asciiTheme="majorBidi" w:hAnsiTheme="majorBidi" w:cstheme="majorBidi"/>
          <w:sz w:val="23"/>
        </w:rPr>
      </w:pPr>
    </w:p>
    <w:p w:rsidR="00BB11D1" w:rsidRPr="00BB11D1" w:rsidRDefault="00BB11D1" w:rsidP="00BB11D1">
      <w:pPr>
        <w:pStyle w:val="BodyText"/>
        <w:bidi/>
        <w:spacing w:before="14" w:line="480" w:lineRule="auto"/>
        <w:ind w:left="249" w:right="765" w:hanging="1"/>
        <w:jc w:val="both"/>
        <w:rPr>
          <w:rFonts w:asciiTheme="majorBidi" w:eastAsia="Trebuchet MS" w:hAnsiTheme="majorBidi" w:cstheme="majorBidi"/>
          <w:b/>
          <w:bCs/>
          <w:lang w:bidi="ar-SA"/>
        </w:rPr>
      </w:pPr>
      <w:r w:rsidRPr="00BB11D1">
        <w:rPr>
          <w:rFonts w:asciiTheme="majorBidi" w:eastAsia="Trebuchet MS" w:hAnsiTheme="majorBidi" w:cstheme="majorBidi"/>
          <w:b/>
          <w:bCs/>
          <w:rtl/>
          <w:lang w:bidi="ar-SA"/>
        </w:rPr>
        <w:t>المبدأ 2: "الاحتياطيات و</w:t>
      </w:r>
      <w:r>
        <w:rPr>
          <w:rFonts w:asciiTheme="majorBidi" w:eastAsia="Trebuchet MS" w:hAnsiTheme="majorBidi" w:cstheme="majorBidi"/>
          <w:b/>
          <w:bCs/>
          <w:lang w:bidi="ar-SA"/>
        </w:rPr>
        <w:t>CBDC</w:t>
      </w:r>
      <w:r w:rsidRPr="00BB11D1">
        <w:rPr>
          <w:rFonts w:asciiTheme="majorBidi" w:eastAsia="Trebuchet MS" w:hAnsiTheme="majorBidi" w:cstheme="majorBidi"/>
          <w:b/>
          <w:bCs/>
          <w:rtl/>
          <w:lang w:bidi="ar-SA"/>
        </w:rPr>
        <w:t xml:space="preserve"> متميزة وغير قابلة للتحويل إلى بعضها البعض"</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كما ذكر أعلاه ، من الناحية العملية لعمليات سوق البنك المركزي ، يبدو أنه يتعارض مع الافتراضات الرئيسية بأن التزامات البنك المركزي بين عشية وضحاها ستكون غير قابلة للتحويل من شكل إلى آخر - حتى في ظل ظروف خاصة. منذ أن تواجدت الأوراق النقدية والودائع لدى البنك المركزي ، تم افتراض هذه القابلية للتحويل. في معيار المعدن ، تأتي قابلية التحويل هذه من قابلية تحويل أي شكل من أشكال التزامات البنك المركزي بين عشية وضحاها إلى معدن ، وبالتالي إلى بعضها البعض. وفي المعيار الورقي ، تفترض البنوك المركزية السليمة قابلية تحويل الأوراق النقدية إلى ودائع لدى البنك المركزي ، أو العكس. إن التزامات البنك المركزي غير القابلة للتحويل بالكامل هي سندات البنك المركزي (أو "شهادات الدين"). لكن في حالتهم ، فإن عدم قابلية التحويل ينبع ببساطة من فترة استحقاقهم لأكثر من ليلة وضحاها ، ولا يندرج تحت تعريف أموال البنك المركزي. يبرر كومهوف ونون (ص 8 - 9) هذا المبدأ بهدفين:</w:t>
      </w:r>
    </w:p>
    <w:p w:rsidR="00BB11D1" w:rsidRPr="00BB11D1" w:rsidRDefault="00BB11D1" w:rsidP="00BB11D1">
      <w:pPr>
        <w:pStyle w:val="BodyText"/>
        <w:numPr>
          <w:ilvl w:val="0"/>
          <w:numId w:val="14"/>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 "أولاً ، إنه يساعد على حماية الاستقرار المالي عندما يسعى المودعون إلى التحول إلى </w:t>
      </w:r>
      <w:r w:rsidRPr="00BB11D1">
        <w:rPr>
          <w:rFonts w:asciiTheme="majorBidi" w:hAnsiTheme="majorBidi" w:cstheme="majorBidi"/>
        </w:rPr>
        <w:t>CBDC</w:t>
      </w:r>
      <w:r w:rsidRPr="00BB11D1">
        <w:rPr>
          <w:rFonts w:asciiTheme="majorBidi" w:hAnsiTheme="majorBidi" w:cstheme="majorBidi"/>
          <w:rtl/>
          <w:lang w:bidi="ar-SA"/>
        </w:rPr>
        <w:t xml:space="preserve"> بأعداد كبيرة."</w:t>
      </w:r>
    </w:p>
    <w:p w:rsidR="00BB11D1" w:rsidRPr="00BB11D1" w:rsidRDefault="00BB11D1" w:rsidP="00BB11D1">
      <w:pPr>
        <w:pStyle w:val="BodyText"/>
        <w:numPr>
          <w:ilvl w:val="0"/>
          <w:numId w:val="14"/>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 "ثانياً ، هذا المبدأ يمكّن الاحتياطيات و </w:t>
      </w:r>
      <w:r w:rsidRPr="00BB11D1">
        <w:rPr>
          <w:rFonts w:asciiTheme="majorBidi" w:hAnsiTheme="majorBidi" w:cstheme="majorBidi"/>
        </w:rPr>
        <w:t>CBDC</w:t>
      </w:r>
      <w:r w:rsidRPr="00BB11D1">
        <w:rPr>
          <w:rFonts w:asciiTheme="majorBidi" w:hAnsiTheme="majorBidi" w:cstheme="majorBidi"/>
          <w:rtl/>
          <w:lang w:bidi="ar-SA"/>
        </w:rPr>
        <w:t xml:space="preserve"> من أن يكون لها غرض أساسي منفصل ، ولا سيما </w:t>
      </w:r>
      <w:r w:rsidRPr="00BB11D1">
        <w:rPr>
          <w:rFonts w:asciiTheme="majorBidi" w:hAnsiTheme="majorBidi" w:cstheme="majorBidi"/>
        </w:rPr>
        <w:t>CBDC</w:t>
      </w:r>
      <w:r w:rsidRPr="00BB11D1">
        <w:rPr>
          <w:rFonts w:asciiTheme="majorBidi" w:hAnsiTheme="majorBidi" w:cstheme="majorBidi"/>
          <w:rtl/>
          <w:lang w:bidi="ar-SA"/>
        </w:rPr>
        <w:t xml:space="preserve"> لا يجب أن </w:t>
      </w:r>
      <w:r w:rsidRPr="00BB11D1">
        <w:rPr>
          <w:rFonts w:asciiTheme="majorBidi" w:hAnsiTheme="majorBidi" w:cstheme="majorBidi"/>
          <w:rtl/>
          <w:lang w:bidi="ar-SA"/>
        </w:rPr>
        <w:lastRenderedPageBreak/>
        <w:t xml:space="preserve">تعمل كأصل لتسوية ما بين البنوك أو تكون ملزمة بنفس القواعد مثل </w:t>
      </w:r>
      <w:r w:rsidRPr="00BB11D1">
        <w:rPr>
          <w:rFonts w:asciiTheme="majorBidi" w:hAnsiTheme="majorBidi" w:cstheme="majorBidi"/>
        </w:rPr>
        <w:t>RTGS</w:t>
      </w:r>
      <w:r w:rsidRPr="00BB11D1">
        <w:rPr>
          <w:rFonts w:asciiTheme="majorBidi" w:hAnsiTheme="majorBidi" w:cstheme="majorBidi"/>
          <w:rtl/>
          <w:lang w:bidi="ar-SA"/>
        </w:rPr>
        <w:t xml:space="preserve">. يتيح ذلك للبنك المركزي تشغيل أداة سياسة ثانية ، وتحديداً كمية أو سعر الفائدة على </w:t>
      </w:r>
      <w:r w:rsidRPr="00BB11D1">
        <w:rPr>
          <w:rFonts w:asciiTheme="majorBidi" w:hAnsiTheme="majorBidi" w:cstheme="majorBidi"/>
        </w:rPr>
        <w:t>CBDC</w:t>
      </w:r>
      <w:r w:rsidRPr="00BB11D1">
        <w:rPr>
          <w:rFonts w:asciiTheme="majorBidi" w:hAnsiTheme="majorBidi" w:cstheme="majorBidi"/>
          <w:rtl/>
          <w:lang w:bidi="ar-SA"/>
        </w:rPr>
        <w:t>. "</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لقد نوقشت كلتا الحجتين بالفعل أعلاه في سياق المبدأ 1. أن الأشكال المختلفة لأموال البنك المركزي لها "أغراض أساسية" مختلفة لم تؤد حتى الآن إلى استنتاج مفاده أنه ينبغي على المرء في بعض الظروف تعليق قابلية التحويل بينهما. على وجه الخصوص ، من الواضح أن كلا من الأوراق النقدية والودائع لدى البنك المركزي لها أغراض مختلفة إلى حد ما ، لكن كان من المفترض دائمًا أنها قابلة للتحويل إلى بعضها البعض في تاريخ المصرفية (المركزية). تمت مناقشة هذه القضايا في الواقع لفترة طويلة ، وسيظل الكثيرون متفقين مع التفسير القديم لدنبار (1906 ، 62-63):</w:t>
      </w:r>
    </w:p>
    <w:p w:rsidR="000255A4" w:rsidRPr="00BB11D1" w:rsidRDefault="00BB11D1" w:rsidP="00BB11D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كان الاعتقاد السائد هو أن البنوك تخضع لإغراء خاص وخطير للإفراط في إصدار السندات ، مما يتسبب في انخفاض قيمتها مع خسارة للجمهور. إن مسألة ما إذا كانت أوراق المكشوفة حقًا يمكن أن تعمم بشكل مفرط كانت موضوع نقاش مرهق وعديم الجدوى ... لقد تم بالفعل إثبات أن مسألة ما إذا كان يجب إصدار الأوراق أم لا ، هو السؤال الذي لم يتم تسويته في البنوك الحديثة بشكل إيجابي من قبل البنك ، ولكن يتم تسويته بواسطة الدائن ، الذي يحدد لنفسه ومع مراعاة ملاءمته الخاصة ، سواء للاحتفاظ بحقه ، في مقابل البنك ، في شكل مذكرة أو إيداع ".</w:t>
      </w:r>
    </w:p>
    <w:p w:rsidR="00BB11D1" w:rsidRPr="00BB11D1" w:rsidRDefault="00BB11D1" w:rsidP="00BB11D1">
      <w:pPr>
        <w:pStyle w:val="BodyText"/>
        <w:bidi/>
        <w:spacing w:before="6"/>
        <w:rPr>
          <w:rFonts w:asciiTheme="majorBidi" w:hAnsiTheme="majorBidi" w:cstheme="majorBidi"/>
          <w:i/>
          <w:sz w:val="23"/>
          <w:lang w:bidi="ar-SA"/>
        </w:rPr>
      </w:pPr>
    </w:p>
    <w:p w:rsidR="00BB11D1" w:rsidRPr="00BB11D1" w:rsidRDefault="00BB11D1" w:rsidP="00BB11D1">
      <w:pPr>
        <w:pStyle w:val="BodyText"/>
        <w:bidi/>
        <w:spacing w:before="6"/>
        <w:rPr>
          <w:rFonts w:asciiTheme="majorBidi" w:hAnsiTheme="majorBidi" w:cstheme="majorBidi"/>
          <w:i/>
          <w:sz w:val="23"/>
        </w:rPr>
      </w:pPr>
    </w:p>
    <w:p w:rsidR="00BB11D1" w:rsidRPr="00BB11D1" w:rsidRDefault="00BB11D1" w:rsidP="006A2441">
      <w:pPr>
        <w:pStyle w:val="BodyText"/>
        <w:bidi/>
        <w:spacing w:before="13"/>
        <w:ind w:left="249"/>
        <w:jc w:val="both"/>
        <w:rPr>
          <w:rFonts w:asciiTheme="majorBidi" w:eastAsia="Trebuchet MS" w:hAnsiTheme="majorBidi" w:cstheme="majorBidi"/>
          <w:b/>
          <w:bCs/>
          <w:lang w:bidi="ar-SA"/>
        </w:rPr>
      </w:pPr>
      <w:r w:rsidRPr="00BB11D1">
        <w:rPr>
          <w:rFonts w:asciiTheme="majorBidi" w:eastAsia="Trebuchet MS" w:hAnsiTheme="majorBidi" w:cstheme="majorBidi"/>
          <w:b/>
          <w:bCs/>
          <w:rtl/>
          <w:lang w:bidi="ar-SA"/>
        </w:rPr>
        <w:t>المبدأ 3: "لا يمكن ضمان قابلية تحويل الودائع المصرفية عند الطلب إلى بنك دبي التجاري"</w:t>
      </w:r>
    </w:p>
    <w:p w:rsidR="00BB11D1" w:rsidRPr="00BB11D1" w:rsidRDefault="00BB11D1" w:rsidP="00BB11D1">
      <w:pPr>
        <w:pStyle w:val="BodyText"/>
        <w:bidi/>
        <w:spacing w:before="13"/>
        <w:ind w:left="249"/>
        <w:jc w:val="both"/>
        <w:rPr>
          <w:rFonts w:asciiTheme="majorBidi" w:eastAsia="Trebuchet MS" w:hAnsiTheme="majorBidi" w:cstheme="majorBidi"/>
          <w:b/>
          <w:bCs/>
          <w:lang w:bidi="ar-SA"/>
        </w:rPr>
      </w:pPr>
    </w:p>
    <w:p w:rsidR="00BB11D1" w:rsidRPr="00BB11D1" w:rsidRDefault="00BB11D1" w:rsidP="00BB11D1">
      <w:pPr>
        <w:pStyle w:val="BodyText"/>
        <w:bidi/>
        <w:spacing w:before="7" w:line="480" w:lineRule="auto"/>
        <w:jc w:val="both"/>
        <w:rPr>
          <w:rFonts w:asciiTheme="majorBidi" w:hAnsiTheme="majorBidi" w:cstheme="majorBidi"/>
        </w:rPr>
      </w:pPr>
      <w:r w:rsidRPr="00BB11D1">
        <w:rPr>
          <w:rFonts w:asciiTheme="majorBidi" w:hAnsiTheme="majorBidi" w:cstheme="majorBidi"/>
          <w:rtl/>
          <w:lang w:bidi="ar-SA"/>
        </w:rPr>
        <w:t xml:space="preserve">يرى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أن قابلية تحويل الودائع لدى البنوك إلى </w:t>
      </w:r>
      <w:r w:rsidRPr="00BB11D1">
        <w:rPr>
          <w:rFonts w:asciiTheme="majorBidi" w:hAnsiTheme="majorBidi" w:cstheme="majorBidi"/>
        </w:rPr>
        <w:t>CBDC</w:t>
      </w:r>
      <w:r w:rsidRPr="00BB11D1">
        <w:rPr>
          <w:rFonts w:asciiTheme="majorBidi" w:hAnsiTheme="majorBidi" w:cstheme="majorBidi"/>
          <w:rtl/>
          <w:lang w:bidi="ar-SA"/>
        </w:rPr>
        <w:t xml:space="preserve"> ليست مطلوبة بشدة:</w:t>
      </w:r>
    </w:p>
    <w:p w:rsidR="00BB11D1" w:rsidRPr="00BB11D1" w:rsidRDefault="00BB11D1" w:rsidP="00BB11D1">
      <w:pPr>
        <w:pStyle w:val="BodyText"/>
        <w:bidi/>
        <w:spacing w:before="7" w:line="480" w:lineRule="auto"/>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t xml:space="preserve">إنها "خطيرة وغير ضرورية. لماذا هو خطير؟ الاعتبار الرئيسي هو مصداقية الالتزام. قد يكون القطاع المصرفي قادرًا على الوفاء بالالتزام عندما يكون صافي التدفقات إلى بنك دبي التجاري والخروج من الودائع صغيرًا وبطيء الحركة. ومع ذلك ، تعتمد المصداقية أيضًا على القدرة على الوفاء بالالتزام في أوقات التوتر. ... ستحتاج البنوك إلى بيع أو إعادة الموجودات المؤهلة للبنك المركزي للحصول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 مع احتمال أن يضطر البنك المركزي إلى توسيع قائمة الضمانات المؤهلة ، أو حتى الاستغناء عن متطلبات الضمانات بالكامل في الإقراض غير المضمون على نطاق واسع. وبالتالي ، تحول مصداقية الالتزام إلى التزام البنك المركزي بأن يكون هو الملاذ الأخير ، مما يحتمل أن ينطوي على مخاطرة غير مسبوقة في ميزانيته العمومية بالنظر إلى الحجم المحتمل لمتطلبات السيولة. أي أن ضمان استعداد البنوك دائمًا لتحويل الودائع إلى بنك دبي التجاري يجب أن يكون في النهاية مدعومًا بضمان من البنك المركزي. "</w:t>
      </w:r>
    </w:p>
    <w:p w:rsidR="000255A4" w:rsidRPr="00BB11D1" w:rsidRDefault="00BB11D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rtl/>
          <w:lang w:bidi="ar-SA"/>
        </w:rPr>
        <w:t>ومع ذلك ، سوف تحتاج إلى مزيد من التوضيح لماذا ميزة واحدة من الودائع بين عشية وضحاها في البنوك -</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بمعنى أن قابلية التحويل عند الطلب في أي وقت إلى أموال البنك المركزي - تنطبق على أموال البنك المركزي في شكل أوراق نقدية ، ولكن ليس في شكل </w:t>
      </w:r>
      <w:r w:rsidRPr="00BB11D1">
        <w:rPr>
          <w:rFonts w:asciiTheme="majorBidi" w:hAnsiTheme="majorBidi" w:cstheme="majorBidi"/>
        </w:rPr>
        <w:t>CBDC</w:t>
      </w:r>
      <w:r w:rsidRPr="00BB11D1">
        <w:rPr>
          <w:rFonts w:asciiTheme="majorBidi" w:hAnsiTheme="majorBidi" w:cstheme="majorBidi"/>
          <w:rtl/>
          <w:lang w:bidi="ar-SA"/>
        </w:rPr>
        <w:t>. علاوة على ذلك ، ماذا لو توقفت الأوراق النقدية في النهاية عن الوجود ، حيث قد يتم التنبؤ بها على الأقل لبعض الدول مثل السويد؟ يبدو أن هذا يعني أن البنوك لن تعد تعد دون قيد أو شرط بتحويل الودائع تحت الطلب إلى أموال البنك المركزي.</w:t>
      </w:r>
    </w:p>
    <w:p w:rsidR="00BB11D1" w:rsidRPr="00BB11D1" w:rsidRDefault="00BB11D1" w:rsidP="00BB11D1">
      <w:pPr>
        <w:pStyle w:val="BodyText"/>
        <w:bidi/>
        <w:spacing w:before="14" w:line="480" w:lineRule="auto"/>
        <w:ind w:left="250"/>
        <w:jc w:val="both"/>
        <w:rPr>
          <w:rFonts w:asciiTheme="majorBidi" w:eastAsia="Trebuchet MS" w:hAnsiTheme="majorBidi" w:cstheme="majorBidi"/>
          <w:b/>
          <w:bCs/>
          <w:w w:val="95"/>
          <w:lang w:bidi="ar-SA"/>
        </w:rPr>
      </w:pPr>
      <w:r w:rsidRPr="00BB11D1">
        <w:rPr>
          <w:rFonts w:asciiTheme="majorBidi" w:eastAsia="Trebuchet MS" w:hAnsiTheme="majorBidi" w:cstheme="majorBidi"/>
          <w:b/>
          <w:bCs/>
          <w:w w:val="95"/>
          <w:rtl/>
          <w:lang w:bidi="ar-SA"/>
        </w:rPr>
        <w:t xml:space="preserve">المبدأ 4: "يصدر البنك المركزي </w:t>
      </w:r>
      <w:r>
        <w:rPr>
          <w:rFonts w:asciiTheme="majorBidi" w:eastAsia="Trebuchet MS" w:hAnsiTheme="majorBidi" w:cstheme="majorBidi"/>
          <w:b/>
          <w:bCs/>
          <w:w w:val="95"/>
          <w:lang w:bidi="ar-SA"/>
        </w:rPr>
        <w:t>CBDC</w:t>
      </w:r>
      <w:r w:rsidRPr="00BB11D1">
        <w:rPr>
          <w:rFonts w:asciiTheme="majorBidi" w:eastAsia="Trebuchet MS" w:hAnsiTheme="majorBidi" w:cstheme="majorBidi"/>
          <w:b/>
          <w:bCs/>
          <w:w w:val="95"/>
          <w:rtl/>
          <w:lang w:bidi="ar-SA"/>
        </w:rPr>
        <w:t xml:space="preserve"> فقط مقابل الأوراق المالية المؤهلة"</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يشرح كومهوف ونون (ص 17) ما يلي:</w:t>
      </w:r>
    </w:p>
    <w:p w:rsidR="00BB11D1" w:rsidRPr="00BB11D1" w:rsidRDefault="00BB11D1" w:rsidP="00BB11D1">
      <w:pPr>
        <w:pStyle w:val="BodyText"/>
        <w:bidi/>
        <w:spacing w:before="6" w:line="480" w:lineRule="auto"/>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lastRenderedPageBreak/>
        <w:t xml:space="preserve">"المبدأ الأساسي الرابع هو أن البنك المركزي يتبادل فقط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للأوراق المالية المؤهلة التي يختارها ، مثل الأوراق المالية الحكومية. لا يستبدلها بالاحتياطيات ، ... كما لا يستبدلها بالودائع المصرفية ... يسمح هذا المبدأ الأساسي للبنك المركزي بإدارة المخاطر التي يتعرض لها ميزانيته العمومية من إصدار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 تمامًا كما يفعل الاحتياطيات والنقد . والأهم من ذلك ، أن ترتيبات الإصدار هذه يمكن أن تقضي في الغالب على مخاطر حدوث نفاد كلي في القطاع المصرفي ، إما أن يكون ذلك ممكنًا عبر مجموعة فرعية من البنوك عندما تكون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والاحتياطيات قابلة للاستبدال ، أو عمليات التعميم المعمول بها على النظام المصرفي التي تصبح ممكنة عبر مجمل البنوك عندما تكون ودائع البنك المركزي للتداول والودائع المصرفية قابلة للاستبدال عند الطلب ".</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في الواقع: عندما يتم إنشاء أموال البنك المركزي من خلال عمليات الائتمان مع البنوك ، فيجب أن تقدم البنوك ضمانات ، ويجب أن يكون ذلك مستقلاً عن شكل أموال البنك المركزي التي سيتم إنشاؤها في النهاية. قد تكون النقاط التالية ذات صلة في هذا السياق:</w:t>
      </w:r>
    </w:p>
    <w:p w:rsidR="00BB11D1" w:rsidRPr="00BB11D1" w:rsidRDefault="00BB11D1" w:rsidP="00BB11D1">
      <w:pPr>
        <w:pStyle w:val="BodyText"/>
        <w:numPr>
          <w:ilvl w:val="1"/>
          <w:numId w:val="8"/>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عادةً ما يكون شكل أموال البنك المركزي الوحيد الذي يتم إنشاؤه من خلال عمليات الائتمان للبنك المركزي مع نظرائه في شكل احتياطيات. بعد ذلك تقرر البنوك تحويل الاحتياطيات إلى أشكال أخرى من أموال البنك المركزي ، وهذا يتوقف على طلب عملائها. لا ينبغي أن يؤدي تطبيق </w:t>
      </w:r>
      <w:r w:rsidRPr="00BB11D1">
        <w:rPr>
          <w:rFonts w:asciiTheme="majorBidi" w:hAnsiTheme="majorBidi" w:cstheme="majorBidi"/>
        </w:rPr>
        <w:t>CBDC</w:t>
      </w:r>
      <w:r w:rsidRPr="00BB11D1">
        <w:rPr>
          <w:rFonts w:asciiTheme="majorBidi" w:hAnsiTheme="majorBidi" w:cstheme="majorBidi"/>
          <w:rtl/>
          <w:lang w:bidi="ar-SA"/>
        </w:rPr>
        <w:t xml:space="preserve"> إلى تغيير هذا المبدأ.</w:t>
      </w:r>
    </w:p>
    <w:p w:rsidR="00BB11D1" w:rsidRPr="00BB11D1" w:rsidRDefault="00BB11D1" w:rsidP="00BB11D1">
      <w:pPr>
        <w:pStyle w:val="BodyText"/>
        <w:numPr>
          <w:ilvl w:val="1"/>
          <w:numId w:val="8"/>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يجب توضيح كيفية تشغيل "تبادل" الأوراق المالية المؤهلة ضد </w:t>
      </w:r>
      <w:r w:rsidRPr="00BB11D1">
        <w:rPr>
          <w:rFonts w:asciiTheme="majorBidi" w:hAnsiTheme="majorBidi" w:cstheme="majorBidi"/>
        </w:rPr>
        <w:t>CBDC</w:t>
      </w:r>
      <w:r w:rsidRPr="00BB11D1">
        <w:rPr>
          <w:rFonts w:asciiTheme="majorBidi" w:hAnsiTheme="majorBidi" w:cstheme="majorBidi"/>
          <w:rtl/>
          <w:lang w:bidi="ar-SA"/>
        </w:rPr>
        <w:t>. إذا كانت البورصة عملية شراء مباشرة من قبل البنك المركزي ، فإن هذا يعني إعادة إدخال نوع من تسهيلات الخصم ، أي حيث يمكن للبنوك إحضار أوراق مالية مؤهلة بمبادرة منها وبيعها إلى البنك المركزي الذي يحدد معدل الخصم لتحديد سعر الأوراق المالية. في الماضي ، عندما كانت عمليات التخفيض هذه لا تزال قائمة ، كانت تقتصر على الأوراق قصيرة الأجل ، وعادة ما تصل إلى ثلاثة أشهر.</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فيما يتعلق بكيفية القضاء على هذا الترتيب لمخاطر التشغيل ، يبدو أن هناك عاملين ذوي صلة. أولاً ، يمكن القول أن البنك المركزي ، من خلال السماح للبنوك بالحصول على المزيد من </w:t>
      </w:r>
      <w:r w:rsidRPr="00BB11D1">
        <w:rPr>
          <w:rFonts w:asciiTheme="majorBidi" w:hAnsiTheme="majorBidi" w:cstheme="majorBidi"/>
        </w:rPr>
        <w:t>CBDC</w:t>
      </w:r>
      <w:r w:rsidRPr="00BB11D1">
        <w:rPr>
          <w:rFonts w:asciiTheme="majorBidi" w:hAnsiTheme="majorBidi" w:cstheme="majorBidi"/>
          <w:rtl/>
          <w:lang w:bidi="ar-SA"/>
        </w:rPr>
        <w:t xml:space="preserve"> مقابل الأوراق المالية المؤهلة ، يعمل بشكل أساسي كمزود مرن ("أفقي") لأموال البنك المركزي ، وأن هذا في حد ذاته يميل إلى جعل الجري على البنوك أقل المحتمل أن. ثانياً ، في حالة ما إذا كان المرء يفكر في الشراء الصريح من قبل البنك المركزي للديون الحكومية ، فإن لجوء البنوك إلى ائتمان البنك المركزي ثابت ، مما يعني أنه في مجمل النظام المصرفي لا يحتاج إلى الاعتماد على ائتمان البنك المركزي المتزايد باستمرار حتى يتم الضمان في نهاية المطاف مقيدة.</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فيما يتعلق بالمبدأ 2 ، قد يبدو من غير الحدسي أن يقوم البنك المركزي بتحويل الأوراق المالية المؤهلة إلى </w:t>
      </w:r>
      <w:r w:rsidRPr="00BB11D1">
        <w:rPr>
          <w:rFonts w:asciiTheme="majorBidi" w:hAnsiTheme="majorBidi" w:cstheme="majorBidi"/>
        </w:rPr>
        <w:t>CBDC</w:t>
      </w:r>
      <w:r w:rsidRPr="00BB11D1">
        <w:rPr>
          <w:rFonts w:asciiTheme="majorBidi" w:hAnsiTheme="majorBidi" w:cstheme="majorBidi"/>
          <w:rtl/>
          <w:lang w:bidi="ar-SA"/>
        </w:rPr>
        <w:t xml:space="preserve"> ، ولكن ليس الاحتياطيات إلى </w:t>
      </w:r>
      <w:r w:rsidRPr="00BB11D1">
        <w:rPr>
          <w:rFonts w:asciiTheme="majorBidi" w:hAnsiTheme="majorBidi" w:cstheme="majorBidi"/>
        </w:rPr>
        <w:t>CBDC</w:t>
      </w:r>
      <w:r w:rsidRPr="00BB11D1">
        <w:rPr>
          <w:rFonts w:asciiTheme="majorBidi" w:hAnsiTheme="majorBidi" w:cstheme="majorBidi"/>
          <w:rtl/>
          <w:lang w:bidi="ar-SA"/>
        </w:rPr>
        <w:t xml:space="preserve"> ، أي أن الأوراق المالية المؤهلة التي يصدرها شخص آخر ستتم معاملتها على نحو أفضل من التزامات البنك المركزي لليلة واحدة ، والتي من المفترض أن يكون الأقل خطورة وسيولة بين جميع الأصول المالية في الاقتصاد.</w:t>
      </w:r>
    </w:p>
    <w:p w:rsidR="000255A4" w:rsidRPr="00BB11D1" w:rsidRDefault="00BB11D1" w:rsidP="00BB11D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بشكل عام ، يمكن إدراك أن مبدأي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 بينما يهدفان إلى التحكم في تأثيرات </w:t>
      </w:r>
      <w:r w:rsidRPr="00BB11D1">
        <w:rPr>
          <w:rFonts w:asciiTheme="majorBidi" w:hAnsiTheme="majorBidi" w:cstheme="majorBidi"/>
        </w:rPr>
        <w:t>CBDC</w:t>
      </w:r>
      <w:r w:rsidRPr="00BB11D1">
        <w:rPr>
          <w:rFonts w:asciiTheme="majorBidi" w:hAnsiTheme="majorBidi" w:cstheme="majorBidi"/>
          <w:rtl/>
          <w:lang w:bidi="ar-SA"/>
        </w:rPr>
        <w:t xml:space="preserve"> بطريقة لا تقوضها </w:t>
      </w:r>
      <w:r w:rsidRPr="00BB11D1">
        <w:rPr>
          <w:rFonts w:asciiTheme="majorBidi" w:hAnsiTheme="majorBidi" w:cstheme="majorBidi"/>
        </w:rPr>
        <w:t>CBDC</w:t>
      </w:r>
      <w:r w:rsidRPr="00BB11D1">
        <w:rPr>
          <w:rFonts w:asciiTheme="majorBidi" w:hAnsiTheme="majorBidi" w:cstheme="majorBidi"/>
          <w:rtl/>
          <w:lang w:bidi="ar-SA"/>
        </w:rPr>
        <w:t xml:space="preserve"> كثيرًا من النظام المالي الحالي ، يقدمان تغييرات على هذا الأمر بعيد المدى. على وجه الخصوص ، سيتم وضع المبادئ الأساسية للخدمات المصرفية والمصرفية المركزية المتعلقة بقابلية التحويل موضع تساؤل ، على الأقل بشكل مشروط. هذا لا يعني أن مبادئ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غير متوقعة أو معيبة ، ولكن يجب أن يحاول المرء إيجاد حلول أخف للمخاوف المشروعة فيما يتعلق </w:t>
      </w:r>
      <w:r w:rsidRPr="00BB11D1">
        <w:rPr>
          <w:rFonts w:asciiTheme="majorBidi" w:hAnsiTheme="majorBidi" w:cstheme="majorBidi"/>
          <w:rtl/>
          <w:lang w:bidi="ar-SA"/>
        </w:rPr>
        <w:lastRenderedPageBreak/>
        <w:t xml:space="preserve">بأحجام </w:t>
      </w:r>
      <w:r w:rsidRPr="00BB11D1">
        <w:rPr>
          <w:rFonts w:asciiTheme="majorBidi" w:hAnsiTheme="majorBidi" w:cstheme="majorBidi"/>
        </w:rPr>
        <w:t>CBDC</w:t>
      </w:r>
      <w:r w:rsidRPr="00BB11D1">
        <w:rPr>
          <w:rFonts w:asciiTheme="majorBidi" w:hAnsiTheme="majorBidi" w:cstheme="majorBidi"/>
          <w:rtl/>
          <w:lang w:bidi="ar-SA"/>
        </w:rPr>
        <w:t xml:space="preserve"> غير المنضبط. هذا هو ما يهدف القسم التالي إلى.</w:t>
      </w:r>
    </w:p>
    <w:p w:rsidR="00BB11D1" w:rsidRPr="00BB11D1" w:rsidRDefault="00BB11D1" w:rsidP="00BB11D1">
      <w:pPr>
        <w:pStyle w:val="BodyText"/>
        <w:bidi/>
        <w:spacing w:before="6"/>
        <w:rPr>
          <w:rFonts w:asciiTheme="majorBidi" w:hAnsiTheme="majorBidi" w:cstheme="majorBidi"/>
          <w:lang w:bidi="ar-SA"/>
        </w:rPr>
      </w:pPr>
    </w:p>
    <w:p w:rsidR="00BB11D1" w:rsidRPr="00BB11D1" w:rsidRDefault="00BB11D1" w:rsidP="00BB11D1">
      <w:pPr>
        <w:pStyle w:val="BodyText"/>
        <w:bidi/>
        <w:spacing w:before="6"/>
        <w:rPr>
          <w:rFonts w:asciiTheme="majorBidi" w:hAnsiTheme="majorBidi" w:cstheme="majorBidi"/>
          <w:sz w:val="23"/>
        </w:rPr>
      </w:pPr>
    </w:p>
    <w:p w:rsidR="00BB11D1" w:rsidRPr="00BB11D1" w:rsidRDefault="00BB11D1" w:rsidP="00BB11D1">
      <w:pPr>
        <w:pStyle w:val="BodyText"/>
        <w:bidi/>
        <w:spacing w:before="14" w:line="480" w:lineRule="auto"/>
        <w:ind w:left="250" w:right="765"/>
        <w:jc w:val="both"/>
        <w:rPr>
          <w:rFonts w:asciiTheme="majorBidi" w:eastAsia="Trebuchet MS" w:hAnsiTheme="majorBidi" w:cstheme="majorBidi"/>
          <w:b/>
          <w:bCs/>
          <w:lang w:bidi="ar-SA"/>
        </w:rPr>
      </w:pPr>
      <w:r w:rsidRPr="00BB11D1">
        <w:rPr>
          <w:rFonts w:asciiTheme="majorBidi" w:eastAsia="Trebuchet MS" w:hAnsiTheme="majorBidi" w:cstheme="majorBidi"/>
          <w:b/>
          <w:bCs/>
          <w:lang w:bidi="ar-SA"/>
        </w:rPr>
        <w:t xml:space="preserve"> 4.2 </w:t>
      </w:r>
      <w:r w:rsidRPr="00BB11D1">
        <w:rPr>
          <w:rFonts w:asciiTheme="majorBidi" w:eastAsia="Trebuchet MS" w:hAnsiTheme="majorBidi" w:cstheme="majorBidi"/>
          <w:b/>
          <w:bCs/>
          <w:rtl/>
          <w:lang w:bidi="ar-SA"/>
        </w:rPr>
        <w:t xml:space="preserve">الحد من كمية </w:t>
      </w:r>
      <w:r w:rsidRPr="00BB11D1">
        <w:rPr>
          <w:rFonts w:asciiTheme="majorBidi" w:eastAsia="Trebuchet MS" w:hAnsiTheme="majorBidi" w:cstheme="majorBidi"/>
          <w:b/>
          <w:bCs/>
          <w:lang w:bidi="ar-SA"/>
        </w:rPr>
        <w:t>CBDC</w:t>
      </w:r>
      <w:r w:rsidRPr="00BB11D1">
        <w:rPr>
          <w:rFonts w:asciiTheme="majorBidi" w:eastAsia="Trebuchet MS" w:hAnsiTheme="majorBidi" w:cstheme="majorBidi"/>
          <w:b/>
          <w:bCs/>
          <w:rtl/>
          <w:lang w:bidi="ar-SA"/>
        </w:rPr>
        <w:t xml:space="preserve"> لكل حامل</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يذكر </w:t>
      </w:r>
      <w:r w:rsidRPr="00BB11D1">
        <w:rPr>
          <w:rFonts w:asciiTheme="majorBidi" w:hAnsiTheme="majorBidi" w:cstheme="majorBidi"/>
        </w:rPr>
        <w:t>Panetta (2018</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29</w:t>
      </w:r>
      <w:r w:rsidRPr="00BB11D1">
        <w:rPr>
          <w:rFonts w:asciiTheme="majorBidi" w:hAnsiTheme="majorBidi" w:cstheme="majorBidi"/>
          <w:rtl/>
          <w:lang w:bidi="ar-SA"/>
        </w:rPr>
        <w:t xml:space="preserve">) إمكانية معالجة مشكلات الوساطة الهيكلية وإدارة البنك المرتبطة بـ </w:t>
      </w:r>
      <w:r w:rsidRPr="00BB11D1">
        <w:rPr>
          <w:rFonts w:asciiTheme="majorBidi" w:hAnsiTheme="majorBidi" w:cstheme="majorBidi"/>
        </w:rPr>
        <w:t>CBDC</w:t>
      </w:r>
      <w:r w:rsidRPr="00BB11D1">
        <w:rPr>
          <w:rFonts w:asciiTheme="majorBidi" w:hAnsiTheme="majorBidi" w:cstheme="majorBidi"/>
          <w:rtl/>
          <w:lang w:bidi="ar-SA"/>
        </w:rPr>
        <w:t xml:space="preserve"> من خلال "تحديد سقف لمقدار </w:t>
      </w:r>
      <w:r w:rsidRPr="00BB11D1">
        <w:rPr>
          <w:rFonts w:asciiTheme="majorBidi" w:hAnsiTheme="majorBidi" w:cstheme="majorBidi"/>
        </w:rPr>
        <w:t>CBDC</w:t>
      </w:r>
      <w:r w:rsidRPr="00BB11D1">
        <w:rPr>
          <w:rFonts w:asciiTheme="majorBidi" w:hAnsiTheme="majorBidi" w:cstheme="majorBidi"/>
          <w:rtl/>
          <w:lang w:bidi="ar-SA"/>
        </w:rPr>
        <w:t xml:space="preserve"> الذي يمكن لكل مستثمر فردي أن يحمله". بالنسبة للودائع (دفتر الأستاذ المركزي) </w:t>
      </w:r>
      <w:r w:rsidRPr="00BB11D1">
        <w:rPr>
          <w:rFonts w:asciiTheme="majorBidi" w:hAnsiTheme="majorBidi" w:cstheme="majorBidi"/>
        </w:rPr>
        <w:t>CBDC</w:t>
      </w:r>
      <w:r w:rsidRPr="00BB11D1">
        <w:rPr>
          <w:rFonts w:asciiTheme="majorBidi" w:hAnsiTheme="majorBidi" w:cstheme="majorBidi"/>
          <w:rtl/>
          <w:lang w:bidi="ar-SA"/>
        </w:rPr>
        <w:t xml:space="preserve"> ، يجب أن يكون ذلك تافهًا نسبيًا. سيتم ببساطة رفض تحويل الأموال إلى حساب يجعل هذا الحساب يتجاوز الحد الأقصى. يوفر </w:t>
      </w:r>
      <w:r w:rsidRPr="00BB11D1">
        <w:rPr>
          <w:rFonts w:asciiTheme="majorBidi" w:hAnsiTheme="majorBidi" w:cstheme="majorBidi"/>
        </w:rPr>
        <w:t>ECB (2019b</w:t>
      </w:r>
      <w:r w:rsidRPr="00BB11D1">
        <w:rPr>
          <w:rFonts w:asciiTheme="majorBidi" w:hAnsiTheme="majorBidi" w:cstheme="majorBidi"/>
          <w:rtl/>
          <w:lang w:bidi="ar-SA"/>
        </w:rPr>
        <w:t xml:space="preserve">) دليلًا على مفهوم حل </w:t>
      </w:r>
      <w:r w:rsidRPr="00BB11D1">
        <w:rPr>
          <w:rFonts w:asciiTheme="majorBidi" w:hAnsiTheme="majorBidi" w:cstheme="majorBidi"/>
        </w:rPr>
        <w:t>CBDC</w:t>
      </w:r>
      <w:r w:rsidRPr="00BB11D1">
        <w:rPr>
          <w:rFonts w:asciiTheme="majorBidi" w:hAnsiTheme="majorBidi" w:cstheme="majorBidi"/>
          <w:rtl/>
          <w:lang w:bidi="ar-SA"/>
        </w:rPr>
        <w:t xml:space="preserve"> المستند إلى </w:t>
      </w:r>
      <w:r w:rsidRPr="00BB11D1">
        <w:rPr>
          <w:rFonts w:asciiTheme="majorBidi" w:hAnsiTheme="majorBidi" w:cstheme="majorBidi"/>
        </w:rPr>
        <w:t>DLT</w:t>
      </w:r>
      <w:r w:rsidRPr="00BB11D1">
        <w:rPr>
          <w:rFonts w:asciiTheme="majorBidi" w:hAnsiTheme="majorBidi" w:cstheme="majorBidi"/>
          <w:rtl/>
          <w:lang w:bidi="ar-SA"/>
        </w:rPr>
        <w:t xml:space="preserve"> والذي سيسمح أيضًا بتنفيذ الحدود القصوى في محافظ حاملي </w:t>
      </w:r>
      <w:r w:rsidRPr="00BB11D1">
        <w:rPr>
          <w:rFonts w:asciiTheme="majorBidi" w:hAnsiTheme="majorBidi" w:cstheme="majorBidi"/>
        </w:rPr>
        <w:t>CBDC</w:t>
      </w:r>
      <w:r w:rsidRPr="00BB11D1">
        <w:rPr>
          <w:rFonts w:asciiTheme="majorBidi" w:hAnsiTheme="majorBidi" w:cstheme="majorBidi"/>
          <w:rtl/>
          <w:lang w:bidi="ar-SA"/>
        </w:rPr>
        <w:t xml:space="preserve">. مرة أخرى ، سيتم ببساطة رفض المدفوعات في محفظة تؤدي إلى مقتنيات فائضة. في الوقت الحالي ، من الآمن أن نستنتج أن تحديد حيازات </w:t>
      </w:r>
      <w:r w:rsidRPr="00BB11D1">
        <w:rPr>
          <w:rFonts w:asciiTheme="majorBidi" w:hAnsiTheme="majorBidi" w:cstheme="majorBidi"/>
        </w:rPr>
        <w:t>CBDC</w:t>
      </w:r>
      <w:r w:rsidRPr="00BB11D1">
        <w:rPr>
          <w:rFonts w:asciiTheme="majorBidi" w:hAnsiTheme="majorBidi" w:cstheme="majorBidi"/>
          <w:rtl/>
          <w:lang w:bidi="ar-SA"/>
        </w:rPr>
        <w:t xml:space="preserve"> لكل مستخدم </w:t>
      </w:r>
      <w:r w:rsidRPr="00BB11D1">
        <w:rPr>
          <w:rFonts w:asciiTheme="majorBidi" w:hAnsiTheme="majorBidi" w:cstheme="majorBidi"/>
        </w:rPr>
        <w:t>CBDC</w:t>
      </w:r>
      <w:r w:rsidRPr="00BB11D1">
        <w:rPr>
          <w:rFonts w:asciiTheme="majorBidi" w:hAnsiTheme="majorBidi" w:cstheme="majorBidi"/>
          <w:rtl/>
          <w:lang w:bidi="ar-SA"/>
        </w:rPr>
        <w:t xml:space="preserve"> مؤهل مسجل سيكون ممكنًا تقنيًا لمجموعة واسعة من حلول </w:t>
      </w:r>
      <w:r w:rsidRPr="00BB11D1">
        <w:rPr>
          <w:rFonts w:asciiTheme="majorBidi" w:hAnsiTheme="majorBidi" w:cstheme="majorBidi"/>
        </w:rPr>
        <w:t>CBDC</w:t>
      </w:r>
      <w:r w:rsidRPr="00BB11D1">
        <w:rPr>
          <w:rFonts w:asciiTheme="majorBidi" w:hAnsiTheme="majorBidi" w:cstheme="majorBidi"/>
          <w:rtl/>
          <w:lang w:bidi="ar-SA"/>
        </w:rPr>
        <w:t xml:space="preserve"> التقنية. ومع ذلك ، يمكن القول أن هذا يثير عددًا من المشكلات:</w:t>
      </w:r>
    </w:p>
    <w:p w:rsidR="00BB11D1" w:rsidRPr="00BB11D1" w:rsidRDefault="00BB11D1" w:rsidP="00BB11D1">
      <w:pPr>
        <w:pStyle w:val="BodyText"/>
        <w:numPr>
          <w:ilvl w:val="0"/>
          <w:numId w:val="14"/>
        </w:numPr>
        <w:bidi/>
        <w:spacing w:line="480" w:lineRule="auto"/>
        <w:jc w:val="both"/>
        <w:rPr>
          <w:rFonts w:asciiTheme="majorBidi" w:hAnsiTheme="majorBidi" w:cstheme="majorBidi"/>
        </w:rPr>
      </w:pPr>
      <w:r w:rsidRPr="00BB11D1">
        <w:rPr>
          <w:rFonts w:asciiTheme="majorBidi" w:hAnsiTheme="majorBidi" w:cstheme="majorBidi"/>
          <w:rtl/>
          <w:lang w:bidi="ar-SA"/>
        </w:rPr>
        <w:t xml:space="preserve"> كما لاحظت أيضًا </w:t>
      </w:r>
      <w:r w:rsidRPr="00BB11D1">
        <w:rPr>
          <w:rFonts w:asciiTheme="majorBidi" w:hAnsiTheme="majorBidi" w:cstheme="majorBidi"/>
        </w:rPr>
        <w:t>Panetta (2018</w:t>
      </w:r>
      <w:r w:rsidRPr="00BB11D1">
        <w:rPr>
          <w:rFonts w:asciiTheme="majorBidi" w:hAnsiTheme="majorBidi" w:cstheme="majorBidi"/>
          <w:rtl/>
          <w:lang w:bidi="ar-SA"/>
        </w:rPr>
        <w:t xml:space="preserve"> ، الحاشية 20) ، "يمكن أن يحد الحد الأقصى للمقتنيات الفردية من </w:t>
      </w:r>
      <w:r w:rsidRPr="00BB11D1">
        <w:rPr>
          <w:rFonts w:asciiTheme="majorBidi" w:hAnsiTheme="majorBidi" w:cstheme="majorBidi"/>
        </w:rPr>
        <w:t>CBDC</w:t>
      </w:r>
      <w:r w:rsidRPr="00BB11D1">
        <w:rPr>
          <w:rFonts w:asciiTheme="majorBidi" w:hAnsiTheme="majorBidi" w:cstheme="majorBidi"/>
          <w:rtl/>
          <w:lang w:bidi="ar-SA"/>
        </w:rPr>
        <w:t xml:space="preserve"> من عدد أو حجم المدفوعات ، حيث يجب أن تكون حيازات المستفيدين من </w:t>
      </w:r>
      <w:r w:rsidRPr="00BB11D1">
        <w:rPr>
          <w:rFonts w:asciiTheme="majorBidi" w:hAnsiTheme="majorBidi" w:cstheme="majorBidi"/>
        </w:rPr>
        <w:t>CBDC</w:t>
      </w:r>
      <w:r w:rsidRPr="00BB11D1">
        <w:rPr>
          <w:rFonts w:asciiTheme="majorBidi" w:hAnsiTheme="majorBidi" w:cstheme="majorBidi"/>
          <w:rtl/>
          <w:lang w:bidi="ar-SA"/>
        </w:rPr>
        <w:t xml:space="preserve"> معروفة من أجل استكمال الدفع". خطر أن يتم رفض المدفوعات لسبب ما</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هذا لا يمكن أن يعرفه الدافع مقدمًا يعني احتكاكًا كبيرًا يقوض كفاءة المدفوعات (ما لم يكن الحد الأقصى مرتفعًا لدرجة أنه مع احتمال كبير للغاية لن يصبح ملزماً أبدًا). يتمثل أحد الاحتمالات التي يمكن تطويرها في أن يتم قبول أي مدفوعات تنطوي على فائض من مقتنيات </w:t>
      </w:r>
      <w:r w:rsidRPr="00BB11D1">
        <w:rPr>
          <w:rFonts w:asciiTheme="majorBidi" w:hAnsiTheme="majorBidi" w:cstheme="majorBidi"/>
        </w:rPr>
        <w:t>CBDC</w:t>
      </w:r>
      <w:r w:rsidRPr="00BB11D1">
        <w:rPr>
          <w:rFonts w:asciiTheme="majorBidi" w:hAnsiTheme="majorBidi" w:cstheme="majorBidi"/>
          <w:rtl/>
          <w:lang w:bidi="ar-SA"/>
        </w:rPr>
        <w:t xml:space="preserve"> بما يتجاوز الحد الأقصى ، ولكن سيؤدي ذلك إلى النقل التلقائي للفائض من حساب / محفظة </w:t>
      </w:r>
      <w:r w:rsidRPr="00BB11D1">
        <w:rPr>
          <w:rFonts w:asciiTheme="majorBidi" w:hAnsiTheme="majorBidi" w:cstheme="majorBidi"/>
        </w:rPr>
        <w:t>CBDC</w:t>
      </w:r>
      <w:r w:rsidRPr="00BB11D1">
        <w:rPr>
          <w:rFonts w:asciiTheme="majorBidi" w:hAnsiTheme="majorBidi" w:cstheme="majorBidi"/>
          <w:rtl/>
          <w:lang w:bidi="ar-SA"/>
        </w:rPr>
        <w:t xml:space="preserve"> إلى حساب إيداع / استثمار آخر محدد عقدت مع بنك أو مدير الاستثمار. يتعين على كل مالك مسجل لحساب / محفظة </w:t>
      </w:r>
      <w:r w:rsidRPr="00BB11D1">
        <w:rPr>
          <w:rFonts w:asciiTheme="majorBidi" w:hAnsiTheme="majorBidi" w:cstheme="majorBidi"/>
        </w:rPr>
        <w:t>CBDC</w:t>
      </w:r>
      <w:r w:rsidRPr="00BB11D1">
        <w:rPr>
          <w:rFonts w:asciiTheme="majorBidi" w:hAnsiTheme="majorBidi" w:cstheme="majorBidi"/>
          <w:rtl/>
          <w:lang w:bidi="ar-SA"/>
        </w:rPr>
        <w:t xml:space="preserve"> تعيين حساب "الشلال" هذا.</w:t>
      </w:r>
    </w:p>
    <w:p w:rsidR="00BB11D1" w:rsidRPr="00BB11D1" w:rsidRDefault="00BB11D1" w:rsidP="00BB11D1">
      <w:pPr>
        <w:pStyle w:val="BodyText"/>
        <w:numPr>
          <w:ilvl w:val="0"/>
          <w:numId w:val="14"/>
        </w:numPr>
        <w:bidi/>
        <w:spacing w:line="480" w:lineRule="auto"/>
        <w:jc w:val="both"/>
        <w:rPr>
          <w:rFonts w:asciiTheme="majorBidi" w:hAnsiTheme="majorBidi" w:cstheme="majorBidi"/>
        </w:rPr>
      </w:pP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ثانياً ، يجب إيجاد حل لمدفوعات </w:t>
      </w:r>
      <w:r w:rsidRPr="00BB11D1">
        <w:rPr>
          <w:rFonts w:asciiTheme="majorBidi" w:hAnsiTheme="majorBidi" w:cstheme="majorBidi"/>
        </w:rPr>
        <w:t>CBDC</w:t>
      </w:r>
      <w:r w:rsidRPr="00BB11D1">
        <w:rPr>
          <w:rFonts w:asciiTheme="majorBidi" w:hAnsiTheme="majorBidi" w:cstheme="majorBidi"/>
          <w:rtl/>
          <w:lang w:bidi="ar-SA"/>
        </w:rPr>
        <w:t xml:space="preserve"> نقدًا على سبيل المثال السياح والأجانب ، الذين قد لا يستوفون معايير الأهلية لكونه صاحب حساب / محفظة مسجلة.</w:t>
      </w:r>
    </w:p>
    <w:p w:rsid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ستتم مناقشة كلا المسألتين في سياق الحل المقترح في القسم التالي</w:t>
      </w:r>
    </w:p>
    <w:p w:rsidR="00BB11D1" w:rsidRDefault="00BB11D1">
      <w:pPr>
        <w:rPr>
          <w:rFonts w:asciiTheme="majorBidi" w:hAnsiTheme="majorBidi" w:cstheme="majorBidi"/>
          <w:rtl/>
          <w:lang w:bidi="ar-SA"/>
        </w:rPr>
      </w:pPr>
      <w:r>
        <w:rPr>
          <w:rFonts w:asciiTheme="majorBidi" w:hAnsiTheme="majorBidi" w:cstheme="majorBidi"/>
          <w:rtl/>
          <w:lang w:bidi="ar-SA"/>
        </w:rPr>
        <w:br w:type="page"/>
      </w:r>
    </w:p>
    <w:p w:rsidR="000255A4" w:rsidRPr="00BB11D1" w:rsidRDefault="00BB11D1" w:rsidP="00BB11D1">
      <w:pPr>
        <w:pStyle w:val="BodyText"/>
        <w:bidi/>
        <w:spacing w:line="480" w:lineRule="auto"/>
        <w:jc w:val="both"/>
        <w:rPr>
          <w:rFonts w:asciiTheme="majorBidi" w:hAnsiTheme="majorBidi" w:cstheme="majorBidi"/>
          <w:sz w:val="25"/>
        </w:rPr>
      </w:pPr>
      <w:r w:rsidRPr="00BB11D1">
        <w:rPr>
          <w:rFonts w:asciiTheme="majorBidi" w:hAnsiTheme="majorBidi" w:cstheme="majorBidi"/>
          <w:lang w:bidi="ar-SA"/>
        </w:rPr>
        <w:lastRenderedPageBreak/>
        <w:t>.</w:t>
      </w:r>
    </w:p>
    <w:p w:rsidR="000255A4" w:rsidRPr="00BB11D1" w:rsidRDefault="00BB11D1" w:rsidP="00BB11D1">
      <w:pPr>
        <w:pStyle w:val="Heading1"/>
        <w:numPr>
          <w:ilvl w:val="0"/>
          <w:numId w:val="13"/>
        </w:numPr>
        <w:tabs>
          <w:tab w:val="left" w:pos="570"/>
        </w:tabs>
        <w:bidi/>
        <w:spacing w:line="480" w:lineRule="auto"/>
        <w:rPr>
          <w:rFonts w:asciiTheme="majorBidi" w:hAnsiTheme="majorBidi" w:cstheme="majorBidi"/>
        </w:rPr>
      </w:pPr>
      <w:r w:rsidRPr="00BB11D1">
        <w:rPr>
          <w:rFonts w:asciiTheme="majorBidi" w:hAnsiTheme="majorBidi" w:cstheme="majorBidi"/>
          <w:rtl/>
          <w:lang w:bidi="ar-SA"/>
        </w:rPr>
        <w:t xml:space="preserve">نظام المكافآت من مستويين ل </w:t>
      </w:r>
      <w:r w:rsidRPr="00BB11D1">
        <w:rPr>
          <w:rFonts w:asciiTheme="majorBidi" w:hAnsiTheme="majorBidi" w:cstheme="majorBidi"/>
        </w:rPr>
        <w:t>CBDC</w:t>
      </w:r>
    </w:p>
    <w:p w:rsidR="00BB11D1" w:rsidRPr="00BB11D1" w:rsidRDefault="00BB11D1" w:rsidP="00BB11D1">
      <w:pPr>
        <w:bidi/>
        <w:spacing w:line="480" w:lineRule="auto"/>
        <w:ind w:right="767"/>
        <w:jc w:val="both"/>
        <w:rPr>
          <w:rFonts w:asciiTheme="majorBidi" w:hAnsiTheme="majorBidi" w:cstheme="majorBidi"/>
        </w:rPr>
      </w:pPr>
      <w:r w:rsidRPr="00BB11D1">
        <w:rPr>
          <w:rFonts w:asciiTheme="majorBidi" w:hAnsiTheme="majorBidi" w:cstheme="majorBidi"/>
          <w:rtl/>
          <w:lang w:bidi="ar-SA"/>
        </w:rPr>
        <w:t xml:space="preserve">يدرك كومهوف ونوون (2018 ، 34) جيدًا إمكانية معالجة البنك المركزي لدوران بنك دبي المالي الهيكلي والدوري المحتمل من خلال تطبيق أسعار فائدة غير جذابة و / أو سلبية على </w:t>
      </w:r>
      <w:r w:rsidRPr="00BB11D1">
        <w:rPr>
          <w:rFonts w:asciiTheme="majorBidi" w:hAnsiTheme="majorBidi" w:cstheme="majorBidi"/>
        </w:rPr>
        <w:t>CBDC</w:t>
      </w:r>
      <w:r w:rsidRPr="00BB11D1">
        <w:rPr>
          <w:rFonts w:asciiTheme="majorBidi" w:hAnsiTheme="majorBidi" w:cstheme="majorBidi"/>
          <w:rtl/>
          <w:lang w:bidi="ar-SA"/>
        </w:rPr>
        <w:t>. ومع ذلك ، فإنهم يشككون في أن أداة أسعار الفائدة السلبية ستكون دائمًا فعالة بما فيه الكفاية في أوقات الأزمات:</w:t>
      </w:r>
    </w:p>
    <w:p w:rsidR="00BB11D1" w:rsidRPr="00BB11D1" w:rsidRDefault="00BB11D1" w:rsidP="00BB11D1">
      <w:pPr>
        <w:bidi/>
        <w:spacing w:line="480" w:lineRule="auto"/>
        <w:ind w:left="969" w:right="767"/>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t xml:space="preserve">"يمكن القضاء على أي زيادة طفيفة في الطلب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عن طريق انخفاض سعر الفائدة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ولكن هناك حدود محتملة إذا كان هذا يتطلب سعر فائدة سلبي للغاية ، وإذا أصبحت التخفيضات الإضافية في سعر الفائدة دون هذا المستوى صعبة من الناحية السياسية ... لنفترض إذن وجود قاعدة لسعر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حيث يحدد البنك المركزي سعر الفائدة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عند أدنى مستوى مستوى مقبول من الناحية السياسية ، وافترض أنه حتى في هذه الفئة من العقوبة ، تريد المجموعة (أ) تحويل الودائع إلى بنك دبي التجاري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بأي ثمن تقريبًا ، ربما لأنها تشعر بالقلق إزاء ملاءة البنوك ... "</w:t>
      </w:r>
    </w:p>
    <w:p w:rsidR="00BB11D1" w:rsidRPr="00BB11D1" w:rsidRDefault="00BB11D1" w:rsidP="00BB11D1">
      <w:pPr>
        <w:bidi/>
        <w:spacing w:line="480" w:lineRule="auto"/>
        <w:ind w:right="767"/>
        <w:jc w:val="both"/>
        <w:rPr>
          <w:rFonts w:asciiTheme="majorBidi" w:hAnsiTheme="majorBidi" w:cstheme="majorBidi"/>
        </w:rPr>
      </w:pPr>
      <w:r w:rsidRPr="00BB11D1">
        <w:rPr>
          <w:rFonts w:asciiTheme="majorBidi" w:hAnsiTheme="majorBidi" w:cstheme="majorBidi"/>
          <w:rtl/>
          <w:lang w:bidi="ar-SA"/>
        </w:rPr>
        <w:t xml:space="preserve">في هذا القسم ، يُقترح حل مشكلة القبول السياسي لأسعار الفائدة المنخفضة للغاية (مؤقتًا) على </w:t>
      </w:r>
      <w:r>
        <w:rPr>
          <w:rFonts w:asciiTheme="majorBidi" w:hAnsiTheme="majorBidi" w:cstheme="majorBidi"/>
          <w:lang w:bidi="ar-SA"/>
        </w:rPr>
        <w:t>CBDC</w:t>
      </w:r>
      <w:r w:rsidRPr="00BB11D1">
        <w:rPr>
          <w:rFonts w:asciiTheme="majorBidi" w:hAnsiTheme="majorBidi" w:cstheme="majorBidi"/>
          <w:rtl/>
          <w:lang w:bidi="ar-SA"/>
        </w:rPr>
        <w:t xml:space="preserve"> من خلال التمييز في الأجر وفقًا لمقدار الودائع المحتفظ بها ، أي "التناقص". يلمح بانيتا (2018 ، 29) أيضًا إلى فكرة وجود نظام متدرج لـ </w:t>
      </w:r>
      <w:r w:rsidRPr="00BB11D1">
        <w:rPr>
          <w:rFonts w:asciiTheme="majorBidi" w:hAnsiTheme="majorBidi" w:cstheme="majorBidi"/>
        </w:rPr>
        <w:t>CBDC</w:t>
      </w:r>
      <w:r w:rsidRPr="00BB11D1">
        <w:rPr>
          <w:rFonts w:asciiTheme="majorBidi" w:hAnsiTheme="majorBidi" w:cstheme="majorBidi"/>
          <w:rtl/>
          <w:lang w:bidi="ar-SA"/>
        </w:rPr>
        <w:t xml:space="preserve"> لمعالجة مشكلة البنك التي تديرها (تم وضع علامة تحت خط الإضافة) ، حيث إنه لا يذهب إلى الحد الذي يتخذه الأجر السلبي للطبقة الثانية:</w:t>
      </w:r>
    </w:p>
    <w:p w:rsidR="000255A4" w:rsidRPr="00BB11D1" w:rsidRDefault="00BB11D1" w:rsidP="00BB11D1">
      <w:pPr>
        <w:bidi/>
        <w:spacing w:line="480" w:lineRule="auto"/>
        <w:ind w:left="969" w:right="767"/>
        <w:jc w:val="both"/>
        <w:rPr>
          <w:rFonts w:asciiTheme="majorBidi" w:hAnsiTheme="majorBidi" w:cstheme="majorBidi"/>
          <w:i/>
        </w:rPr>
      </w:pPr>
      <w:r w:rsidRPr="00BB11D1">
        <w:rPr>
          <w:rFonts w:asciiTheme="majorBidi" w:hAnsiTheme="majorBidi" w:cstheme="majorBidi"/>
          <w:i/>
          <w:iCs/>
          <w:sz w:val="20"/>
          <w:szCs w:val="20"/>
          <w:rtl/>
          <w:lang w:bidi="ar-SA"/>
        </w:rPr>
        <w:t xml:space="preserve">"في الأوقات العصيبة ، يمكن للمودعين التبديل بسرعة وبدون تكلفة من حساباتهم المصرفية إلى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يمكن للبنك المركزي أن يحد من هذه المخاطر - على سبيل المثال عن طريق تحديد سقف لمبلغ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الذي يمكن لكل مستثمر فردي أن يحمله ، أو عن طريق رفع المكافأة إلى الصفر لممتلكات </w:t>
      </w:r>
      <w:r w:rsidRPr="00BB11D1">
        <w:rPr>
          <w:rFonts w:asciiTheme="majorBidi" w:hAnsiTheme="majorBidi" w:cstheme="majorBidi"/>
          <w:i/>
          <w:iCs/>
          <w:sz w:val="20"/>
          <w:szCs w:val="20"/>
        </w:rPr>
        <w:t>CBDCs</w:t>
      </w:r>
      <w:r w:rsidRPr="00BB11D1">
        <w:rPr>
          <w:rFonts w:asciiTheme="majorBidi" w:hAnsiTheme="majorBidi" w:cstheme="majorBidi"/>
          <w:i/>
          <w:iCs/>
          <w:sz w:val="20"/>
          <w:szCs w:val="20"/>
          <w:rtl/>
          <w:lang w:bidi="ar-SA"/>
        </w:rPr>
        <w:t xml:space="preserve"> فوق عتبة معينة "</w:t>
      </w:r>
      <w:r w:rsidR="009C2E3C" w:rsidRPr="00BB11D1">
        <w:rPr>
          <w:rFonts w:asciiTheme="majorBidi" w:hAnsiTheme="majorBidi" w:cstheme="majorBidi"/>
          <w:i/>
          <w:sz w:val="20"/>
          <w:szCs w:val="20"/>
        </w:rPr>
        <w:t xml:space="preserve"> </w:t>
      </w:r>
      <w:r w:rsidR="009C2E3C" w:rsidRPr="00BB11D1">
        <w:rPr>
          <w:rFonts w:asciiTheme="majorBidi" w:hAnsiTheme="majorBidi" w:cstheme="majorBidi"/>
          <w:i/>
        </w:rPr>
        <w:t>"</w:t>
      </w:r>
    </w:p>
    <w:p w:rsidR="00BB11D1" w:rsidRPr="00BB11D1" w:rsidRDefault="00BB11D1" w:rsidP="00BB11D1">
      <w:pPr>
        <w:pStyle w:val="BodyText"/>
        <w:bidi/>
        <w:spacing w:before="3" w:line="480" w:lineRule="auto"/>
        <w:jc w:val="both"/>
        <w:rPr>
          <w:rFonts w:asciiTheme="majorBidi" w:hAnsiTheme="majorBidi" w:cstheme="majorBidi"/>
          <w:i/>
          <w:sz w:val="18"/>
          <w:rtl/>
          <w:lang w:bidi="ar-SA"/>
        </w:rPr>
      </w:pPr>
      <w:r w:rsidRPr="00BB11D1">
        <w:rPr>
          <w:rFonts w:asciiTheme="majorBidi" w:hAnsiTheme="majorBidi" w:cstheme="majorBidi"/>
          <w:i/>
          <w:sz w:val="18"/>
          <w:rtl/>
          <w:lang w:bidi="ar-SA"/>
        </w:rPr>
        <w:t xml:space="preserve">في الواقع ، غالبًا ما تطبق البنوك المركزية أنظمة احتياطيات من أجل مكافأة الودائع ، وبالتحديد لغرض التحكم في المبلغ الإجمالي للودائع في الوقت الذي يتم فيه الوصول إلى مستويات معتدلة من الودائع. في ظل هذا النظام ، يتم تطبيق معدل أجور جذابة نسبيًا حتى سقف كمي ، بينما يتم تطبيق معدل فائدة أقل على المبالغ التي تتجاوز العتبة. طبق نظام </w:t>
      </w:r>
      <w:r w:rsidRPr="00BB11D1">
        <w:rPr>
          <w:rFonts w:asciiTheme="majorBidi" w:hAnsiTheme="majorBidi" w:cstheme="majorBidi"/>
          <w:i/>
          <w:sz w:val="18"/>
        </w:rPr>
        <w:t>Eurosystem</w:t>
      </w:r>
      <w:r w:rsidRPr="00BB11D1">
        <w:rPr>
          <w:rFonts w:asciiTheme="majorBidi" w:hAnsiTheme="majorBidi" w:cstheme="majorBidi"/>
          <w:i/>
          <w:sz w:val="18"/>
          <w:rtl/>
          <w:lang w:bidi="ar-SA"/>
        </w:rPr>
        <w:t xml:space="preserve"> مثل هذه الأنظمة المتداخلة في حسابات ودائع مؤسسات القطاع العام ، ولا سيما الحكومة المحلية والبنوك المركزية الأجنبية أو صناديق الثروة السيادية. فيما يتعلق بأجر الودائع الحكومية ، على سبيل المثال ، تنص المادة 5 من المبدأ التوجيهي </w:t>
      </w:r>
      <w:r w:rsidRPr="00BB11D1">
        <w:rPr>
          <w:rFonts w:asciiTheme="majorBidi" w:hAnsiTheme="majorBidi" w:cstheme="majorBidi"/>
          <w:i/>
          <w:sz w:val="18"/>
        </w:rPr>
        <w:t>DALM</w:t>
      </w:r>
      <w:r w:rsidRPr="00BB11D1">
        <w:rPr>
          <w:rFonts w:asciiTheme="majorBidi" w:hAnsiTheme="majorBidi" w:cstheme="majorBidi"/>
          <w:i/>
          <w:sz w:val="18"/>
          <w:rtl/>
          <w:lang w:bidi="ar-SA"/>
        </w:rPr>
        <w:t xml:space="preserve"> الخاص بـ </w:t>
      </w:r>
      <w:r w:rsidRPr="00BB11D1">
        <w:rPr>
          <w:rFonts w:asciiTheme="majorBidi" w:hAnsiTheme="majorBidi" w:cstheme="majorBidi"/>
          <w:i/>
          <w:sz w:val="18"/>
        </w:rPr>
        <w:t>Eurosystem</w:t>
      </w:r>
      <w:r w:rsidRPr="00BB11D1">
        <w:rPr>
          <w:rFonts w:asciiTheme="majorBidi" w:hAnsiTheme="majorBidi" w:cstheme="majorBidi"/>
          <w:i/>
          <w:sz w:val="18"/>
          <w:rtl/>
          <w:lang w:bidi="ar-SA"/>
        </w:rPr>
        <w:t xml:space="preserve"> </w:t>
      </w:r>
      <w:r>
        <w:rPr>
          <w:rStyle w:val="FootnoteReference"/>
          <w:rFonts w:asciiTheme="majorBidi" w:hAnsiTheme="majorBidi" w:cstheme="majorBidi"/>
          <w:i/>
          <w:sz w:val="18"/>
          <w:rtl/>
          <w:lang w:bidi="ar-SA"/>
        </w:rPr>
        <w:footnoteReference w:id="8"/>
      </w:r>
      <w:r w:rsidRPr="00BB11D1">
        <w:rPr>
          <w:rFonts w:asciiTheme="majorBidi" w:hAnsiTheme="majorBidi" w:cstheme="majorBidi"/>
          <w:i/>
          <w:sz w:val="18"/>
          <w:rtl/>
          <w:lang w:bidi="ar-SA"/>
        </w:rPr>
        <w:t>على تطبيق نظام من مستويين على النحو التالي:</w:t>
      </w:r>
    </w:p>
    <w:p w:rsidR="00BB11D1" w:rsidRPr="00BB11D1" w:rsidRDefault="00BB11D1" w:rsidP="00BB11D1">
      <w:pPr>
        <w:pStyle w:val="BodyText"/>
        <w:numPr>
          <w:ilvl w:val="0"/>
          <w:numId w:val="16"/>
        </w:numPr>
        <w:bidi/>
        <w:spacing w:before="3" w:line="480" w:lineRule="auto"/>
        <w:jc w:val="both"/>
        <w:rPr>
          <w:rFonts w:asciiTheme="majorBidi" w:hAnsiTheme="majorBidi" w:cstheme="majorBidi"/>
          <w:iCs/>
          <w:sz w:val="16"/>
          <w:szCs w:val="20"/>
          <w:lang w:bidi="ar-SA"/>
        </w:rPr>
      </w:pPr>
      <w:r w:rsidRPr="00BB11D1">
        <w:rPr>
          <w:rFonts w:asciiTheme="majorBidi" w:hAnsiTheme="majorBidi" w:cstheme="majorBidi"/>
          <w:iCs/>
          <w:sz w:val="16"/>
          <w:szCs w:val="20"/>
          <w:rtl/>
          <w:lang w:bidi="ar-SA"/>
        </w:rPr>
        <w:t xml:space="preserve">تخضع مكافآت الودائع الحكومية للأسقف التالية: (أ) للودائع لليلة واحدة ، سعر السوق غير المضمون بين عشية وضحاها ؛ (ب) </w:t>
      </w:r>
      <w:r w:rsidRPr="00BB11D1">
        <w:rPr>
          <w:rFonts w:asciiTheme="majorBidi" w:hAnsiTheme="majorBidi" w:cstheme="majorBidi"/>
          <w:iCs/>
          <w:sz w:val="16"/>
          <w:szCs w:val="20"/>
          <w:rtl/>
          <w:lang w:bidi="ar-SA"/>
        </w:rPr>
        <w:lastRenderedPageBreak/>
        <w:t>بالنسبة للودائع محددة المدة ، أو سعر السوق المضمون ، أو إن لم يكن ذلك متاحًا ، سعر السوق غير المضمون بين عشية وضحاها.</w:t>
      </w:r>
    </w:p>
    <w:p w:rsidR="00BB11D1" w:rsidRPr="00BB11D1" w:rsidRDefault="00BB11D1" w:rsidP="00BB11D1">
      <w:pPr>
        <w:pStyle w:val="BodyText"/>
        <w:numPr>
          <w:ilvl w:val="0"/>
          <w:numId w:val="16"/>
        </w:numPr>
        <w:bidi/>
        <w:spacing w:before="3" w:line="480" w:lineRule="auto"/>
        <w:jc w:val="both"/>
        <w:rPr>
          <w:rFonts w:asciiTheme="majorBidi" w:hAnsiTheme="majorBidi" w:cstheme="majorBidi"/>
          <w:iCs/>
          <w:sz w:val="16"/>
          <w:szCs w:val="20"/>
        </w:rPr>
      </w:pPr>
      <w:r w:rsidRPr="00BB11D1">
        <w:rPr>
          <w:rFonts w:asciiTheme="majorBidi" w:hAnsiTheme="majorBidi" w:cstheme="majorBidi"/>
          <w:iCs/>
          <w:sz w:val="16"/>
          <w:szCs w:val="20"/>
          <w:rtl/>
          <w:lang w:bidi="ar-SA"/>
        </w:rPr>
        <w:t>في أي يوم تقويمي ، المبلغ الإجمالي للودائع طوال الليل والودائع الثابتة لجميع الحكومات التي يتجاوز فيها البنك الأهلي التجاري ما يلي: (أ) 200 مليون يورو ؛ أو (ب) 0،04٪ من الناتج المحلي الإجمالي للدولة العضو التي يقع مقرها في البنك الأهلي التجاري ، يتم تعويضها بمعدل فائدة قدره صفر في المائة. إذا كان معدل تسهيلات الودائع في هذا اليوم سالبًا ، فيجب تطبيق سعر فائدة لا يزيد عن معدل تسهيلات الودائع.</w:t>
      </w:r>
    </w:p>
    <w:p w:rsidR="000255A4" w:rsidRPr="00BB11D1" w:rsidRDefault="000255A4" w:rsidP="006A2441">
      <w:pPr>
        <w:pStyle w:val="BodyText"/>
        <w:bidi/>
        <w:spacing w:before="5"/>
        <w:rPr>
          <w:rFonts w:asciiTheme="majorBidi" w:hAnsiTheme="majorBidi" w:cstheme="majorBidi"/>
          <w:i/>
          <w:sz w:val="23"/>
        </w:rPr>
      </w:pPr>
    </w:p>
    <w:p w:rsidR="00BB11D1" w:rsidRPr="00BB11D1" w:rsidRDefault="00BB11D1" w:rsidP="00BB11D1">
      <w:pPr>
        <w:pStyle w:val="BodyText"/>
        <w:bidi/>
        <w:spacing w:before="1"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 xml:space="preserve">وبالمثل ، فإن خدمات إدارة احتياطي </w:t>
      </w:r>
      <w:r>
        <w:rPr>
          <w:rFonts w:asciiTheme="majorBidi" w:hAnsiTheme="majorBidi" w:cstheme="majorBidi"/>
          <w:w w:val="95"/>
          <w:lang w:bidi="ar-SA"/>
        </w:rPr>
        <w:t xml:space="preserve"> </w:t>
      </w:r>
      <w:r>
        <w:rPr>
          <w:rFonts w:asciiTheme="majorBidi" w:hAnsiTheme="majorBidi" w:cstheme="majorBidi"/>
          <w:w w:val="95"/>
        </w:rPr>
        <w:t xml:space="preserve">Eurosystem </w:t>
      </w:r>
      <w:r w:rsidRPr="00BB11D1">
        <w:rPr>
          <w:rFonts w:asciiTheme="majorBidi" w:hAnsiTheme="majorBidi" w:cstheme="majorBidi"/>
          <w:w w:val="95"/>
          <w:rtl/>
          <w:lang w:bidi="ar-SA"/>
        </w:rPr>
        <w:t xml:space="preserve"> </w:t>
      </w:r>
      <w:r>
        <w:rPr>
          <w:rFonts w:asciiTheme="majorBidi" w:hAnsiTheme="majorBidi" w:cstheme="majorBidi"/>
          <w:w w:val="95"/>
        </w:rPr>
        <w:t>(ERMS</w:t>
      </w:r>
      <w:r>
        <w:rPr>
          <w:rStyle w:val="FootnoteReference"/>
          <w:rFonts w:asciiTheme="majorBidi" w:hAnsiTheme="majorBidi" w:cstheme="majorBidi"/>
          <w:w w:val="95"/>
        </w:rPr>
        <w:footnoteReference w:id="9"/>
      </w:r>
      <w:r>
        <w:rPr>
          <w:rFonts w:asciiTheme="majorBidi" w:hAnsiTheme="majorBidi" w:cstheme="majorBidi"/>
          <w:w w:val="95"/>
          <w:lang w:bidi="ar-SA"/>
        </w:rPr>
        <w:t>)</w:t>
      </w:r>
      <w:r w:rsidRPr="00BB11D1">
        <w:rPr>
          <w:rFonts w:asciiTheme="majorBidi" w:hAnsiTheme="majorBidi" w:cstheme="majorBidi"/>
          <w:w w:val="95"/>
          <w:rtl/>
          <w:lang w:bidi="ar-SA"/>
        </w:rPr>
        <w:t>، التي تمنح الحسابات للبنوك المركزية الأجنبية وصناديق القطاع العام ، تتوقع عادةً التمييز بين سعر أكثر جاذبية ينطبق على حد معين ، وأخرى أقل جاذبية بلا حدود. إذا كان معدل الأجر للودائع من الفئة الثانية غير جذاب بما فيه الكفاية ، فيجب أن تكون هذه الودائع منخفضة ، أو حتى صفر. يجب أن يكون البنك المركزي قادرًا أيضًا على مواجهة تدفقات الودائع الإضافية في سياق الأزمة المالية ، وذلك عن طريق تخفيض معدلات الأجور من الدرجة الثانية ، بقدر ما هو مطلوب.</w:t>
      </w:r>
    </w:p>
    <w:p w:rsidR="00BB11D1" w:rsidRPr="00BB11D1" w:rsidRDefault="00BB11D1" w:rsidP="00BB11D1">
      <w:pPr>
        <w:pStyle w:val="BodyText"/>
        <w:bidi/>
        <w:spacing w:before="1"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قد يلاحظ المرء أيضًا أن بعض البنوك المركزية (</w:t>
      </w:r>
      <w:r w:rsidRPr="00BB11D1">
        <w:rPr>
          <w:rFonts w:asciiTheme="majorBidi" w:hAnsiTheme="majorBidi" w:cstheme="majorBidi"/>
          <w:w w:val="95"/>
        </w:rPr>
        <w:t>DK</w:t>
      </w:r>
      <w:r w:rsidRPr="00BB11D1">
        <w:rPr>
          <w:rFonts w:asciiTheme="majorBidi" w:hAnsiTheme="majorBidi" w:cstheme="majorBidi"/>
          <w:w w:val="95"/>
          <w:rtl/>
          <w:lang w:bidi="ar-SA"/>
        </w:rPr>
        <w:t xml:space="preserve">، </w:t>
      </w:r>
      <w:r w:rsidRPr="00BB11D1">
        <w:rPr>
          <w:rFonts w:asciiTheme="majorBidi" w:hAnsiTheme="majorBidi" w:cstheme="majorBidi"/>
          <w:w w:val="95"/>
        </w:rPr>
        <w:t>SE</w:t>
      </w:r>
      <w:r w:rsidRPr="00BB11D1">
        <w:rPr>
          <w:rFonts w:asciiTheme="majorBidi" w:hAnsiTheme="majorBidi" w:cstheme="majorBidi"/>
          <w:w w:val="95"/>
          <w:rtl/>
          <w:lang w:bidi="ar-SA"/>
        </w:rPr>
        <w:t xml:space="preserve">، </w:t>
      </w:r>
      <w:r w:rsidRPr="00BB11D1">
        <w:rPr>
          <w:rFonts w:asciiTheme="majorBidi" w:hAnsiTheme="majorBidi" w:cstheme="majorBidi"/>
          <w:w w:val="95"/>
        </w:rPr>
        <w:t>CH</w:t>
      </w:r>
      <w:r w:rsidRPr="00BB11D1">
        <w:rPr>
          <w:rFonts w:asciiTheme="majorBidi" w:hAnsiTheme="majorBidi" w:cstheme="majorBidi"/>
          <w:w w:val="95"/>
          <w:rtl/>
          <w:lang w:bidi="ar-SA"/>
        </w:rPr>
        <w:t xml:space="preserve">، </w:t>
      </w:r>
      <w:r w:rsidRPr="00BB11D1">
        <w:rPr>
          <w:rFonts w:asciiTheme="majorBidi" w:hAnsiTheme="majorBidi" w:cstheme="majorBidi"/>
          <w:w w:val="95"/>
        </w:rPr>
        <w:t>JP</w:t>
      </w:r>
      <w:r w:rsidRPr="00BB11D1">
        <w:rPr>
          <w:rFonts w:asciiTheme="majorBidi" w:hAnsiTheme="majorBidi" w:cstheme="majorBidi"/>
          <w:w w:val="95"/>
          <w:rtl/>
          <w:lang w:bidi="ar-SA"/>
        </w:rPr>
        <w:t>) قد اكتسبت خبرة على مدار السنوات الماضية مع مكافأة متباينة للودائع المصرفية لدى البنك المركزي. على سبيل المثال ، قدم بنك اليابان في 29 يناير 2016 نظامًا من ثلاثة مستويات (بيان صحفي لبنك اليابان مؤرخًا 29 يناير 2016) بعد وجود نهج من مستويين في البنوك المركزية الأخرى:</w:t>
      </w:r>
    </w:p>
    <w:p w:rsidR="000255A4" w:rsidRPr="00BB11D1" w:rsidRDefault="00BB11D1" w:rsidP="00BB11D1">
      <w:pPr>
        <w:pStyle w:val="BodyText"/>
        <w:bidi/>
        <w:spacing w:before="1" w:line="480" w:lineRule="auto"/>
        <w:jc w:val="both"/>
        <w:rPr>
          <w:rFonts w:asciiTheme="majorBidi" w:hAnsiTheme="majorBidi" w:cstheme="majorBidi"/>
          <w:i/>
          <w:iCs/>
          <w:w w:val="95"/>
          <w:sz w:val="20"/>
          <w:szCs w:val="20"/>
          <w:rtl/>
          <w:lang w:bidi="ar-SA"/>
        </w:rPr>
      </w:pPr>
      <w:r w:rsidRPr="00BB11D1">
        <w:rPr>
          <w:rFonts w:asciiTheme="majorBidi" w:hAnsiTheme="majorBidi" w:cstheme="majorBidi"/>
          <w:i/>
          <w:iCs/>
          <w:w w:val="95"/>
          <w:sz w:val="20"/>
          <w:szCs w:val="20"/>
          <w:rtl/>
          <w:lang w:bidi="ar-SA"/>
        </w:rPr>
        <w:t>"سيقدم البنك نظامًا متعدد المستويات وضعته بعض البنوك المركزية في أوروبا (مثل البنك الوطني السويسري). على وجه التحديد ، سوف تتبنى نظامًا ثلاثي المستويات يتم فيه تقسيم الرصيد المستحق للحساب الجاري لكل مؤسسة مالية في البنك إلى ثلاث مستويات ، لكل منها معدل فائدة إيجابي أو معدل فائدة صفري أو معدل فائدة سلبي سيتم تطبيقها ، على التوالي. "</w:t>
      </w:r>
    </w:p>
    <w:p w:rsidR="00BB11D1" w:rsidRPr="00BB11D1" w:rsidRDefault="00BB11D1" w:rsidP="00BB11D1">
      <w:pPr>
        <w:pStyle w:val="BodyText"/>
        <w:bidi/>
        <w:spacing w:before="1" w:line="480" w:lineRule="auto"/>
        <w:jc w:val="both"/>
        <w:rPr>
          <w:rFonts w:asciiTheme="majorBidi" w:hAnsiTheme="majorBidi" w:cstheme="majorBidi"/>
          <w:sz w:val="24"/>
          <w:lang w:bidi="ar-LB"/>
        </w:rPr>
      </w:pPr>
      <w:r w:rsidRPr="00BB11D1">
        <w:rPr>
          <w:rFonts w:asciiTheme="majorBidi" w:hAnsiTheme="majorBidi" w:cstheme="majorBidi"/>
          <w:sz w:val="24"/>
          <w:rtl/>
          <w:lang w:bidi="ar-LB"/>
        </w:rPr>
        <w:t>يحسب بنك اليابان حجم الطبقات الأفضل أجورًا لكل بنك بشكل أساسي بما يتناسب مع احتياطيات البنك المطلوبة ، والتي يتم حسابها بنفسها بالتناسب مع التزامات البنك قصيرة الأجل تجاه غير البنوك. حتى قبل ذلك ، تم تطبيق مكافأة متباينة من قبل العديد من البنوك المركزية على الاحتياطيات المطلوبة وغير المطلوبة للبنوك لدى البنك المركزي. على سبيل المثال ، في حالة النظام الأوروبي ، منذ إطلاق اليورو في عام 1999 ، تم تعويض المكافآت الاحتياطية المطلوبة بمعدل عمليات إعادة التمويل الرئيسية ، في حين تم تعويض الاحتياطيات الفائضة عند صفر (بالإضافة إلى ذلك ، تم تقديم تسهيلات إيداع يتم توفير المكافآت عادة بمعدل 100 نقطة أساس أقل من معدل عملية إعادة التمويل الرئيسية).</w:t>
      </w:r>
    </w:p>
    <w:p w:rsidR="00BB11D1" w:rsidRPr="00BB11D1" w:rsidRDefault="00BB11D1" w:rsidP="00BB11D1">
      <w:pPr>
        <w:pStyle w:val="BodyText"/>
        <w:bidi/>
        <w:spacing w:before="1" w:line="480" w:lineRule="auto"/>
        <w:jc w:val="both"/>
        <w:rPr>
          <w:rFonts w:asciiTheme="majorBidi" w:hAnsiTheme="majorBidi" w:cstheme="majorBidi"/>
          <w:sz w:val="24"/>
          <w:rtl/>
          <w:lang w:bidi="ar-LB"/>
        </w:rPr>
      </w:pPr>
      <w:r w:rsidRPr="00BB11D1">
        <w:rPr>
          <w:rFonts w:asciiTheme="majorBidi" w:hAnsiTheme="majorBidi" w:cstheme="majorBidi"/>
          <w:sz w:val="24"/>
          <w:rtl/>
          <w:lang w:bidi="ar-LB"/>
        </w:rPr>
        <w:t xml:space="preserve">باختصار: تتمتع البنوك المركزية بخبرة كبيرة في أنظمة المكافآت المتدرجة. يمكن تطبيقها بسهولة على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المستندة إلى الودائع ويمكن أن تتصدى لقضايا عدم التسوية البنكية المتعلقة بالأزمة المالية والهيكلية دون تعريض الأسر التي تستخدم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لأغراض الدفع للقمع النهائي (المتصور). بالطبع ، يمكن أيضًا معالجة زيادة هيكلية أو انتقالية لا مبرر لها في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على حساب البنوك من خلال نظام من مستوى واحد يكون فيه معدل الفائدة المطبق على ودائع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بأكملها منخفضًا بما فيه الكفاية (أو يتم تخفيضه مؤقتًا). ومع ذلك ، يبدو أن نظامًا ذا مستويين يتميز بمزايا هامة:</w:t>
      </w:r>
    </w:p>
    <w:p w:rsidR="000255A4" w:rsidRPr="00BB11D1" w:rsidRDefault="00BB11D1" w:rsidP="006A2441">
      <w:pPr>
        <w:pStyle w:val="BodyText"/>
        <w:numPr>
          <w:ilvl w:val="0"/>
          <w:numId w:val="14"/>
        </w:numPr>
        <w:bidi/>
        <w:spacing w:before="6" w:line="480" w:lineRule="auto"/>
        <w:jc w:val="both"/>
        <w:rPr>
          <w:rFonts w:asciiTheme="majorBidi" w:hAnsiTheme="majorBidi" w:cstheme="majorBidi"/>
        </w:rPr>
      </w:pPr>
      <w:r w:rsidRPr="00BB11D1">
        <w:rPr>
          <w:rFonts w:asciiTheme="majorBidi" w:hAnsiTheme="majorBidi" w:cstheme="majorBidi"/>
          <w:sz w:val="24"/>
          <w:rtl/>
          <w:lang w:bidi="ar-LB"/>
        </w:rPr>
        <w:lastRenderedPageBreak/>
        <w:t xml:space="preserve"> يسمح بتعيين وظيفة دفع الأموال إلى فئة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واحدة ، بينما سيتم تعيين وظيفة تخزين القيمة إلى الفئة الثانية ، وسيتم إلغاء تحفيزها بشكل أساسي من خلال معدل أجر غير جذاب. في الواقع ، لا ينبغي أن تصبح أموال البنك المركزي مخزنًا واسع النطاق للقيمة ، أي شكل رئيسي من أشكال استثمار الأسر ، لأن هذا يعني في النهاية أن البنك المركزي سيصبح وسيطًا استثماريًا للاقتصاد (والذي ليس لديه مؤهلات خاصة به) ).</w:t>
      </w:r>
      <w:r w:rsidR="008D1AEB">
        <w:rPr>
          <w:rFonts w:asciiTheme="majorBidi" w:hAnsiTheme="majorBidi" w:cstheme="majorBidi"/>
        </w:rPr>
        <w:pict>
          <v:rect id="_x0000_s1027" style="position:absolute;left:0;text-align:left;margin-left:62.5pt;margin-top:19pt;width:2in;height:.6pt;z-index:-15724032;mso-wrap-distance-left:0;mso-wrap-distance-right:0;mso-position-horizontal-relative:page;mso-position-vertical-relative:text" fillcolor="black" stroked="f">
            <w10:wrap type="topAndBottom" anchorx="page"/>
          </v:rect>
        </w:pict>
      </w:r>
      <w:r w:rsidRPr="00BB11D1">
        <w:rPr>
          <w:rFonts w:asciiTheme="majorBidi" w:hAnsiTheme="majorBidi" w:cstheme="majorBidi"/>
          <w:sz w:val="24"/>
          <w:lang w:bidi="ar-LB"/>
        </w:rPr>
        <w:t xml:space="preserve">           </w:t>
      </w:r>
    </w:p>
    <w:p w:rsidR="00BB11D1" w:rsidRP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يضمن أن </w:t>
      </w:r>
      <w:r>
        <w:rPr>
          <w:rFonts w:asciiTheme="majorBidi" w:hAnsiTheme="majorBidi" w:cstheme="majorBidi"/>
          <w:w w:val="95"/>
          <w:lang w:bidi="ar-SA"/>
        </w:rPr>
        <w:t>CBDC</w:t>
      </w:r>
      <w:r w:rsidRPr="00BB11D1">
        <w:rPr>
          <w:rFonts w:asciiTheme="majorBidi" w:hAnsiTheme="majorBidi" w:cstheme="majorBidi"/>
          <w:w w:val="95"/>
          <w:rtl/>
          <w:lang w:bidi="ar-SA"/>
        </w:rPr>
        <w:t xml:space="preserve"> جذابة من حيث المبدأ بالنسبة لجميع الأسر ، حيث إن الاعتماد على الفئة الأولى من </w:t>
      </w:r>
      <w:r>
        <w:rPr>
          <w:rFonts w:asciiTheme="majorBidi" w:hAnsiTheme="majorBidi" w:cstheme="majorBidi"/>
          <w:w w:val="95"/>
          <w:lang w:bidi="ar-SA"/>
        </w:rPr>
        <w:t>CBDC</w:t>
      </w:r>
      <w:r w:rsidRPr="00BB11D1">
        <w:rPr>
          <w:rFonts w:asciiTheme="majorBidi" w:hAnsiTheme="majorBidi" w:cstheme="majorBidi"/>
          <w:w w:val="95"/>
          <w:rtl/>
          <w:lang w:bidi="ar-SA"/>
        </w:rPr>
        <w:t xml:space="preserve"> لا يحتاج أبدًا إلى تحفيزه بسبب انخفاض معدل الأجور بشكل خاص.</w:t>
      </w:r>
    </w:p>
    <w:p w:rsidR="00BB11D1" w:rsidRP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 يسمح نظام ثنائي المستوى بتوجيه أفضل لمقدار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 مما يوفر ثقة إضافية في سهولة إدارة </w:t>
      </w:r>
      <w:r w:rsidRPr="00BB11D1">
        <w:rPr>
          <w:rFonts w:asciiTheme="majorBidi" w:hAnsiTheme="majorBidi" w:cstheme="majorBidi"/>
          <w:w w:val="95"/>
          <w:lang w:bidi="ar-SA"/>
        </w:rPr>
        <w:t>CBDC</w:t>
      </w:r>
      <w:r w:rsidRPr="00BB11D1">
        <w:rPr>
          <w:rFonts w:asciiTheme="majorBidi" w:hAnsiTheme="majorBidi" w:cstheme="majorBidi"/>
          <w:w w:val="95"/>
          <w:rtl/>
          <w:lang w:bidi="ar-SA"/>
        </w:rPr>
        <w:t>.</w:t>
      </w:r>
    </w:p>
    <w:p w:rsidR="00BB11D1" w:rsidRP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كما ذكر أعلاه ، فإنه يتجنب أنه في حالة الأزمة ، يحتاج المرء إلى دفع تعويضات جميع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إلى المنطقة السلبية. وبالتالي ، يقلل التدرج بشكل حاسم من نطاق النقد الشعبي للبنك المركزي (على سبيل المثال ، القمع المالي ، ومصادرة مالكي الأموال ، وما إلى ذلك). سيحتاج البنك المركزي إلى التواصل بوضوح في مرحلة مبكرة بأن مكافأة الفئة الثانية من </w:t>
      </w:r>
      <w:r>
        <w:rPr>
          <w:rFonts w:asciiTheme="majorBidi" w:hAnsiTheme="majorBidi" w:cstheme="majorBidi"/>
          <w:w w:val="95"/>
          <w:lang w:bidi="ar-SA"/>
        </w:rPr>
        <w:t>CBDC</w:t>
      </w:r>
      <w:r w:rsidRPr="00BB11D1">
        <w:rPr>
          <w:rFonts w:asciiTheme="majorBidi" w:hAnsiTheme="majorBidi" w:cstheme="majorBidi"/>
          <w:w w:val="95"/>
          <w:rtl/>
          <w:lang w:bidi="ar-SA"/>
        </w:rPr>
        <w:t xml:space="preserve"> لا تهدف إلى أن تكون جذابة ، وقد تكون غير جذابة بشكل خاص في أي أزمة ، حسب الحاجة. بالنسبة للطبقة الأولى من </w:t>
      </w:r>
      <w:r>
        <w:rPr>
          <w:rFonts w:asciiTheme="majorBidi" w:hAnsiTheme="majorBidi" w:cstheme="majorBidi"/>
          <w:w w:val="95"/>
          <w:lang w:bidi="ar-SA"/>
        </w:rPr>
        <w:t>CBDC</w:t>
      </w:r>
      <w:r w:rsidRPr="00BB11D1">
        <w:rPr>
          <w:rFonts w:asciiTheme="majorBidi" w:hAnsiTheme="majorBidi" w:cstheme="majorBidi"/>
          <w:w w:val="95"/>
          <w:rtl/>
          <w:lang w:bidi="ar-SA"/>
        </w:rPr>
        <w:t xml:space="preserve"> ، يمكن للبنك المركزي الالتزام بعدم فرض أسعار سلبية أبدًا.</w:t>
      </w:r>
    </w:p>
    <w:p w:rsid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في حالة الرغبة في الجمع بينه وبين إلغاء الأوراق النقدية ، فإنه يسمح للتغلب على </w:t>
      </w:r>
      <w:r w:rsidRPr="00BB11D1">
        <w:rPr>
          <w:rFonts w:asciiTheme="majorBidi" w:hAnsiTheme="majorBidi" w:cstheme="majorBidi"/>
          <w:w w:val="95"/>
          <w:lang w:bidi="ar-SA"/>
        </w:rPr>
        <w:t>ZLB</w:t>
      </w:r>
      <w:r w:rsidRPr="00BB11D1">
        <w:rPr>
          <w:rFonts w:asciiTheme="majorBidi" w:hAnsiTheme="majorBidi" w:cstheme="majorBidi"/>
          <w:w w:val="95"/>
          <w:rtl/>
          <w:lang w:bidi="ar-SA"/>
        </w:rPr>
        <w:t xml:space="preserve"> لأسباب تتعلق بالسياسة النقدية عند الحاجة ، دون الإيحاء بأن الأجر من الدرجة الأولى يحتاج إلى الانخفاض إلى ما دون الصفر ، والذي يبدو عادلاً للأفراد ذوي الثروات المنخفضة ونحو وظيفة دفع أموال البنك المركزي بشكل عام.</w:t>
      </w:r>
    </w:p>
    <w:p w:rsidR="00BB11D1" w:rsidRDefault="00BB11D1" w:rsidP="00BB11D1">
      <w:pPr>
        <w:pStyle w:val="BodyText"/>
        <w:bidi/>
        <w:spacing w:before="4" w:line="480" w:lineRule="auto"/>
        <w:jc w:val="both"/>
        <w:rPr>
          <w:rFonts w:asciiTheme="majorBidi" w:hAnsiTheme="majorBidi" w:cstheme="majorBidi"/>
          <w:w w:val="95"/>
          <w:lang w:bidi="ar-SA"/>
        </w:rPr>
      </w:pPr>
      <w:r w:rsidRPr="00BB11D1">
        <w:rPr>
          <w:rFonts w:asciiTheme="majorBidi" w:hAnsiTheme="majorBidi" w:cstheme="majorBidi"/>
          <w:rtl/>
          <w:lang w:bidi="ar-SA"/>
        </w:rPr>
        <w:t xml:space="preserve">يمكن للبنك المركزي أيضًا تقديم التزام فيما يتعلق بكمية </w:t>
      </w:r>
      <w:r w:rsidRPr="00BB11D1">
        <w:rPr>
          <w:rFonts w:asciiTheme="majorBidi" w:hAnsiTheme="majorBidi" w:cstheme="majorBidi"/>
        </w:rPr>
        <w:t>CBDC</w:t>
      </w:r>
      <w:r w:rsidRPr="00BB11D1">
        <w:rPr>
          <w:rFonts w:asciiTheme="majorBidi" w:hAnsiTheme="majorBidi" w:cstheme="majorBidi"/>
          <w:rtl/>
          <w:lang w:bidi="ar-SA"/>
        </w:rPr>
        <w:t xml:space="preserve"> من الفئة الأولى. على سبيل المثال ، يمكن أن يعد دائمًا بتوفير حصة واحدة لكل فرد على سبيل المثال 3000 يورو ، مما يعني ضمناً مبلغ إجمالي </w:t>
      </w:r>
      <w:r w:rsidRPr="00BB11D1">
        <w:rPr>
          <w:rFonts w:asciiTheme="majorBidi" w:hAnsiTheme="majorBidi" w:cstheme="majorBidi"/>
        </w:rPr>
        <w:t>CBDC</w:t>
      </w:r>
      <w:r w:rsidRPr="00BB11D1">
        <w:rPr>
          <w:rFonts w:asciiTheme="majorBidi" w:hAnsiTheme="majorBidi" w:cstheme="majorBidi"/>
          <w:rtl/>
          <w:lang w:bidi="ar-SA"/>
        </w:rPr>
        <w:t xml:space="preserve"> من الفئة الأولى للعائلات التي تبلغ حوالي تريليون يورو (على افتراض أن عدد سكان منطقة اليورو المؤهلين هو 340 مليون ؛ يمكن تعيين بدلات القصر إما على الصفر أو يمكن تخصيصها لحساب </w:t>
      </w:r>
      <w:r w:rsidRPr="00BB11D1">
        <w:rPr>
          <w:rFonts w:asciiTheme="majorBidi" w:hAnsiTheme="majorBidi" w:cstheme="majorBidi"/>
        </w:rPr>
        <w:t>CBDC</w:t>
      </w:r>
      <w:r w:rsidRPr="00BB11D1">
        <w:rPr>
          <w:rFonts w:asciiTheme="majorBidi" w:hAnsiTheme="majorBidi" w:cstheme="majorBidi"/>
          <w:rtl/>
          <w:lang w:bidi="ar-SA"/>
        </w:rPr>
        <w:t xml:space="preserve"> للوالدين) . للتذكير: الأوراق النقدية المتداولة في منطقة اليورو تزيد إلى حد ما عن 3000 يورو للفرد (يصل إجماليها حاليًا إلى حوالي 1.2 تريليون يورو)؛ تبلغ حيازات الأوراق المالية في النظام الأوروبي (بما في ذلك محافظ الاستثمار والسياسة) حوالي 3 تريليونات يورو ؛ والنظام المصرفي لديه احتياطيات فائضة تقترب من 2 تريليون يورو. كل شيء آخر لم يتغير ، وبالتالي لن تكون هناك حاجة لعمليات ائتمانية واسعة النطاق مع البنوك إذا تم إصدار </w:t>
      </w:r>
      <w:r w:rsidRPr="00BB11D1">
        <w:rPr>
          <w:rFonts w:asciiTheme="majorBidi" w:hAnsiTheme="majorBidi" w:cstheme="majorBidi"/>
        </w:rPr>
        <w:t>CBDC</w:t>
      </w:r>
      <w:r w:rsidRPr="00BB11D1">
        <w:rPr>
          <w:rFonts w:asciiTheme="majorBidi" w:hAnsiTheme="majorBidi" w:cstheme="majorBidi"/>
          <w:rtl/>
          <w:lang w:bidi="ar-SA"/>
        </w:rPr>
        <w:t xml:space="preserve"> بقيمة إجمالية قدرها 1 تريليون يورو الآن. علاوة على ذلك ، يمكن للبنك المركزي الالتزام بزيادة حصة </w:t>
      </w:r>
      <w:r w:rsidRPr="00BB11D1">
        <w:rPr>
          <w:rFonts w:asciiTheme="majorBidi" w:hAnsiTheme="majorBidi" w:cstheme="majorBidi"/>
        </w:rPr>
        <w:t>CBDC</w:t>
      </w:r>
      <w:r w:rsidRPr="00BB11D1">
        <w:rPr>
          <w:rFonts w:asciiTheme="majorBidi" w:hAnsiTheme="majorBidi" w:cstheme="majorBidi"/>
          <w:rtl/>
          <w:lang w:bidi="ar-SA"/>
        </w:rPr>
        <w:t xml:space="preserve"> من المستوى الأول عندما تنخفض كمية الأوراق النقدية المتداولة. يمكن تفسير مبلغ 3000 يورو للصف الأول من </w:t>
      </w:r>
      <w:r w:rsidRPr="00BB11D1">
        <w:rPr>
          <w:rFonts w:asciiTheme="majorBidi" w:hAnsiTheme="majorBidi" w:cstheme="majorBidi"/>
          <w:lang w:bidi="ar-SA"/>
        </w:rPr>
        <w:t>CBDC</w:t>
      </w:r>
      <w:r w:rsidRPr="00BB11D1">
        <w:rPr>
          <w:rFonts w:asciiTheme="majorBidi" w:hAnsiTheme="majorBidi" w:cstheme="majorBidi"/>
          <w:rtl/>
          <w:lang w:bidi="ar-SA"/>
        </w:rPr>
        <w:t xml:space="preserve"> على أنه يغطي متوسط ​​الدخل الشهري الصافي لأسر منطقة اليورو ، بحيث تتم تغطية وظيفة الدفع العادية للنقود. ليس بالضرورة أن تكون البدلات المقدمة من الفئة الأولى من </w:t>
      </w:r>
      <w:r w:rsidRPr="00BB11D1">
        <w:rPr>
          <w:rFonts w:asciiTheme="majorBidi" w:hAnsiTheme="majorBidi" w:cstheme="majorBidi"/>
          <w:lang w:bidi="ar-SA"/>
        </w:rPr>
        <w:t>CBDC</w:t>
      </w:r>
      <w:r w:rsidRPr="00BB11D1">
        <w:rPr>
          <w:rFonts w:asciiTheme="majorBidi" w:hAnsiTheme="majorBidi" w:cstheme="majorBidi"/>
          <w:rtl/>
          <w:lang w:bidi="ar-SA"/>
        </w:rPr>
        <w:t xml:space="preserve"> للشركات عالية ، حيث يمكن القول أن الهدف الرئيسي من الاتفاقية هو خدمة المواطنين. عند تقدير الكيفية التي سيتم بها تحويل بدلات </w:t>
      </w:r>
      <w:r w:rsidRPr="00BB11D1">
        <w:rPr>
          <w:rFonts w:asciiTheme="majorBidi" w:hAnsiTheme="majorBidi" w:cstheme="majorBidi"/>
        </w:rPr>
        <w:t>CBDC</w:t>
      </w:r>
      <w:r w:rsidRPr="00BB11D1">
        <w:rPr>
          <w:rFonts w:asciiTheme="majorBidi" w:hAnsiTheme="majorBidi" w:cstheme="majorBidi"/>
          <w:rtl/>
          <w:lang w:bidi="ar-SA"/>
        </w:rPr>
        <w:t xml:space="preserve"> ذات المستوى الواحد إلى إجمالي أحجام </w:t>
      </w:r>
      <w:r w:rsidRPr="00BB11D1">
        <w:rPr>
          <w:rFonts w:asciiTheme="majorBidi" w:hAnsiTheme="majorBidi" w:cstheme="majorBidi"/>
        </w:rPr>
        <w:t>CBDC</w:t>
      </w:r>
      <w:r w:rsidRPr="00BB11D1">
        <w:rPr>
          <w:rFonts w:asciiTheme="majorBidi" w:hAnsiTheme="majorBidi" w:cstheme="majorBidi"/>
          <w:rtl/>
          <w:lang w:bidi="ar-SA"/>
        </w:rPr>
        <w:t xml:space="preserve"> ، ينبغي أن يؤخذ في الاعتبار من جانب واحد أنه لن يتم فتح </w:t>
      </w:r>
      <w:r w:rsidRPr="00BB11D1">
        <w:rPr>
          <w:rFonts w:asciiTheme="majorBidi" w:hAnsiTheme="majorBidi" w:cstheme="majorBidi"/>
          <w:rtl/>
          <w:lang w:bidi="ar-SA"/>
        </w:rPr>
        <w:lastRenderedPageBreak/>
        <w:t xml:space="preserve">جميع حسابات </w:t>
      </w:r>
      <w:r w:rsidRPr="00BB11D1">
        <w:rPr>
          <w:rFonts w:asciiTheme="majorBidi" w:hAnsiTheme="majorBidi" w:cstheme="majorBidi"/>
        </w:rPr>
        <w:t>CBDC</w:t>
      </w:r>
      <w:r w:rsidRPr="00BB11D1">
        <w:rPr>
          <w:rFonts w:asciiTheme="majorBidi" w:hAnsiTheme="majorBidi" w:cstheme="majorBidi"/>
          <w:rtl/>
          <w:lang w:bidi="ar-SA"/>
        </w:rPr>
        <w:t xml:space="preserve"> بسرعة ، وربما لن تفتح بعض الأسر حسابًا على الإطلاق ، أو لن تحتفظ بكامل حجمها. الطبقة بدل واحد على الحساب. على الجانب الآخر ، ستكون بعض الأسر على استعداد لعقد علايتين.</w:t>
      </w:r>
    </w:p>
    <w:p w:rsidR="000255A4" w:rsidRPr="00BB11D1" w:rsidRDefault="00BB11D1" w:rsidP="00BB11D1">
      <w:pPr>
        <w:pStyle w:val="BodyText"/>
        <w:bidi/>
        <w:spacing w:before="4" w:line="480" w:lineRule="auto"/>
        <w:jc w:val="both"/>
        <w:rPr>
          <w:rFonts w:asciiTheme="majorBidi" w:hAnsiTheme="majorBidi" w:cstheme="majorBidi"/>
          <w:w w:val="95"/>
          <w:lang w:bidi="ar-SA"/>
        </w:rPr>
      </w:pPr>
      <w:r w:rsidRPr="00BB11D1">
        <w:rPr>
          <w:rFonts w:asciiTheme="majorBidi" w:hAnsiTheme="majorBidi" w:cstheme="majorBidi"/>
          <w:rtl/>
          <w:lang w:bidi="ar-SA"/>
        </w:rPr>
        <w:t xml:space="preserve">بالنسبة للشركات (المالية غير المصرفية وغير المالية) ، يمكن تعيين بدل المستوى 1 على الصفر ، أو بدلاً من ذلك يمكن حسابه على أنه يتناسب مع بعض قياس حجمها وبالتالي احتياجات الدفع المفترضة. البساطة والتحكم في المهام سيكون من الضروري. يجب أن يكون للأجانب ، إذا سمح لهم بفتح حسابات ، سقف واحد من الصفر. أخيرًا ، يمكن تكامل إطار </w:t>
      </w:r>
      <w:r w:rsidRPr="00BB11D1">
        <w:rPr>
          <w:rFonts w:asciiTheme="majorBidi" w:hAnsiTheme="majorBidi" w:cstheme="majorBidi"/>
        </w:rPr>
        <w:t>CBDC</w:t>
      </w:r>
      <w:r w:rsidRPr="00BB11D1">
        <w:rPr>
          <w:rFonts w:asciiTheme="majorBidi" w:hAnsiTheme="majorBidi" w:cstheme="majorBidi"/>
          <w:rtl/>
          <w:lang w:bidi="ar-SA"/>
        </w:rPr>
        <w:t xml:space="preserve"> القائم على الإيداع من خلال اتفاقية </w:t>
      </w:r>
      <w:r w:rsidRPr="00BB11D1">
        <w:rPr>
          <w:rFonts w:asciiTheme="majorBidi" w:hAnsiTheme="majorBidi" w:cstheme="majorBidi"/>
        </w:rPr>
        <w:t>CBDC</w:t>
      </w:r>
      <w:r w:rsidRPr="00BB11D1">
        <w:rPr>
          <w:rFonts w:asciiTheme="majorBidi" w:hAnsiTheme="majorBidi" w:cstheme="majorBidi"/>
          <w:rtl/>
          <w:lang w:bidi="ar-SA"/>
        </w:rPr>
        <w:t xml:space="preserve"> مجهولة المصدر. إذا كان الأمر كذلك ، فسيتم تعويض المكافأة التي تستند إلى الرمز المجهول في نفس المستوى مثل الفئة الثانية من </w:t>
      </w:r>
      <w:r>
        <w:rPr>
          <w:rFonts w:asciiTheme="majorBidi" w:hAnsiTheme="majorBidi" w:cstheme="majorBidi"/>
          <w:lang w:bidi="ar-SA"/>
        </w:rPr>
        <w:t>CBDC</w:t>
      </w:r>
      <w:r w:rsidRPr="00BB11D1">
        <w:rPr>
          <w:rFonts w:asciiTheme="majorBidi" w:hAnsiTheme="majorBidi" w:cstheme="majorBidi"/>
          <w:rtl/>
          <w:lang w:bidi="ar-SA"/>
        </w:rPr>
        <w:t xml:space="preserve"> المستندة إلى الحساب. قد تكون الحلول البسيطة (مثل بطاقة القيمة المخزنة مثل بطاقة </w:t>
      </w:r>
      <w:r w:rsidRPr="00BB11D1">
        <w:rPr>
          <w:rFonts w:asciiTheme="majorBidi" w:hAnsiTheme="majorBidi" w:cstheme="majorBidi"/>
        </w:rPr>
        <w:t>London Oyster</w:t>
      </w:r>
      <w:r w:rsidRPr="00BB11D1">
        <w:rPr>
          <w:rFonts w:asciiTheme="majorBidi" w:hAnsiTheme="majorBidi" w:cstheme="majorBidi"/>
          <w:rtl/>
          <w:lang w:bidi="ar-SA"/>
        </w:rPr>
        <w:t xml:space="preserve">) كافية على سبيل المثال للسماح للسياح باستخدام </w:t>
      </w:r>
      <w:r w:rsidRPr="00BB11D1">
        <w:rPr>
          <w:rFonts w:asciiTheme="majorBidi" w:hAnsiTheme="majorBidi" w:cstheme="majorBidi"/>
        </w:rPr>
        <w:t>CBDC</w:t>
      </w:r>
      <w:r w:rsidRPr="00BB11D1">
        <w:rPr>
          <w:rFonts w:asciiTheme="majorBidi" w:hAnsiTheme="majorBidi" w:cstheme="majorBidi"/>
          <w:rtl/>
          <w:lang w:bidi="ar-SA"/>
        </w:rPr>
        <w:t xml:space="preserve"> دون الحاجة إلى حساب. مرة أخرى ، يجب أن تخضع هذه البطاقات لمعدل الأجر من الدرجة الثانية</w:t>
      </w:r>
      <w:r w:rsidR="009C2E3C" w:rsidRPr="00BB11D1">
        <w:rPr>
          <w:rFonts w:asciiTheme="majorBidi" w:hAnsiTheme="majorBidi" w:cstheme="majorBidi"/>
        </w:rPr>
        <w:t>.</w:t>
      </w:r>
    </w:p>
    <w:p w:rsidR="00BB11D1" w:rsidRPr="00BB11D1" w:rsidRDefault="00BB11D1" w:rsidP="00BB11D1">
      <w:pPr>
        <w:pStyle w:val="BodyText"/>
        <w:bidi/>
        <w:spacing w:before="1" w:line="480" w:lineRule="auto"/>
        <w:jc w:val="both"/>
        <w:rPr>
          <w:rFonts w:asciiTheme="majorBidi" w:hAnsiTheme="majorBidi" w:cstheme="majorBidi"/>
          <w:position w:val="2"/>
        </w:rPr>
      </w:pPr>
      <w:r w:rsidRPr="00BB11D1">
        <w:rPr>
          <w:rFonts w:asciiTheme="majorBidi" w:hAnsiTheme="majorBidi" w:cstheme="majorBidi"/>
          <w:position w:val="2"/>
          <w:rtl/>
          <w:lang w:bidi="ar-SA"/>
        </w:rPr>
        <w:t xml:space="preserve">يمكن تحديد معدل المكافآت من المستوى الأول </w:t>
      </w:r>
      <w:r w:rsidRPr="00BB11D1">
        <w:rPr>
          <w:rFonts w:asciiTheme="majorBidi" w:hAnsiTheme="majorBidi" w:cstheme="majorBidi"/>
          <w:position w:val="2"/>
        </w:rPr>
        <w:t>r1</w:t>
      </w:r>
      <w:r w:rsidRPr="00BB11D1">
        <w:rPr>
          <w:rFonts w:asciiTheme="majorBidi" w:hAnsiTheme="majorBidi" w:cstheme="majorBidi"/>
          <w:position w:val="2"/>
          <w:rtl/>
          <w:lang w:bidi="ar-SA"/>
        </w:rPr>
        <w:t xml:space="preserve"> من حيث المبدأ على مستوى جذاب نسبيًا ، بما يصل إلى معدل المكافآت من احتياطيات البنوك الزائدة ، وسيتم تحديد بالإضافة إلى ذلك أنه لن ينخفض ​​أبدًا عن الصفر. سيتم تحديد معدل الأجر من المستوى 2 بحيث تكون ودائع الفئة 2 غير جذابة إلى حد ما</w:t>
      </w:r>
    </w:p>
    <w:p w:rsidR="00BB11D1" w:rsidRPr="00BB11D1" w:rsidRDefault="00BB11D1" w:rsidP="00BB11D1">
      <w:pPr>
        <w:pStyle w:val="BodyText"/>
        <w:bidi/>
        <w:spacing w:before="1" w:line="480" w:lineRule="auto"/>
        <w:jc w:val="both"/>
        <w:rPr>
          <w:rFonts w:asciiTheme="majorBidi" w:hAnsiTheme="majorBidi" w:cstheme="majorBidi"/>
          <w:position w:val="2"/>
        </w:rPr>
      </w:pPr>
      <w:r w:rsidRPr="00BB11D1">
        <w:rPr>
          <w:rFonts w:asciiTheme="majorBidi" w:hAnsiTheme="majorBidi" w:cstheme="majorBidi"/>
          <w:position w:val="2"/>
          <w:rtl/>
          <w:lang w:bidi="ar-SA"/>
        </w:rPr>
        <w:t xml:space="preserve">تخزين القيمة ، أي أقل جاذبية من الودائع المصرفية أو غيرها من الأصول المالية قصيرة الأجل ، حتى عند الأخذ في الاعتبار مخاطر المخاطرة. سيتحرك السعران بالتوازي مع أسعار الفائدة في السياسة ، مع إضافة بعض المخصصات الخاصة عند الاقتراب من منطقة الحد الأدنى الصفري. فإن معدلات أنفسهم لا تعتبر معدلات السياسة. سيؤدي نقل الأسعار ببساطة إلى الحفاظ على فارق مماثل مع مرور الوقت على أسعار البنوك المركزية الأخرى ، وبالتالي من حيث المبدأ على أسعار السوق الأخرى. سيكون الهدف هو تحقيق الاستقرار والتحكم بدرجة كافية في الحوافز لعقد </w:t>
      </w:r>
      <w:r>
        <w:rPr>
          <w:rFonts w:asciiTheme="majorBidi" w:hAnsiTheme="majorBidi" w:cstheme="majorBidi"/>
          <w:position w:val="2"/>
          <w:lang w:bidi="ar-SA"/>
        </w:rPr>
        <w:t>CBDC</w:t>
      </w:r>
      <w:r w:rsidRPr="00BB11D1">
        <w:rPr>
          <w:rFonts w:asciiTheme="majorBidi" w:hAnsiTheme="majorBidi" w:cstheme="majorBidi"/>
          <w:position w:val="2"/>
          <w:rtl/>
          <w:lang w:bidi="ar-SA"/>
        </w:rPr>
        <w:t xml:space="preserve">. بطبيعة الحال ، فإن وجود الأوراق النقدية ، والتي يتم دفع أجورها دائمًا عند الصفر ، يخلق فرقًا متغيرًا بين مكافأة الأوراق النقدية و </w:t>
      </w:r>
      <w:r w:rsidRPr="00BB11D1">
        <w:rPr>
          <w:rFonts w:asciiTheme="majorBidi" w:hAnsiTheme="majorBidi" w:cstheme="majorBidi"/>
          <w:position w:val="2"/>
        </w:rPr>
        <w:t>CBDC</w:t>
      </w:r>
      <w:r w:rsidRPr="00BB11D1">
        <w:rPr>
          <w:rFonts w:asciiTheme="majorBidi" w:hAnsiTheme="majorBidi" w:cstheme="majorBidi"/>
          <w:position w:val="2"/>
          <w:rtl/>
          <w:lang w:bidi="ar-SA"/>
        </w:rPr>
        <w:t xml:space="preserve"> ، والتي قد يكون لها أيضًا آثار كمية على كليهما.</w:t>
      </w:r>
    </w:p>
    <w:p w:rsidR="000255A4" w:rsidRPr="00BB11D1" w:rsidRDefault="00BB11D1" w:rsidP="00BB11D1">
      <w:pPr>
        <w:pStyle w:val="BodyText"/>
        <w:bidi/>
        <w:spacing w:before="8"/>
        <w:rPr>
          <w:rFonts w:asciiTheme="majorBidi" w:hAnsiTheme="majorBidi" w:cstheme="majorBidi"/>
          <w:position w:val="2"/>
          <w:lang w:bidi="ar-SA"/>
        </w:rPr>
      </w:pPr>
      <w:r w:rsidRPr="00BB11D1">
        <w:rPr>
          <w:rFonts w:asciiTheme="majorBidi" w:hAnsiTheme="majorBidi" w:cstheme="majorBidi"/>
          <w:position w:val="2"/>
          <w:rtl/>
          <w:lang w:bidi="ar-SA"/>
        </w:rPr>
        <w:t xml:space="preserve">في البداية ، على سبيل المثال ، يمكن النظر في المكافآت التالية من قبل البنك المركزي الأوروبي للمستوى 1 من </w:t>
      </w:r>
      <w:r w:rsidRPr="00BB11D1">
        <w:rPr>
          <w:rFonts w:asciiTheme="majorBidi" w:hAnsiTheme="majorBidi" w:cstheme="majorBidi"/>
          <w:position w:val="2"/>
          <w:lang w:bidi="ar-SA"/>
        </w:rPr>
        <w:t>CBDC</w:t>
      </w:r>
      <w:r w:rsidRPr="00BB11D1">
        <w:rPr>
          <w:rFonts w:asciiTheme="majorBidi" w:hAnsiTheme="majorBidi" w:cstheme="majorBidi"/>
          <w:position w:val="2"/>
          <w:rtl/>
          <w:lang w:bidi="ar-SA"/>
        </w:rPr>
        <w:t>:</w:t>
      </w:r>
    </w:p>
    <w:p w:rsidR="00BB11D1" w:rsidRPr="00BB11D1" w:rsidRDefault="00BB11D1" w:rsidP="00BB11D1">
      <w:pPr>
        <w:pStyle w:val="BodyText"/>
        <w:bidi/>
        <w:spacing w:before="8"/>
        <w:rPr>
          <w:rFonts w:asciiTheme="majorBidi" w:hAnsiTheme="majorBidi" w:cstheme="majorBidi"/>
          <w:sz w:val="24"/>
        </w:rPr>
      </w:pPr>
    </w:p>
    <w:p w:rsidR="00BB11D1" w:rsidRDefault="00BB11D1" w:rsidP="00BB11D1">
      <w:pPr>
        <w:ind w:left="2160" w:right="4362"/>
        <w:jc w:val="center"/>
        <w:rPr>
          <w:rFonts w:ascii="Trebuchet MS"/>
          <w:b/>
          <w:sz w:val="24"/>
        </w:rPr>
      </w:pPr>
      <w:r>
        <w:rPr>
          <w:rFonts w:ascii="Trebuchet MS"/>
          <w:b/>
          <w:w w:val="95"/>
          <w:position w:val="2"/>
          <w:sz w:val="24"/>
        </w:rPr>
        <w:t>r</w:t>
      </w:r>
      <w:r>
        <w:rPr>
          <w:rFonts w:ascii="Trebuchet MS"/>
          <w:b/>
          <w:w w:val="95"/>
          <w:sz w:val="16"/>
        </w:rPr>
        <w:t xml:space="preserve">1 </w:t>
      </w:r>
      <w:r>
        <w:rPr>
          <w:rFonts w:ascii="Trebuchet MS"/>
          <w:b/>
          <w:w w:val="95"/>
          <w:position w:val="2"/>
          <w:sz w:val="24"/>
        </w:rPr>
        <w:t xml:space="preserve">= </w:t>
      </w:r>
      <w:proofErr w:type="gramStart"/>
      <w:r>
        <w:rPr>
          <w:rFonts w:ascii="Trebuchet MS"/>
          <w:b/>
          <w:w w:val="95"/>
          <w:position w:val="2"/>
          <w:sz w:val="24"/>
        </w:rPr>
        <w:t>max(</w:t>
      </w:r>
      <w:proofErr w:type="gramEnd"/>
      <w:r>
        <w:rPr>
          <w:rFonts w:ascii="Trebuchet MS"/>
          <w:b/>
          <w:w w:val="95"/>
          <w:position w:val="2"/>
          <w:sz w:val="24"/>
        </w:rPr>
        <w:t>0, i</w:t>
      </w:r>
      <w:r>
        <w:rPr>
          <w:rFonts w:ascii="Trebuchet MS"/>
          <w:b/>
          <w:w w:val="95"/>
          <w:sz w:val="16"/>
        </w:rPr>
        <w:t>DFR</w:t>
      </w:r>
      <w:r>
        <w:rPr>
          <w:rFonts w:ascii="Trebuchet MS"/>
          <w:b/>
          <w:w w:val="95"/>
          <w:position w:val="2"/>
          <w:sz w:val="24"/>
        </w:rPr>
        <w:t>-1%)</w:t>
      </w:r>
    </w:p>
    <w:p w:rsidR="000255A4" w:rsidRPr="00BB11D1" w:rsidRDefault="000255A4" w:rsidP="006A2441">
      <w:pPr>
        <w:pStyle w:val="BodyText"/>
        <w:bidi/>
        <w:spacing w:before="3"/>
        <w:rPr>
          <w:rFonts w:asciiTheme="majorBidi" w:hAnsiTheme="majorBidi" w:cstheme="majorBidi"/>
          <w:b/>
          <w:sz w:val="24"/>
        </w:rPr>
      </w:pPr>
    </w:p>
    <w:p w:rsidR="000255A4" w:rsidRPr="00BB11D1" w:rsidRDefault="00BB11D1" w:rsidP="00BB11D1">
      <w:pPr>
        <w:pStyle w:val="BodyText"/>
        <w:bidi/>
        <w:spacing w:before="8"/>
        <w:rPr>
          <w:rFonts w:asciiTheme="majorBidi" w:hAnsiTheme="majorBidi" w:cstheme="majorBidi"/>
          <w:lang w:bidi="ar-SA"/>
        </w:rPr>
      </w:pPr>
      <w:r w:rsidRPr="00BB11D1">
        <w:rPr>
          <w:rFonts w:asciiTheme="majorBidi" w:hAnsiTheme="majorBidi" w:cstheme="majorBidi"/>
          <w:rtl/>
          <w:lang w:bidi="ar-SA"/>
        </w:rPr>
        <w:t xml:space="preserve">بالنسبة إلى المستوى 2 من </w:t>
      </w:r>
      <w:r w:rsidRPr="00BB11D1">
        <w:rPr>
          <w:rFonts w:asciiTheme="majorBidi" w:hAnsiTheme="majorBidi" w:cstheme="majorBidi"/>
          <w:lang w:bidi="ar-SA"/>
        </w:rPr>
        <w:t>CBDC</w:t>
      </w:r>
      <w:r w:rsidRPr="00BB11D1">
        <w:rPr>
          <w:rFonts w:asciiTheme="majorBidi" w:hAnsiTheme="majorBidi" w:cstheme="majorBidi"/>
          <w:rtl/>
          <w:lang w:bidi="ar-SA"/>
        </w:rPr>
        <w:t xml:space="preserve"> ، يمكن أن تكون صيغة المكافآت هي:</w:t>
      </w:r>
    </w:p>
    <w:p w:rsidR="00BB11D1" w:rsidRPr="00BB11D1" w:rsidRDefault="00BB11D1" w:rsidP="00BB11D1">
      <w:pPr>
        <w:pStyle w:val="BodyText"/>
        <w:bidi/>
        <w:spacing w:before="8"/>
        <w:rPr>
          <w:rFonts w:asciiTheme="majorBidi" w:hAnsiTheme="majorBidi" w:cstheme="majorBidi"/>
          <w:sz w:val="24"/>
        </w:rPr>
      </w:pPr>
    </w:p>
    <w:p w:rsidR="00BB11D1" w:rsidRPr="00BB11D1" w:rsidRDefault="00BB11D1" w:rsidP="00BB11D1">
      <w:pPr>
        <w:ind w:left="2160" w:right="4362"/>
        <w:jc w:val="center"/>
        <w:rPr>
          <w:rFonts w:asciiTheme="majorBidi" w:hAnsiTheme="majorBidi" w:cstheme="majorBidi"/>
          <w:b/>
          <w:sz w:val="24"/>
        </w:rPr>
      </w:pPr>
      <w:r w:rsidRPr="00BB11D1">
        <w:rPr>
          <w:rFonts w:asciiTheme="majorBidi" w:hAnsiTheme="majorBidi" w:cstheme="majorBidi"/>
          <w:b/>
          <w:position w:val="2"/>
          <w:sz w:val="24"/>
        </w:rPr>
        <w:t>r</w:t>
      </w:r>
      <w:r w:rsidRPr="00BB11D1">
        <w:rPr>
          <w:rFonts w:asciiTheme="majorBidi" w:hAnsiTheme="majorBidi" w:cstheme="majorBidi"/>
          <w:b/>
          <w:sz w:val="16"/>
        </w:rPr>
        <w:t xml:space="preserve">2 </w:t>
      </w:r>
      <w:r w:rsidRPr="00BB11D1">
        <w:rPr>
          <w:rFonts w:asciiTheme="majorBidi" w:hAnsiTheme="majorBidi" w:cstheme="majorBidi"/>
          <w:b/>
          <w:position w:val="2"/>
          <w:sz w:val="24"/>
        </w:rPr>
        <w:t xml:space="preserve">= </w:t>
      </w:r>
      <w:proofErr w:type="gramStart"/>
      <w:r w:rsidRPr="00BB11D1">
        <w:rPr>
          <w:rFonts w:asciiTheme="majorBidi" w:hAnsiTheme="majorBidi" w:cstheme="majorBidi"/>
          <w:b/>
          <w:position w:val="2"/>
          <w:sz w:val="24"/>
        </w:rPr>
        <w:t>min(</w:t>
      </w:r>
      <w:proofErr w:type="gramEnd"/>
      <w:r w:rsidRPr="00BB11D1">
        <w:rPr>
          <w:rFonts w:asciiTheme="majorBidi" w:hAnsiTheme="majorBidi" w:cstheme="majorBidi"/>
          <w:b/>
          <w:position w:val="2"/>
          <w:sz w:val="24"/>
        </w:rPr>
        <w:t>0, i</w:t>
      </w:r>
      <w:r w:rsidRPr="00BB11D1">
        <w:rPr>
          <w:rFonts w:asciiTheme="majorBidi" w:hAnsiTheme="majorBidi" w:cstheme="majorBidi"/>
          <w:b/>
          <w:sz w:val="16"/>
        </w:rPr>
        <w:t xml:space="preserve">DFR </w:t>
      </w:r>
      <w:r w:rsidRPr="00BB11D1">
        <w:rPr>
          <w:rFonts w:asciiTheme="majorBidi" w:hAnsiTheme="majorBidi" w:cstheme="majorBidi"/>
          <w:b/>
          <w:w w:val="105"/>
          <w:position w:val="2"/>
          <w:sz w:val="24"/>
        </w:rPr>
        <w:t>–</w:t>
      </w:r>
      <w:r w:rsidRPr="00BB11D1">
        <w:rPr>
          <w:rFonts w:asciiTheme="majorBidi" w:hAnsiTheme="majorBidi" w:cstheme="majorBidi"/>
          <w:b/>
          <w:spacing w:val="-60"/>
          <w:w w:val="105"/>
          <w:position w:val="2"/>
          <w:sz w:val="24"/>
        </w:rPr>
        <w:t xml:space="preserve"> </w:t>
      </w:r>
      <w:r w:rsidRPr="00BB11D1">
        <w:rPr>
          <w:rFonts w:asciiTheme="majorBidi" w:hAnsiTheme="majorBidi" w:cstheme="majorBidi"/>
          <w:b/>
          <w:position w:val="2"/>
          <w:sz w:val="24"/>
        </w:rPr>
        <w:t>1%)</w:t>
      </w:r>
    </w:p>
    <w:p w:rsidR="000255A4" w:rsidRPr="00BB11D1" w:rsidRDefault="000255A4" w:rsidP="006A2441">
      <w:pPr>
        <w:pStyle w:val="BodyText"/>
        <w:bidi/>
        <w:spacing w:before="2"/>
        <w:rPr>
          <w:rFonts w:asciiTheme="majorBidi" w:hAnsiTheme="majorBidi" w:cstheme="majorBidi"/>
          <w:b/>
          <w:sz w:val="24"/>
        </w:rPr>
      </w:pPr>
    </w:p>
    <w:p w:rsidR="000255A4" w:rsidRDefault="00BB11D1" w:rsidP="00BB11D1">
      <w:pPr>
        <w:pStyle w:val="BodyText"/>
        <w:bidi/>
        <w:spacing w:before="2"/>
        <w:rPr>
          <w:rFonts w:asciiTheme="majorBidi" w:hAnsiTheme="majorBidi" w:cstheme="majorBidi"/>
          <w:lang w:bidi="ar-SA"/>
        </w:rPr>
      </w:pPr>
      <w:r w:rsidRPr="00BB11D1">
        <w:rPr>
          <w:rFonts w:asciiTheme="majorBidi" w:hAnsiTheme="majorBidi" w:cstheme="majorBidi"/>
          <w:rtl/>
          <w:lang w:bidi="ar-SA"/>
        </w:rPr>
        <w:t xml:space="preserve">بمعنى: </w:t>
      </w:r>
      <w:r w:rsidRPr="00BB11D1">
        <w:rPr>
          <w:rFonts w:asciiTheme="majorBidi" w:hAnsiTheme="majorBidi" w:cstheme="majorBidi"/>
        </w:rPr>
        <w:t>r1</w:t>
      </w:r>
      <w:r w:rsidRPr="00BB11D1">
        <w:rPr>
          <w:rFonts w:asciiTheme="majorBidi" w:hAnsiTheme="majorBidi" w:cstheme="majorBidi"/>
          <w:rtl/>
          <w:lang w:bidi="ar-SA"/>
        </w:rPr>
        <w:t xml:space="preserve"> تساوي معدل المكافأة من الاحتياطيات الزائدة ، مع تطبيق حد أدنى صفري ، بينما </w:t>
      </w:r>
      <w:r w:rsidRPr="00BB11D1">
        <w:rPr>
          <w:rFonts w:asciiTheme="majorBidi" w:hAnsiTheme="majorBidi" w:cstheme="majorBidi"/>
        </w:rPr>
        <w:t>r2</w:t>
      </w:r>
      <w:r w:rsidRPr="00BB11D1">
        <w:rPr>
          <w:rFonts w:asciiTheme="majorBidi" w:hAnsiTheme="majorBidi" w:cstheme="majorBidi"/>
          <w:rtl/>
          <w:lang w:bidi="ar-SA"/>
        </w:rPr>
        <w:t xml:space="preserve"> سيكون نقطتين مئويتين أقل من أجر الاحتياطيات الزائدة ، ولكن مع الصفر كحد أقصى. سيكون الخيار الأقل جاذبية للمستوى 2 من </w:t>
      </w:r>
      <w:r w:rsidRPr="00BB11D1">
        <w:rPr>
          <w:rFonts w:asciiTheme="majorBidi" w:hAnsiTheme="majorBidi" w:cstheme="majorBidi"/>
          <w:lang w:bidi="ar-SA"/>
        </w:rPr>
        <w:t>CBDC</w:t>
      </w:r>
      <w:r w:rsidRPr="00BB11D1">
        <w:rPr>
          <w:rFonts w:asciiTheme="majorBidi" w:hAnsiTheme="majorBidi" w:cstheme="majorBidi"/>
          <w:rtl/>
          <w:lang w:bidi="ar-SA"/>
        </w:rPr>
        <w:t xml:space="preserve"> هو </w:t>
      </w:r>
      <w:r w:rsidRPr="00BB11D1">
        <w:rPr>
          <w:rFonts w:asciiTheme="majorBidi" w:hAnsiTheme="majorBidi" w:cstheme="majorBidi"/>
        </w:rPr>
        <w:t>r2</w:t>
      </w:r>
      <w:r w:rsidRPr="00BB11D1">
        <w:rPr>
          <w:rFonts w:asciiTheme="majorBidi" w:hAnsiTheme="majorBidi" w:cstheme="majorBidi"/>
          <w:rtl/>
          <w:lang w:bidi="ar-SA"/>
        </w:rPr>
        <w:t xml:space="preserve"> =.</w:t>
      </w: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10677D" w:rsidRDefault="0010677D" w:rsidP="0010677D">
      <w:pPr>
        <w:pStyle w:val="BodyText"/>
        <w:bidi/>
        <w:spacing w:before="2"/>
        <w:rPr>
          <w:rFonts w:asciiTheme="majorBidi" w:hAnsiTheme="majorBidi" w:cstheme="majorBidi"/>
          <w:lang w:bidi="ar-SA"/>
        </w:rPr>
      </w:pPr>
    </w:p>
    <w:p w:rsidR="0010677D" w:rsidRPr="00BB11D1" w:rsidRDefault="0010677D" w:rsidP="0010677D">
      <w:pPr>
        <w:pStyle w:val="BodyText"/>
        <w:bidi/>
        <w:spacing w:before="2"/>
        <w:rPr>
          <w:rFonts w:asciiTheme="majorBidi" w:hAnsiTheme="majorBidi" w:cstheme="majorBidi"/>
          <w:lang w:bidi="ar-SA"/>
        </w:rPr>
      </w:pPr>
    </w:p>
    <w:p w:rsidR="00BB11D1" w:rsidRPr="00BB11D1" w:rsidRDefault="00BB11D1" w:rsidP="00BB11D1">
      <w:pPr>
        <w:pStyle w:val="BodyText"/>
        <w:bidi/>
        <w:spacing w:before="2"/>
        <w:rPr>
          <w:rFonts w:asciiTheme="majorBidi" w:hAnsiTheme="majorBidi" w:cstheme="majorBidi"/>
          <w:sz w:val="23"/>
        </w:rPr>
      </w:pPr>
    </w:p>
    <w:p w:rsidR="000255A4" w:rsidRPr="00BB11D1" w:rsidRDefault="009C2E3C" w:rsidP="006A2441">
      <w:pPr>
        <w:bidi/>
        <w:spacing w:line="252" w:lineRule="auto"/>
        <w:ind w:left="249" w:right="771" w:hanging="1"/>
        <w:jc w:val="both"/>
        <w:rPr>
          <w:rFonts w:asciiTheme="majorBidi" w:hAnsiTheme="majorBidi" w:cstheme="majorBidi"/>
          <w:i/>
        </w:rPr>
      </w:pPr>
      <w:r w:rsidRPr="00BB11D1">
        <w:rPr>
          <w:rFonts w:asciiTheme="majorBidi" w:hAnsiTheme="majorBidi" w:cstheme="majorBidi"/>
          <w:i/>
          <w:iCs/>
          <w:w w:val="95"/>
          <w:rtl/>
          <w:lang w:bidi="ar-SA"/>
        </w:rPr>
        <w:lastRenderedPageBreak/>
        <w:t>الشكل</w:t>
      </w:r>
      <w:r w:rsidRPr="00BB11D1">
        <w:rPr>
          <w:rFonts w:asciiTheme="majorBidi" w:hAnsiTheme="majorBidi" w:cstheme="majorBidi"/>
          <w:i/>
          <w:w w:val="95"/>
        </w:rPr>
        <w:t xml:space="preserve"> 4: </w:t>
      </w:r>
      <w:r w:rsidRPr="00BB11D1">
        <w:rPr>
          <w:rFonts w:asciiTheme="majorBidi" w:hAnsiTheme="majorBidi" w:cstheme="majorBidi"/>
          <w:i/>
          <w:iCs/>
          <w:w w:val="95"/>
          <w:rtl/>
          <w:lang w:bidi="ar-SA"/>
        </w:rPr>
        <w:t>مثال</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على</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معدلات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الأجور</w:t>
      </w:r>
      <w:r w:rsidRPr="00BB11D1">
        <w:rPr>
          <w:rFonts w:asciiTheme="majorBidi" w:hAnsiTheme="majorBidi" w:cstheme="majorBidi"/>
          <w:i/>
          <w:w w:val="95"/>
        </w:rPr>
        <w:t xml:space="preserve"> CBDC </w:t>
      </w:r>
      <w:r w:rsidRPr="00BB11D1">
        <w:rPr>
          <w:rFonts w:asciiTheme="majorBidi" w:hAnsiTheme="majorBidi" w:cstheme="majorBidi"/>
          <w:i/>
          <w:iCs/>
          <w:w w:val="95"/>
          <w:rtl/>
          <w:lang w:bidi="ar-SA"/>
        </w:rPr>
        <w:t>النسبي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لمعدلات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تاريخية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البنك</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المركزي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الأوروبي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الفائدة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الرسمية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مع</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الطبقة</w:t>
      </w:r>
      <w:r w:rsidRPr="00BB11D1">
        <w:rPr>
          <w:rFonts w:asciiTheme="majorBidi" w:hAnsiTheme="majorBidi" w:cstheme="majorBidi"/>
          <w:i/>
          <w:w w:val="95"/>
        </w:rPr>
        <w:t xml:space="preserve"> </w:t>
      </w:r>
      <w:r w:rsidRPr="00BB11D1">
        <w:rPr>
          <w:rFonts w:asciiTheme="majorBidi" w:hAnsiTheme="majorBidi" w:cstheme="majorBidi"/>
          <w:i/>
          <w:iCs/>
          <w:rtl/>
          <w:lang w:bidi="ar-SA"/>
        </w:rPr>
        <w:t>معدل</w:t>
      </w:r>
      <w:r w:rsidRPr="00BB11D1">
        <w:rPr>
          <w:rFonts w:asciiTheme="majorBidi" w:hAnsiTheme="majorBidi" w:cstheme="majorBidi"/>
          <w:i/>
        </w:rPr>
        <w:t xml:space="preserve"> CBDC </w:t>
      </w:r>
      <w:r w:rsidRPr="00BB11D1">
        <w:rPr>
          <w:rFonts w:asciiTheme="majorBidi" w:hAnsiTheme="majorBidi" w:cstheme="majorBidi"/>
          <w:i/>
          <w:iCs/>
          <w:rtl/>
          <w:lang w:bidi="ar-SA"/>
        </w:rPr>
        <w:t>واحد</w:t>
      </w:r>
      <w:r w:rsidRPr="00BB11D1">
        <w:rPr>
          <w:rFonts w:asciiTheme="majorBidi" w:hAnsiTheme="majorBidi" w:cstheme="majorBidi"/>
          <w:i/>
        </w:rPr>
        <w:t xml:space="preserve"> R1 = </w:t>
      </w:r>
      <w:r w:rsidRPr="00BB11D1">
        <w:rPr>
          <w:rFonts w:asciiTheme="majorBidi" w:hAnsiTheme="majorBidi" w:cstheme="majorBidi"/>
          <w:i/>
          <w:iCs/>
          <w:rtl/>
          <w:lang w:bidi="ar-SA"/>
        </w:rPr>
        <w:t>ماكس</w:t>
      </w:r>
      <w:r w:rsidRPr="00BB11D1">
        <w:rPr>
          <w:rFonts w:asciiTheme="majorBidi" w:hAnsiTheme="majorBidi" w:cstheme="majorBidi"/>
          <w:i/>
        </w:rPr>
        <w:t xml:space="preserve"> (0</w:t>
      </w:r>
      <w:r w:rsidRPr="00BB11D1">
        <w:rPr>
          <w:rFonts w:asciiTheme="majorBidi" w:hAnsiTheme="majorBidi" w:cstheme="majorBidi"/>
          <w:i/>
          <w:iCs/>
          <w:rtl/>
          <w:lang w:bidi="ar-SA"/>
        </w:rPr>
        <w:t>،</w:t>
      </w:r>
      <w:r w:rsidRPr="00BB11D1">
        <w:rPr>
          <w:rFonts w:asciiTheme="majorBidi" w:hAnsiTheme="majorBidi" w:cstheme="majorBidi"/>
          <w:i/>
        </w:rPr>
        <w:t xml:space="preserve"> iDFR-1</w:t>
      </w:r>
      <w:r w:rsidRPr="00BB11D1">
        <w:rPr>
          <w:rFonts w:asciiTheme="majorBidi" w:hAnsiTheme="majorBidi" w:cstheme="majorBidi"/>
          <w:i/>
          <w:iCs/>
          <w:rtl/>
          <w:lang w:bidi="ar-SA"/>
        </w:rPr>
        <w:t>٪</w:t>
      </w:r>
      <w:r w:rsidRPr="00BB11D1">
        <w:rPr>
          <w:rFonts w:asciiTheme="majorBidi" w:hAnsiTheme="majorBidi" w:cstheme="majorBidi"/>
          <w:i/>
        </w:rPr>
        <w:t xml:space="preserve">) </w:t>
      </w:r>
      <w:r w:rsidRPr="00BB11D1">
        <w:rPr>
          <w:rFonts w:asciiTheme="majorBidi" w:hAnsiTheme="majorBidi" w:cstheme="majorBidi"/>
          <w:i/>
          <w:iCs/>
          <w:rtl/>
          <w:lang w:bidi="ar-SA"/>
        </w:rPr>
        <w:t>والطبقة</w:t>
      </w:r>
      <w:r w:rsidRPr="00BB11D1">
        <w:rPr>
          <w:rFonts w:asciiTheme="majorBidi" w:hAnsiTheme="majorBidi" w:cstheme="majorBidi"/>
          <w:i/>
        </w:rPr>
        <w:t xml:space="preserve"> 2 </w:t>
      </w:r>
      <w:r w:rsidRPr="00BB11D1">
        <w:rPr>
          <w:rFonts w:asciiTheme="majorBidi" w:hAnsiTheme="majorBidi" w:cstheme="majorBidi"/>
          <w:i/>
          <w:iCs/>
          <w:rtl/>
          <w:lang w:bidi="ar-SA"/>
        </w:rPr>
        <w:t>معدل</w:t>
      </w:r>
      <w:r w:rsidRPr="00BB11D1">
        <w:rPr>
          <w:rFonts w:asciiTheme="majorBidi" w:hAnsiTheme="majorBidi" w:cstheme="majorBidi"/>
          <w:i/>
        </w:rPr>
        <w:t xml:space="preserve"> CBDC R2 = </w:t>
      </w:r>
      <w:r w:rsidRPr="00BB11D1">
        <w:rPr>
          <w:rFonts w:asciiTheme="majorBidi" w:hAnsiTheme="majorBidi" w:cstheme="majorBidi"/>
          <w:i/>
          <w:iCs/>
          <w:rtl/>
          <w:lang w:bidi="ar-SA"/>
        </w:rPr>
        <w:t>دقيقة</w:t>
      </w:r>
      <w:r w:rsidRPr="00BB11D1">
        <w:rPr>
          <w:rFonts w:asciiTheme="majorBidi" w:hAnsiTheme="majorBidi" w:cstheme="majorBidi"/>
          <w:i/>
        </w:rPr>
        <w:t xml:space="preserve"> (0</w:t>
      </w:r>
      <w:r w:rsidRPr="00BB11D1">
        <w:rPr>
          <w:rFonts w:asciiTheme="majorBidi" w:hAnsiTheme="majorBidi" w:cstheme="majorBidi"/>
          <w:i/>
          <w:iCs/>
          <w:rtl/>
          <w:lang w:bidi="ar-SA"/>
        </w:rPr>
        <w:t>،</w:t>
      </w:r>
      <w:r w:rsidRPr="00BB11D1">
        <w:rPr>
          <w:rFonts w:asciiTheme="majorBidi" w:hAnsiTheme="majorBidi" w:cstheme="majorBidi"/>
          <w:i/>
        </w:rPr>
        <w:t xml:space="preserve"> iDFR - 1</w:t>
      </w:r>
      <w:r w:rsidRPr="00BB11D1">
        <w:rPr>
          <w:rFonts w:asciiTheme="majorBidi" w:hAnsiTheme="majorBidi" w:cstheme="majorBidi"/>
          <w:i/>
          <w:iCs/>
          <w:rtl/>
          <w:lang w:bidi="ar-SA"/>
        </w:rPr>
        <w:t>٪</w:t>
      </w:r>
      <w:r w:rsidRPr="00BB11D1">
        <w:rPr>
          <w:rFonts w:asciiTheme="majorBidi" w:hAnsiTheme="majorBidi" w:cstheme="majorBidi"/>
          <w:i/>
        </w:rPr>
        <w:t>)</w:t>
      </w:r>
    </w:p>
    <w:p w:rsidR="000255A4" w:rsidRPr="00BB11D1" w:rsidRDefault="009C2E3C" w:rsidP="006A2441">
      <w:pPr>
        <w:pStyle w:val="BodyText"/>
        <w:bidi/>
        <w:spacing w:before="2"/>
        <w:rPr>
          <w:rFonts w:asciiTheme="majorBidi" w:hAnsiTheme="majorBidi" w:cstheme="majorBidi"/>
          <w:i/>
          <w:sz w:val="10"/>
        </w:rPr>
      </w:pPr>
      <w:r w:rsidRPr="00BB11D1">
        <w:rPr>
          <w:rFonts w:asciiTheme="majorBidi" w:hAnsiTheme="majorBidi" w:cstheme="majorBidi"/>
          <w:noProof/>
          <w:lang w:bidi="ar-SA"/>
        </w:rPr>
        <w:drawing>
          <wp:anchor distT="0" distB="0" distL="0" distR="0" simplePos="0" relativeHeight="10" behindDoc="0" locked="0" layoutInCell="1" allowOverlap="1" wp14:anchorId="23A2EC1A" wp14:editId="3C486D80">
            <wp:simplePos x="0" y="0"/>
            <wp:positionH relativeFrom="page">
              <wp:posOffset>846801</wp:posOffset>
            </wp:positionH>
            <wp:positionV relativeFrom="paragraph">
              <wp:posOffset>99522</wp:posOffset>
            </wp:positionV>
            <wp:extent cx="5271753" cy="3670173"/>
            <wp:effectExtent l="0" t="0" r="0" b="0"/>
            <wp:wrapTopAndBottom/>
            <wp:docPr id="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jpeg"/>
                    <pic:cNvPicPr/>
                  </pic:nvPicPr>
                  <pic:blipFill>
                    <a:blip r:embed="rId25" cstate="print"/>
                    <a:stretch>
                      <a:fillRect/>
                    </a:stretch>
                  </pic:blipFill>
                  <pic:spPr>
                    <a:xfrm>
                      <a:off x="0" y="0"/>
                      <a:ext cx="5271753" cy="3670173"/>
                    </a:xfrm>
                    <a:prstGeom prst="rect">
                      <a:avLst/>
                    </a:prstGeom>
                  </pic:spPr>
                </pic:pic>
              </a:graphicData>
            </a:graphic>
          </wp:anchor>
        </w:drawing>
      </w:r>
    </w:p>
    <w:p w:rsidR="000255A4" w:rsidRPr="00BB11D1" w:rsidRDefault="000255A4" w:rsidP="006A2441">
      <w:pPr>
        <w:pStyle w:val="BodyText"/>
        <w:bidi/>
        <w:spacing w:before="10"/>
        <w:rPr>
          <w:rFonts w:asciiTheme="majorBidi" w:hAnsiTheme="majorBidi" w:cstheme="majorBidi"/>
          <w:i/>
          <w:sz w:val="25"/>
        </w:rPr>
      </w:pPr>
    </w:p>
    <w:p w:rsidR="00BB11D1" w:rsidRPr="00BB11D1" w:rsidRDefault="00BB11D1" w:rsidP="00BB11D1">
      <w:pPr>
        <w:pStyle w:val="BodyText"/>
        <w:bidi/>
        <w:spacing w:line="480" w:lineRule="auto"/>
        <w:jc w:val="both"/>
        <w:rPr>
          <w:rFonts w:asciiTheme="majorBidi" w:hAnsiTheme="majorBidi" w:cstheme="majorBidi"/>
        </w:rPr>
      </w:pPr>
      <w:bookmarkStart w:id="12" w:name="6_Bank_disintermediation_with_low-volume"/>
      <w:bookmarkEnd w:id="12"/>
      <w:r w:rsidRPr="00BB11D1">
        <w:rPr>
          <w:rFonts w:asciiTheme="majorBidi" w:hAnsiTheme="majorBidi" w:cstheme="majorBidi"/>
          <w:rtl/>
          <w:lang w:bidi="ar-SA"/>
        </w:rPr>
        <w:t>بالطبع يمكن تعديل الصيغ المقترحة للأجور. مع ترك خيارات للإشارة إلى أسعار أخرى غير معدل تسهيل الودائع (</w:t>
      </w:r>
      <w:r w:rsidRPr="00BB11D1">
        <w:rPr>
          <w:rFonts w:asciiTheme="majorBidi" w:hAnsiTheme="majorBidi" w:cstheme="majorBidi"/>
        </w:rPr>
        <w:t>DFR</w:t>
      </w:r>
      <w:r w:rsidRPr="00BB11D1">
        <w:rPr>
          <w:rFonts w:asciiTheme="majorBidi" w:hAnsiTheme="majorBidi" w:cstheme="majorBidi"/>
          <w:rtl/>
          <w:lang w:bidi="ar-SA"/>
        </w:rPr>
        <w:t xml:space="preserve">) ، والتركيز فقط على السبريد بالنسبة إلى </w:t>
      </w:r>
      <w:r w:rsidRPr="00BB11D1">
        <w:rPr>
          <w:rFonts w:asciiTheme="majorBidi" w:hAnsiTheme="majorBidi" w:cstheme="majorBidi"/>
        </w:rPr>
        <w:t>DFR</w:t>
      </w:r>
      <w:r w:rsidRPr="00BB11D1">
        <w:rPr>
          <w:rFonts w:asciiTheme="majorBidi" w:hAnsiTheme="majorBidi" w:cstheme="majorBidi"/>
          <w:rtl/>
          <w:lang w:bidi="ar-SA"/>
        </w:rPr>
        <w:t xml:space="preserve"> ، يمكن للمرء على سبيل المثال النظر فيما يلي:</w:t>
      </w:r>
    </w:p>
    <w:p w:rsidR="00BB11D1" w:rsidRPr="00BB11D1" w:rsidRDefault="00BB11D1" w:rsidP="00BB11D1">
      <w:pPr>
        <w:pStyle w:val="BodyText"/>
        <w:numPr>
          <w:ilvl w:val="0"/>
          <w:numId w:val="17"/>
        </w:numPr>
        <w:bidi/>
        <w:spacing w:line="480" w:lineRule="auto"/>
        <w:jc w:val="both"/>
        <w:rPr>
          <w:rFonts w:asciiTheme="majorBidi" w:hAnsiTheme="majorBidi" w:cstheme="majorBidi"/>
        </w:rPr>
      </w:pPr>
      <w:r w:rsidRPr="00BB11D1">
        <w:rPr>
          <w:rFonts w:asciiTheme="majorBidi" w:hAnsiTheme="majorBidi" w:cstheme="majorBidi"/>
          <w:rtl/>
          <w:lang w:bidi="ar-SA"/>
        </w:rPr>
        <w:t xml:space="preserve">إذا كان المرء يشعر بالقلق إزاء انخفاض تناول </w:t>
      </w:r>
      <w:r w:rsidRPr="00BB11D1">
        <w:rPr>
          <w:rFonts w:asciiTheme="majorBidi" w:hAnsiTheme="majorBidi" w:cstheme="majorBidi"/>
        </w:rPr>
        <w:t>CBDC</w:t>
      </w:r>
      <w:r w:rsidRPr="00BB11D1">
        <w:rPr>
          <w:rFonts w:asciiTheme="majorBidi" w:hAnsiTheme="majorBidi" w:cstheme="majorBidi"/>
          <w:rtl/>
          <w:lang w:bidi="ar-SA"/>
        </w:rPr>
        <w:t xml:space="preserve"> ، يمكن للمرء أن يقلل من انتشار نحو معدل </w:t>
      </w:r>
      <w:r w:rsidRPr="00BB11D1">
        <w:rPr>
          <w:rFonts w:asciiTheme="majorBidi" w:hAnsiTheme="majorBidi" w:cstheme="majorBidi"/>
        </w:rPr>
        <w:t>DFR</w:t>
      </w:r>
      <w:r w:rsidRPr="00BB11D1">
        <w:rPr>
          <w:rFonts w:asciiTheme="majorBidi" w:hAnsiTheme="majorBidi" w:cstheme="majorBidi"/>
          <w:rtl/>
          <w:lang w:bidi="ar-SA"/>
        </w:rPr>
        <w:t xml:space="preserve"> وتطبيق على سبيل المثال</w:t>
      </w:r>
    </w:p>
    <w:p w:rsidR="00BB11D1" w:rsidRPr="00BB11D1" w:rsidRDefault="00BB11D1" w:rsidP="00BB11D1">
      <w:pPr>
        <w:pStyle w:val="BodyText"/>
        <w:bidi/>
        <w:spacing w:line="480" w:lineRule="auto"/>
        <w:ind w:left="720"/>
        <w:jc w:val="both"/>
        <w:rPr>
          <w:rFonts w:asciiTheme="majorBidi" w:hAnsiTheme="majorBidi" w:cstheme="majorBidi"/>
        </w:rPr>
      </w:pPr>
      <w:r w:rsidRPr="00BB11D1">
        <w:rPr>
          <w:rFonts w:asciiTheme="majorBidi" w:hAnsiTheme="majorBidi" w:cstheme="majorBidi"/>
          <w:position w:val="2"/>
        </w:rPr>
        <w:t>r</w:t>
      </w:r>
      <w:r w:rsidRPr="00BB11D1">
        <w:rPr>
          <w:rFonts w:asciiTheme="majorBidi" w:hAnsiTheme="majorBidi" w:cstheme="majorBidi"/>
          <w:sz w:val="14"/>
        </w:rPr>
        <w:t>1</w:t>
      </w:r>
      <w:r w:rsidRPr="00BB11D1">
        <w:rPr>
          <w:rFonts w:asciiTheme="majorBidi" w:hAnsiTheme="majorBidi" w:cstheme="majorBidi"/>
          <w:spacing w:val="1"/>
          <w:sz w:val="14"/>
        </w:rPr>
        <w:t xml:space="preserve"> </w:t>
      </w:r>
      <w:r w:rsidRPr="00BB11D1">
        <w:rPr>
          <w:rFonts w:asciiTheme="majorBidi" w:hAnsiTheme="majorBidi" w:cstheme="majorBidi"/>
          <w:position w:val="2"/>
        </w:rPr>
        <w:t>=</w:t>
      </w:r>
      <w:r w:rsidRPr="00BB11D1">
        <w:rPr>
          <w:rFonts w:asciiTheme="majorBidi" w:hAnsiTheme="majorBidi" w:cstheme="majorBidi"/>
          <w:spacing w:val="-21"/>
          <w:position w:val="2"/>
        </w:rPr>
        <w:t xml:space="preserve"> </w:t>
      </w:r>
      <w:proofErr w:type="gramStart"/>
      <w:r w:rsidRPr="00BB11D1">
        <w:rPr>
          <w:rFonts w:asciiTheme="majorBidi" w:hAnsiTheme="majorBidi" w:cstheme="majorBidi"/>
          <w:position w:val="2"/>
        </w:rPr>
        <w:t>max(</w:t>
      </w:r>
      <w:proofErr w:type="gramEnd"/>
      <w:r w:rsidRPr="00BB11D1">
        <w:rPr>
          <w:rFonts w:asciiTheme="majorBidi" w:hAnsiTheme="majorBidi" w:cstheme="majorBidi"/>
          <w:position w:val="2"/>
        </w:rPr>
        <w:t>0,</w:t>
      </w:r>
      <w:r w:rsidRPr="00BB11D1">
        <w:rPr>
          <w:rFonts w:asciiTheme="majorBidi" w:hAnsiTheme="majorBidi" w:cstheme="majorBidi"/>
          <w:spacing w:val="-21"/>
          <w:position w:val="2"/>
        </w:rPr>
        <w:t xml:space="preserve"> </w:t>
      </w:r>
      <w:r w:rsidRPr="00BB11D1">
        <w:rPr>
          <w:rFonts w:asciiTheme="majorBidi" w:hAnsiTheme="majorBidi" w:cstheme="majorBidi"/>
          <w:position w:val="2"/>
        </w:rPr>
        <w:t>i</w:t>
      </w:r>
      <w:r w:rsidRPr="00BB11D1">
        <w:rPr>
          <w:rFonts w:asciiTheme="majorBidi" w:hAnsiTheme="majorBidi" w:cstheme="majorBidi"/>
          <w:sz w:val="14"/>
        </w:rPr>
        <w:t>DFR</w:t>
      </w:r>
      <w:r w:rsidRPr="00BB11D1">
        <w:rPr>
          <w:rFonts w:asciiTheme="majorBidi" w:hAnsiTheme="majorBidi" w:cstheme="majorBidi"/>
          <w:position w:val="2"/>
        </w:rPr>
        <w:t>-0.5%);</w:t>
      </w:r>
      <w:r w:rsidRPr="00BB11D1">
        <w:rPr>
          <w:rFonts w:asciiTheme="majorBidi" w:hAnsiTheme="majorBidi" w:cstheme="majorBidi"/>
          <w:spacing w:val="-20"/>
          <w:position w:val="2"/>
        </w:rPr>
        <w:t xml:space="preserve"> </w:t>
      </w:r>
      <w:r w:rsidRPr="00BB11D1">
        <w:rPr>
          <w:rFonts w:asciiTheme="majorBidi" w:hAnsiTheme="majorBidi" w:cstheme="majorBidi"/>
          <w:position w:val="2"/>
        </w:rPr>
        <w:t>r</w:t>
      </w:r>
      <w:r w:rsidRPr="00BB11D1">
        <w:rPr>
          <w:rFonts w:asciiTheme="majorBidi" w:hAnsiTheme="majorBidi" w:cstheme="majorBidi"/>
          <w:sz w:val="14"/>
        </w:rPr>
        <w:t xml:space="preserve">2 </w:t>
      </w:r>
      <w:r w:rsidRPr="00BB11D1">
        <w:rPr>
          <w:rFonts w:asciiTheme="majorBidi" w:hAnsiTheme="majorBidi" w:cstheme="majorBidi"/>
          <w:position w:val="2"/>
        </w:rPr>
        <w:t>=</w:t>
      </w:r>
      <w:r w:rsidRPr="00BB11D1">
        <w:rPr>
          <w:rFonts w:asciiTheme="majorBidi" w:hAnsiTheme="majorBidi" w:cstheme="majorBidi"/>
          <w:spacing w:val="-22"/>
          <w:position w:val="2"/>
        </w:rPr>
        <w:t xml:space="preserve"> </w:t>
      </w:r>
      <w:r w:rsidRPr="00BB11D1">
        <w:rPr>
          <w:rFonts w:asciiTheme="majorBidi" w:hAnsiTheme="majorBidi" w:cstheme="majorBidi"/>
          <w:position w:val="2"/>
        </w:rPr>
        <w:t>min(0,</w:t>
      </w:r>
      <w:r w:rsidRPr="00BB11D1">
        <w:rPr>
          <w:rFonts w:asciiTheme="majorBidi" w:hAnsiTheme="majorBidi" w:cstheme="majorBidi"/>
          <w:spacing w:val="-24"/>
          <w:position w:val="2"/>
        </w:rPr>
        <w:t xml:space="preserve"> </w:t>
      </w:r>
      <w:r w:rsidRPr="00BB11D1">
        <w:rPr>
          <w:rFonts w:asciiTheme="majorBidi" w:hAnsiTheme="majorBidi" w:cstheme="majorBidi"/>
          <w:position w:val="2"/>
        </w:rPr>
        <w:t>i</w:t>
      </w:r>
      <w:r w:rsidRPr="00BB11D1">
        <w:rPr>
          <w:rFonts w:asciiTheme="majorBidi" w:hAnsiTheme="majorBidi" w:cstheme="majorBidi"/>
          <w:sz w:val="14"/>
        </w:rPr>
        <w:t xml:space="preserve">DFR </w:t>
      </w:r>
      <w:r w:rsidRPr="00BB11D1">
        <w:rPr>
          <w:rFonts w:asciiTheme="majorBidi" w:hAnsiTheme="majorBidi" w:cstheme="majorBidi"/>
          <w:position w:val="2"/>
        </w:rPr>
        <w:t>–</w:t>
      </w:r>
      <w:r w:rsidRPr="00BB11D1">
        <w:rPr>
          <w:rFonts w:asciiTheme="majorBidi" w:hAnsiTheme="majorBidi" w:cstheme="majorBidi"/>
          <w:spacing w:val="-22"/>
          <w:position w:val="2"/>
        </w:rPr>
        <w:t xml:space="preserve"> </w:t>
      </w:r>
      <w:r w:rsidRPr="00BB11D1">
        <w:rPr>
          <w:rFonts w:asciiTheme="majorBidi" w:hAnsiTheme="majorBidi" w:cstheme="majorBidi"/>
          <w:position w:val="2"/>
        </w:rPr>
        <w:t>0.5%)</w:t>
      </w:r>
    </w:p>
    <w:p w:rsidR="00BB11D1" w:rsidRPr="00BB11D1" w:rsidRDefault="00BB11D1" w:rsidP="00BB11D1">
      <w:pPr>
        <w:pStyle w:val="BodyText"/>
        <w:numPr>
          <w:ilvl w:val="0"/>
          <w:numId w:val="17"/>
        </w:numPr>
        <w:bidi/>
        <w:spacing w:line="480" w:lineRule="auto"/>
        <w:jc w:val="both"/>
        <w:rPr>
          <w:rFonts w:asciiTheme="majorBidi" w:hAnsiTheme="majorBidi" w:cstheme="majorBidi"/>
        </w:rPr>
      </w:pPr>
      <w:r w:rsidRPr="00BB11D1">
        <w:rPr>
          <w:rFonts w:asciiTheme="majorBidi" w:hAnsiTheme="majorBidi" w:cstheme="majorBidi"/>
          <w:rtl/>
          <w:lang w:bidi="ar-SA"/>
        </w:rPr>
        <w:t xml:space="preserve"> إذا كان المرء يشعر بالقلق إزاء النجاح الكبير للغاية لـ </w:t>
      </w:r>
      <w:r w:rsidRPr="00BB11D1">
        <w:rPr>
          <w:rFonts w:asciiTheme="majorBidi" w:hAnsiTheme="majorBidi" w:cstheme="majorBidi"/>
        </w:rPr>
        <w:t>CBDC</w:t>
      </w:r>
      <w:r w:rsidRPr="00BB11D1">
        <w:rPr>
          <w:rFonts w:asciiTheme="majorBidi" w:hAnsiTheme="majorBidi" w:cstheme="majorBidi"/>
          <w:rtl/>
          <w:lang w:bidi="ar-SA"/>
        </w:rPr>
        <w:t xml:space="preserve"> والتوسع الهيكلي و / أو الدوري للنظام المصرفي ، فيمكن للمرء تطبيق</w:t>
      </w:r>
    </w:p>
    <w:p w:rsidR="00BB11D1" w:rsidRPr="00BB11D1" w:rsidRDefault="00BB11D1" w:rsidP="00BB11D1">
      <w:pPr>
        <w:pStyle w:val="BodyText"/>
        <w:bidi/>
        <w:spacing w:line="480" w:lineRule="auto"/>
        <w:ind w:left="720"/>
        <w:jc w:val="both"/>
        <w:rPr>
          <w:rFonts w:asciiTheme="majorBidi" w:hAnsiTheme="majorBidi" w:cstheme="majorBidi"/>
        </w:rPr>
      </w:pPr>
      <w:r w:rsidRPr="00BB11D1">
        <w:rPr>
          <w:rFonts w:asciiTheme="majorBidi" w:hAnsiTheme="majorBidi" w:cstheme="majorBidi"/>
          <w:position w:val="2"/>
        </w:rPr>
        <w:t>r</w:t>
      </w:r>
      <w:r w:rsidRPr="00BB11D1">
        <w:rPr>
          <w:rFonts w:asciiTheme="majorBidi" w:hAnsiTheme="majorBidi" w:cstheme="majorBidi"/>
          <w:sz w:val="14"/>
        </w:rPr>
        <w:t>1</w:t>
      </w:r>
      <w:r w:rsidRPr="00BB11D1">
        <w:rPr>
          <w:rFonts w:asciiTheme="majorBidi" w:hAnsiTheme="majorBidi" w:cstheme="majorBidi"/>
          <w:spacing w:val="-10"/>
          <w:sz w:val="14"/>
        </w:rPr>
        <w:t xml:space="preserve"> </w:t>
      </w:r>
      <w:r w:rsidRPr="00BB11D1">
        <w:rPr>
          <w:rFonts w:asciiTheme="majorBidi" w:hAnsiTheme="majorBidi" w:cstheme="majorBidi"/>
          <w:position w:val="2"/>
        </w:rPr>
        <w:t>=</w:t>
      </w:r>
      <w:r w:rsidRPr="00BB11D1">
        <w:rPr>
          <w:rFonts w:asciiTheme="majorBidi" w:hAnsiTheme="majorBidi" w:cstheme="majorBidi"/>
          <w:spacing w:val="-32"/>
          <w:position w:val="2"/>
        </w:rPr>
        <w:t xml:space="preserve"> </w:t>
      </w:r>
      <w:proofErr w:type="gramStart"/>
      <w:r w:rsidRPr="00BB11D1">
        <w:rPr>
          <w:rFonts w:asciiTheme="majorBidi" w:hAnsiTheme="majorBidi" w:cstheme="majorBidi"/>
          <w:position w:val="2"/>
        </w:rPr>
        <w:t>max(</w:t>
      </w:r>
      <w:proofErr w:type="gramEnd"/>
      <w:r w:rsidRPr="00BB11D1">
        <w:rPr>
          <w:rFonts w:asciiTheme="majorBidi" w:hAnsiTheme="majorBidi" w:cstheme="majorBidi"/>
          <w:position w:val="2"/>
        </w:rPr>
        <w:t>0,</w:t>
      </w:r>
      <w:r w:rsidRPr="00BB11D1">
        <w:rPr>
          <w:rFonts w:asciiTheme="majorBidi" w:hAnsiTheme="majorBidi" w:cstheme="majorBidi"/>
          <w:spacing w:val="-31"/>
          <w:position w:val="2"/>
        </w:rPr>
        <w:t xml:space="preserve"> </w:t>
      </w:r>
      <w:r w:rsidRPr="00BB11D1">
        <w:rPr>
          <w:rFonts w:asciiTheme="majorBidi" w:hAnsiTheme="majorBidi" w:cstheme="majorBidi"/>
          <w:position w:val="2"/>
        </w:rPr>
        <w:t>i</w:t>
      </w:r>
      <w:r w:rsidRPr="00BB11D1">
        <w:rPr>
          <w:rFonts w:asciiTheme="majorBidi" w:hAnsiTheme="majorBidi" w:cstheme="majorBidi"/>
          <w:sz w:val="14"/>
        </w:rPr>
        <w:t>DFR</w:t>
      </w:r>
      <w:r w:rsidRPr="00BB11D1">
        <w:rPr>
          <w:rFonts w:asciiTheme="majorBidi" w:hAnsiTheme="majorBidi" w:cstheme="majorBidi"/>
          <w:position w:val="2"/>
        </w:rPr>
        <w:t>-2%);</w:t>
      </w:r>
      <w:r w:rsidRPr="00BB11D1">
        <w:rPr>
          <w:rFonts w:asciiTheme="majorBidi" w:hAnsiTheme="majorBidi" w:cstheme="majorBidi"/>
          <w:spacing w:val="-31"/>
          <w:position w:val="2"/>
        </w:rPr>
        <w:t xml:space="preserve"> </w:t>
      </w:r>
      <w:r w:rsidRPr="00BB11D1">
        <w:rPr>
          <w:rFonts w:asciiTheme="majorBidi" w:hAnsiTheme="majorBidi" w:cstheme="majorBidi"/>
          <w:position w:val="2"/>
        </w:rPr>
        <w:t>r</w:t>
      </w:r>
      <w:r w:rsidRPr="00BB11D1">
        <w:rPr>
          <w:rFonts w:asciiTheme="majorBidi" w:hAnsiTheme="majorBidi" w:cstheme="majorBidi"/>
          <w:sz w:val="14"/>
        </w:rPr>
        <w:t>2</w:t>
      </w:r>
      <w:r w:rsidRPr="00BB11D1">
        <w:rPr>
          <w:rFonts w:asciiTheme="majorBidi" w:hAnsiTheme="majorBidi" w:cstheme="majorBidi"/>
          <w:spacing w:val="-10"/>
          <w:sz w:val="14"/>
        </w:rPr>
        <w:t xml:space="preserve"> </w:t>
      </w:r>
      <w:r w:rsidRPr="00BB11D1">
        <w:rPr>
          <w:rFonts w:asciiTheme="majorBidi" w:hAnsiTheme="majorBidi" w:cstheme="majorBidi"/>
          <w:position w:val="2"/>
        </w:rPr>
        <w:t>=</w:t>
      </w:r>
      <w:r w:rsidRPr="00BB11D1">
        <w:rPr>
          <w:rFonts w:asciiTheme="majorBidi" w:hAnsiTheme="majorBidi" w:cstheme="majorBidi"/>
          <w:spacing w:val="-31"/>
          <w:position w:val="2"/>
        </w:rPr>
        <w:t xml:space="preserve"> </w:t>
      </w:r>
      <w:r w:rsidRPr="00BB11D1">
        <w:rPr>
          <w:rFonts w:asciiTheme="majorBidi" w:hAnsiTheme="majorBidi" w:cstheme="majorBidi"/>
          <w:position w:val="2"/>
        </w:rPr>
        <w:t>min(0, i</w:t>
      </w:r>
      <w:r w:rsidRPr="00BB11D1">
        <w:rPr>
          <w:rFonts w:asciiTheme="majorBidi" w:hAnsiTheme="majorBidi" w:cstheme="majorBidi"/>
          <w:sz w:val="14"/>
        </w:rPr>
        <w:t xml:space="preserve">DFR </w:t>
      </w:r>
      <w:r w:rsidRPr="00BB11D1">
        <w:rPr>
          <w:rFonts w:asciiTheme="majorBidi" w:hAnsiTheme="majorBidi" w:cstheme="majorBidi"/>
          <w:position w:val="2"/>
        </w:rPr>
        <w:t>–</w:t>
      </w:r>
      <w:r w:rsidRPr="00BB11D1">
        <w:rPr>
          <w:rFonts w:asciiTheme="majorBidi" w:hAnsiTheme="majorBidi" w:cstheme="majorBidi"/>
          <w:spacing w:val="-3"/>
          <w:position w:val="2"/>
        </w:rPr>
        <w:t xml:space="preserve"> </w:t>
      </w:r>
      <w:r w:rsidRPr="00BB11D1">
        <w:rPr>
          <w:rFonts w:asciiTheme="majorBidi" w:hAnsiTheme="majorBidi" w:cstheme="majorBidi"/>
          <w:position w:val="2"/>
        </w:rPr>
        <w:t>2%)</w:t>
      </w:r>
    </w:p>
    <w:p w:rsidR="00BB11D1" w:rsidRDefault="00BB11D1" w:rsidP="00BB11D1">
      <w:pPr>
        <w:pStyle w:val="ListParagraph"/>
        <w:numPr>
          <w:ilvl w:val="0"/>
          <w:numId w:val="17"/>
        </w:numPr>
        <w:tabs>
          <w:tab w:val="left" w:pos="970"/>
        </w:tabs>
        <w:bidi/>
        <w:spacing w:line="251" w:lineRule="exact"/>
        <w:ind w:right="765"/>
        <w:rPr>
          <w:rFonts w:asciiTheme="majorBidi" w:hAnsiTheme="majorBidi" w:cstheme="majorBidi"/>
        </w:rPr>
      </w:pPr>
      <w:r w:rsidRPr="00BB11D1">
        <w:rPr>
          <w:rFonts w:asciiTheme="majorBidi" w:hAnsiTheme="majorBidi" w:cstheme="majorBidi"/>
          <w:rtl/>
          <w:lang w:bidi="ar-SA"/>
        </w:rPr>
        <w:t xml:space="preserve">إذا أراد المرء أن يتأكد من أن المستوى 1 جذاب ، ولكن في نفس الوقت قلق بشأن عدم التدخل من خلال </w:t>
      </w:r>
      <w:r w:rsidRPr="00BB11D1">
        <w:rPr>
          <w:rFonts w:asciiTheme="majorBidi" w:hAnsiTheme="majorBidi" w:cstheme="majorBidi"/>
        </w:rPr>
        <w:t>CBDC</w:t>
      </w:r>
      <w:r w:rsidRPr="00BB11D1">
        <w:rPr>
          <w:rFonts w:asciiTheme="majorBidi" w:hAnsiTheme="majorBidi" w:cstheme="majorBidi"/>
          <w:rtl/>
          <w:lang w:bidi="ar-SA"/>
        </w:rPr>
        <w:t xml:space="preserve"> كبير جدًا ، يمكن للمرء أن يذهب ل</w:t>
      </w:r>
    </w:p>
    <w:p w:rsidR="00BB11D1" w:rsidRPr="00BB11D1" w:rsidRDefault="00BB11D1" w:rsidP="00BB11D1">
      <w:pPr>
        <w:pStyle w:val="ListParagraph"/>
        <w:tabs>
          <w:tab w:val="left" w:pos="970"/>
        </w:tabs>
        <w:bidi/>
        <w:spacing w:line="251" w:lineRule="exact"/>
        <w:ind w:left="720" w:right="765" w:firstLine="0"/>
        <w:rPr>
          <w:rFonts w:asciiTheme="majorBidi" w:hAnsiTheme="majorBidi" w:cstheme="majorBidi"/>
        </w:rPr>
      </w:pPr>
    </w:p>
    <w:p w:rsidR="00BB11D1" w:rsidRPr="00BB11D1" w:rsidRDefault="00BB11D1" w:rsidP="00BB11D1">
      <w:pPr>
        <w:pStyle w:val="ListParagraph"/>
        <w:tabs>
          <w:tab w:val="left" w:pos="970"/>
        </w:tabs>
        <w:bidi/>
        <w:spacing w:line="254" w:lineRule="auto"/>
        <w:ind w:right="765" w:firstLine="0"/>
        <w:rPr>
          <w:rFonts w:asciiTheme="majorBidi" w:hAnsiTheme="majorBidi" w:cstheme="majorBidi"/>
        </w:rPr>
      </w:pPr>
      <w:r w:rsidRPr="00BB11D1">
        <w:rPr>
          <w:rFonts w:asciiTheme="majorBidi" w:hAnsiTheme="majorBidi" w:cstheme="majorBidi"/>
          <w:w w:val="95"/>
          <w:position w:val="2"/>
        </w:rPr>
        <w:t>r</w:t>
      </w:r>
      <w:r w:rsidRPr="00BB11D1">
        <w:rPr>
          <w:rFonts w:asciiTheme="majorBidi" w:hAnsiTheme="majorBidi" w:cstheme="majorBidi"/>
          <w:w w:val="95"/>
          <w:sz w:val="14"/>
        </w:rPr>
        <w:t>1</w:t>
      </w:r>
      <w:r w:rsidRPr="00BB11D1">
        <w:rPr>
          <w:rFonts w:asciiTheme="majorBidi" w:hAnsiTheme="majorBidi" w:cstheme="majorBidi"/>
          <w:spacing w:val="-2"/>
          <w:w w:val="95"/>
          <w:sz w:val="14"/>
        </w:rPr>
        <w:t xml:space="preserve"> </w:t>
      </w:r>
      <w:r w:rsidRPr="00BB11D1">
        <w:rPr>
          <w:rFonts w:asciiTheme="majorBidi" w:hAnsiTheme="majorBidi" w:cstheme="majorBidi"/>
          <w:w w:val="95"/>
          <w:position w:val="2"/>
        </w:rPr>
        <w:t>=</w:t>
      </w:r>
      <w:r w:rsidRPr="00BB11D1">
        <w:rPr>
          <w:rFonts w:asciiTheme="majorBidi" w:hAnsiTheme="majorBidi" w:cstheme="majorBidi"/>
          <w:spacing w:val="-21"/>
          <w:w w:val="95"/>
          <w:position w:val="2"/>
        </w:rPr>
        <w:t xml:space="preserve"> </w:t>
      </w:r>
      <w:proofErr w:type="gramStart"/>
      <w:r w:rsidRPr="00BB11D1">
        <w:rPr>
          <w:rFonts w:asciiTheme="majorBidi" w:hAnsiTheme="majorBidi" w:cstheme="majorBidi"/>
          <w:w w:val="95"/>
          <w:position w:val="2"/>
        </w:rPr>
        <w:t>max(</w:t>
      </w:r>
      <w:proofErr w:type="gramEnd"/>
      <w:r w:rsidRPr="00BB11D1">
        <w:rPr>
          <w:rFonts w:asciiTheme="majorBidi" w:hAnsiTheme="majorBidi" w:cstheme="majorBidi"/>
          <w:w w:val="95"/>
          <w:position w:val="2"/>
        </w:rPr>
        <w:t>0,</w:t>
      </w:r>
      <w:r w:rsidRPr="00BB11D1">
        <w:rPr>
          <w:rFonts w:asciiTheme="majorBidi" w:hAnsiTheme="majorBidi" w:cstheme="majorBidi"/>
          <w:spacing w:val="-22"/>
          <w:w w:val="95"/>
          <w:position w:val="2"/>
        </w:rPr>
        <w:t xml:space="preserve"> </w:t>
      </w:r>
      <w:r w:rsidRPr="00BB11D1">
        <w:rPr>
          <w:rFonts w:asciiTheme="majorBidi" w:hAnsiTheme="majorBidi" w:cstheme="majorBidi"/>
          <w:w w:val="95"/>
          <w:position w:val="2"/>
        </w:rPr>
        <w:t>i</w:t>
      </w:r>
      <w:r w:rsidRPr="00BB11D1">
        <w:rPr>
          <w:rFonts w:asciiTheme="majorBidi" w:hAnsiTheme="majorBidi" w:cstheme="majorBidi"/>
          <w:w w:val="95"/>
          <w:sz w:val="14"/>
        </w:rPr>
        <w:t>DFR</w:t>
      </w:r>
      <w:r w:rsidRPr="00BB11D1">
        <w:rPr>
          <w:rFonts w:asciiTheme="majorBidi" w:hAnsiTheme="majorBidi" w:cstheme="majorBidi"/>
          <w:w w:val="95"/>
          <w:position w:val="2"/>
        </w:rPr>
        <w:t>);</w:t>
      </w:r>
      <w:r w:rsidRPr="00BB11D1">
        <w:rPr>
          <w:rFonts w:asciiTheme="majorBidi" w:hAnsiTheme="majorBidi" w:cstheme="majorBidi"/>
          <w:spacing w:val="-21"/>
          <w:w w:val="95"/>
          <w:position w:val="2"/>
        </w:rPr>
        <w:t xml:space="preserve"> </w:t>
      </w:r>
      <w:r w:rsidRPr="00BB11D1">
        <w:rPr>
          <w:rFonts w:asciiTheme="majorBidi" w:hAnsiTheme="majorBidi" w:cstheme="majorBidi"/>
          <w:w w:val="95"/>
          <w:position w:val="2"/>
        </w:rPr>
        <w:t>r</w:t>
      </w:r>
      <w:r w:rsidRPr="00BB11D1">
        <w:rPr>
          <w:rFonts w:asciiTheme="majorBidi" w:hAnsiTheme="majorBidi" w:cstheme="majorBidi"/>
          <w:w w:val="95"/>
          <w:sz w:val="14"/>
        </w:rPr>
        <w:t>2</w:t>
      </w:r>
      <w:r w:rsidRPr="00BB11D1">
        <w:rPr>
          <w:rFonts w:asciiTheme="majorBidi" w:hAnsiTheme="majorBidi" w:cstheme="majorBidi"/>
          <w:spacing w:val="-1"/>
          <w:w w:val="95"/>
          <w:sz w:val="14"/>
        </w:rPr>
        <w:t xml:space="preserve"> </w:t>
      </w:r>
      <w:r w:rsidRPr="00BB11D1">
        <w:rPr>
          <w:rFonts w:asciiTheme="majorBidi" w:hAnsiTheme="majorBidi" w:cstheme="majorBidi"/>
          <w:w w:val="95"/>
          <w:position w:val="2"/>
        </w:rPr>
        <w:t>=</w:t>
      </w:r>
      <w:r w:rsidRPr="00BB11D1">
        <w:rPr>
          <w:rFonts w:asciiTheme="majorBidi" w:hAnsiTheme="majorBidi" w:cstheme="majorBidi"/>
          <w:spacing w:val="-22"/>
          <w:w w:val="95"/>
          <w:position w:val="2"/>
        </w:rPr>
        <w:t xml:space="preserve"> </w:t>
      </w:r>
      <w:r w:rsidRPr="00BB11D1">
        <w:rPr>
          <w:rFonts w:asciiTheme="majorBidi" w:hAnsiTheme="majorBidi" w:cstheme="majorBidi"/>
          <w:w w:val="95"/>
          <w:position w:val="2"/>
        </w:rPr>
        <w:t>min(0,</w:t>
      </w:r>
      <w:r w:rsidRPr="00BB11D1">
        <w:rPr>
          <w:rFonts w:asciiTheme="majorBidi" w:hAnsiTheme="majorBidi" w:cstheme="majorBidi"/>
          <w:spacing w:val="-21"/>
          <w:w w:val="95"/>
          <w:position w:val="2"/>
        </w:rPr>
        <w:t xml:space="preserve"> </w:t>
      </w:r>
      <w:r w:rsidRPr="00BB11D1">
        <w:rPr>
          <w:rFonts w:asciiTheme="majorBidi" w:hAnsiTheme="majorBidi" w:cstheme="majorBidi"/>
          <w:w w:val="95"/>
          <w:position w:val="2"/>
        </w:rPr>
        <w:t>i</w:t>
      </w:r>
      <w:r w:rsidRPr="00BB11D1">
        <w:rPr>
          <w:rFonts w:asciiTheme="majorBidi" w:hAnsiTheme="majorBidi" w:cstheme="majorBidi"/>
          <w:w w:val="95"/>
          <w:sz w:val="14"/>
        </w:rPr>
        <w:t>DFR</w:t>
      </w:r>
      <w:r w:rsidRPr="00BB11D1">
        <w:rPr>
          <w:rFonts w:asciiTheme="majorBidi" w:hAnsiTheme="majorBidi" w:cstheme="majorBidi"/>
        </w:rPr>
        <w:t>– 2%)</w:t>
      </w:r>
    </w:p>
    <w:p w:rsidR="00BB11D1" w:rsidRPr="00BB11D1" w:rsidRDefault="00BB11D1" w:rsidP="00BB11D1">
      <w:pPr>
        <w:pStyle w:val="BodyText"/>
        <w:bidi/>
        <w:spacing w:line="480" w:lineRule="auto"/>
        <w:jc w:val="both"/>
        <w:rPr>
          <w:rFonts w:asciiTheme="majorBidi" w:hAnsiTheme="majorBidi" w:cstheme="majorBidi"/>
          <w:rtl/>
          <w:lang w:bidi="ar-LB"/>
        </w:rPr>
      </w:pPr>
    </w:p>
    <w:p w:rsidR="00BB11D1"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يمكن تغيير الصيغ إذا اقتضت الظروف ذلك ، باستثناء كمية الطبقة الواحدة لكل شخص طبيعي محلي ، وعدم سلبية أو تعويض تلك الطبقة (على كلا الجانبين كان البنك المركزي قد تعهد بعدم تفاقمها). على سبيل المثال ، في أزمة مصرفية شديدة مثل الأزمة الناجمة عن التخلف عن السداد ليمان ، يمكن تخفيض معدلات الأجور من الدرجة الثانية بشكل مؤقت ، مثل -5٪ أو حتى -10٪.</w:t>
      </w:r>
    </w:p>
    <w:p w:rsidR="00BB11D1" w:rsidRPr="00BB11D1" w:rsidRDefault="00BB11D1">
      <w:pPr>
        <w:rPr>
          <w:rFonts w:asciiTheme="majorBidi" w:hAnsiTheme="majorBidi" w:cstheme="majorBidi"/>
          <w:rtl/>
          <w:lang w:bidi="ar-SA"/>
        </w:rPr>
      </w:pPr>
    </w:p>
    <w:p w:rsidR="000255A4" w:rsidRPr="00BB11D1" w:rsidRDefault="000255A4" w:rsidP="006A2441">
      <w:pPr>
        <w:pStyle w:val="BodyText"/>
        <w:bidi/>
        <w:rPr>
          <w:rFonts w:asciiTheme="majorBidi" w:hAnsiTheme="majorBidi" w:cstheme="majorBidi"/>
          <w:sz w:val="25"/>
        </w:rPr>
      </w:pPr>
    </w:p>
    <w:p w:rsidR="000255A4" w:rsidRPr="00BB11D1" w:rsidRDefault="00BB11D1" w:rsidP="00BB11D1">
      <w:pPr>
        <w:pStyle w:val="Heading1"/>
        <w:numPr>
          <w:ilvl w:val="0"/>
          <w:numId w:val="13"/>
        </w:numPr>
        <w:tabs>
          <w:tab w:val="left" w:pos="570"/>
        </w:tabs>
        <w:bidi/>
        <w:spacing w:line="480" w:lineRule="auto"/>
        <w:ind w:left="569" w:hanging="321"/>
        <w:rPr>
          <w:rFonts w:asciiTheme="majorBidi" w:hAnsiTheme="majorBidi" w:cstheme="majorBidi"/>
        </w:rPr>
      </w:pPr>
      <w:r w:rsidRPr="00BB11D1">
        <w:rPr>
          <w:rFonts w:asciiTheme="majorBidi" w:hAnsiTheme="majorBidi" w:cstheme="majorBidi"/>
          <w:rtl/>
          <w:lang w:bidi="ar-SA"/>
        </w:rPr>
        <w:t>و</w:t>
      </w:r>
      <w:r w:rsidR="009C2E3C" w:rsidRPr="00BB11D1">
        <w:rPr>
          <w:rFonts w:asciiTheme="majorBidi" w:hAnsiTheme="majorBidi" w:cstheme="majorBidi"/>
          <w:rtl/>
          <w:lang w:bidi="ar-SA"/>
        </w:rPr>
        <w:t>ساطة</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البنوك</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مع</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انخفاض</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حجم</w:t>
      </w:r>
      <w:r w:rsidR="009C2E3C" w:rsidRPr="00BB11D1">
        <w:rPr>
          <w:rFonts w:asciiTheme="majorBidi" w:hAnsiTheme="majorBidi" w:cstheme="majorBidi"/>
        </w:rPr>
        <w:t xml:space="preserve"> CBDC</w:t>
      </w:r>
      <w:r w:rsidR="009C2E3C" w:rsidRPr="00BB11D1">
        <w:rPr>
          <w:rFonts w:asciiTheme="majorBidi" w:hAnsiTheme="majorBidi" w:cstheme="majorBidi"/>
          <w:rtl/>
          <w:lang w:bidi="ar-SA"/>
        </w:rPr>
        <w:t>؟</w:t>
      </w:r>
    </w:p>
    <w:p w:rsidR="00BB11D1" w:rsidRPr="00BB11D1" w:rsidRDefault="00BB11D1" w:rsidP="00BB11D1">
      <w:pPr>
        <w:pStyle w:val="BodyText"/>
        <w:bidi/>
        <w:spacing w:before="7"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لا يعتمد جاذبية </w:t>
      </w:r>
      <w:r w:rsidRPr="00BB11D1">
        <w:rPr>
          <w:rFonts w:asciiTheme="majorBidi" w:hAnsiTheme="majorBidi" w:cstheme="majorBidi"/>
        </w:rPr>
        <w:t>CBDC</w:t>
      </w:r>
      <w:r w:rsidRPr="00BB11D1">
        <w:rPr>
          <w:rFonts w:asciiTheme="majorBidi" w:hAnsiTheme="majorBidi" w:cstheme="majorBidi"/>
          <w:rtl/>
          <w:lang w:bidi="ar-SA"/>
        </w:rPr>
        <w:t xml:space="preserve"> لأغراض الدفع فقط على مبلغ </w:t>
      </w:r>
      <w:r w:rsidRPr="00BB11D1">
        <w:rPr>
          <w:rFonts w:asciiTheme="majorBidi" w:hAnsiTheme="majorBidi" w:cstheme="majorBidi"/>
        </w:rPr>
        <w:t>CBDC</w:t>
      </w:r>
      <w:r w:rsidRPr="00BB11D1">
        <w:rPr>
          <w:rFonts w:asciiTheme="majorBidi" w:hAnsiTheme="majorBidi" w:cstheme="majorBidi"/>
          <w:rtl/>
          <w:lang w:bidi="ar-SA"/>
        </w:rPr>
        <w:t xml:space="preserve"> الذي سيتم دفعه على مستوى جذاب إلى حد ما ، ولكن أيضًا على الميزات الأخرى لاستخدام </w:t>
      </w:r>
      <w:r w:rsidRPr="00BB11D1">
        <w:rPr>
          <w:rFonts w:asciiTheme="majorBidi" w:hAnsiTheme="majorBidi" w:cstheme="majorBidi"/>
        </w:rPr>
        <w:t>CBDC</w:t>
      </w:r>
      <w:r w:rsidRPr="00BB11D1">
        <w:rPr>
          <w:rFonts w:asciiTheme="majorBidi" w:hAnsiTheme="majorBidi" w:cstheme="majorBidi"/>
          <w:rtl/>
          <w:lang w:bidi="ar-SA"/>
        </w:rPr>
        <w:t xml:space="preserve"> كوسيلة للدفع. سيكون من المهم على وجه الخصوص ما إذا كانت خدمات حساب </w:t>
      </w:r>
      <w:r w:rsidRPr="00BB11D1">
        <w:rPr>
          <w:rFonts w:asciiTheme="majorBidi" w:hAnsiTheme="majorBidi" w:cstheme="majorBidi"/>
        </w:rPr>
        <w:t>CBDC</w:t>
      </w:r>
      <w:r w:rsidRPr="00BB11D1">
        <w:rPr>
          <w:rFonts w:asciiTheme="majorBidi" w:hAnsiTheme="majorBidi" w:cstheme="majorBidi"/>
          <w:rtl/>
          <w:lang w:bidi="ar-SA"/>
        </w:rPr>
        <w:t xml:space="preserve"> تشمل الخدمات التي تودع حسابات لدى البنوك التجارية التي تقدم عادة ، مثل الوصول إلى الإنترنت عن بعد ، والهواتف المحمولة والبطاقات ، والمدفوعات الدورية لحسابات أخرى ، وأوامر الخصم ، والحد الأقصى المعرف من قبل المستخدم لأنواع مختلفة من التحويلات وما إلى ذلك ، ستكون القدرة على ربط الحساب بحسابات الوسطاء الذين يقدمون مجموعة كاملة من الخدمات الاستثمارية ذات صلة أيضًا. في أي حال ، من المفترض أن البنك المركزي لن يقدم خدمات مصرفية متقدمة أخرى (تحويلات العملات الأجنبية ، عمليات الصرف الأجنبي ، المشتقات ، إلخ) لذلك سيظل هناك فرق بالنسبة إلى حجم الخدمات التي تقدمها البنوك التجارية. قد يكون الدافع وراء الاختيار بين اختلاف أصغر أو أكبر في البداية أيضًا اعتبارات تتعلق بالآثار المحتملة على البنوك التجارية. على المدى الطويل ، لا ينبغي أن يكون هذا الأمر مهمًا ، أي إذا كان توفير خدمات معينة ممكنًا بتكاليف منخفضة للوحدة لحسابات </w:t>
      </w:r>
      <w:r w:rsidRPr="00BB11D1">
        <w:rPr>
          <w:rFonts w:asciiTheme="majorBidi" w:hAnsiTheme="majorBidi" w:cstheme="majorBidi"/>
        </w:rPr>
        <w:t>CBDC</w:t>
      </w:r>
      <w:r w:rsidRPr="00BB11D1">
        <w:rPr>
          <w:rFonts w:asciiTheme="majorBidi" w:hAnsiTheme="majorBidi" w:cstheme="majorBidi"/>
          <w:rtl/>
          <w:lang w:bidi="ar-SA"/>
        </w:rPr>
        <w:t xml:space="preserve"> أيضًا بسبب العدد الكبير للحسابات ، فقد يستنتج البنك المركزي أنه من المشروع تقديم هذه الخدمات. ، حتى لو كان في منافسة مع البنوك التجارية.</w:t>
      </w:r>
    </w:p>
    <w:p w:rsidR="00BB11D1" w:rsidRPr="00BB11D1" w:rsidRDefault="00BB11D1" w:rsidP="00BB11D1">
      <w:pPr>
        <w:pStyle w:val="BodyText"/>
        <w:bidi/>
        <w:spacing w:before="7" w:line="480" w:lineRule="auto"/>
        <w:jc w:val="both"/>
        <w:rPr>
          <w:rFonts w:asciiTheme="majorBidi" w:hAnsiTheme="majorBidi" w:cstheme="majorBidi"/>
          <w:rtl/>
          <w:lang w:bidi="ar-LB"/>
        </w:rPr>
      </w:pPr>
      <w:r w:rsidRPr="00BB11D1">
        <w:rPr>
          <w:rFonts w:asciiTheme="majorBidi" w:hAnsiTheme="majorBidi" w:cstheme="majorBidi"/>
          <w:rtl/>
          <w:lang w:bidi="ar-SA"/>
        </w:rPr>
        <w:t xml:space="preserve">إذا كانت الخدمات التي يقدمها البنك المركزي شاملة نسبيًا ، فعلى الرغم من السيطرة الفعالة على إجمالي مبلغ </w:t>
      </w:r>
      <w:r w:rsidRPr="00BB11D1">
        <w:rPr>
          <w:rFonts w:asciiTheme="majorBidi" w:hAnsiTheme="majorBidi" w:cstheme="majorBidi"/>
        </w:rPr>
        <w:t>CBDC</w:t>
      </w:r>
      <w:r w:rsidRPr="00BB11D1">
        <w:rPr>
          <w:rFonts w:asciiTheme="majorBidi" w:hAnsiTheme="majorBidi" w:cstheme="majorBidi"/>
          <w:rtl/>
          <w:lang w:bidi="ar-SA"/>
        </w:rPr>
        <w:t xml:space="preserve"> على مستوى معتدل ، فإن </w:t>
      </w:r>
      <w:r w:rsidRPr="00BB11D1">
        <w:rPr>
          <w:rFonts w:asciiTheme="majorBidi" w:hAnsiTheme="majorBidi" w:cstheme="majorBidi"/>
        </w:rPr>
        <w:t>CBDC</w:t>
      </w:r>
      <w:r w:rsidRPr="00BB11D1">
        <w:rPr>
          <w:rFonts w:asciiTheme="majorBidi" w:hAnsiTheme="majorBidi" w:cstheme="majorBidi"/>
          <w:rtl/>
          <w:lang w:bidi="ar-SA"/>
        </w:rPr>
        <w:t xml:space="preserve"> لا يزال يخاطر بتقويض دور النظام المصرفي لأن حصة أعلى من مستثمري التجزئة ستكون على ما يرام الجمع بين حساب البنك المركزي مع خدمات شركة الخدمات المالية غير المصرفية ، ولم يعد لديك أي حساب إيداع بنكي. في هذه الحالة ، قد يظل طول الميزانية العمومية للبنك المركزي محدودًا ، لكن قد يتناقص طول الميزانية العمومية للبنوك لصالح الوساطة المالية غير المصرفية من خلال وسطاء الأوراق المالية وشركات التأمين وصناديق الاستثمار المشتركة.</w:t>
      </w:r>
    </w:p>
    <w:p w:rsidR="00BB11D1" w:rsidRPr="00BB11D1" w:rsidRDefault="00BB11D1" w:rsidP="00BB11D1">
      <w:pPr>
        <w:pStyle w:val="BodyText"/>
        <w:bidi/>
        <w:spacing w:before="7"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يوضح النظام التالي للحسابات المالية مثل هذه الحالة التي يتم فيها التحكم في الكمية الإجمالية للـ </w:t>
      </w:r>
      <w:r w:rsidRPr="00BB11D1">
        <w:rPr>
          <w:rFonts w:asciiTheme="majorBidi" w:hAnsiTheme="majorBidi" w:cstheme="majorBidi"/>
        </w:rPr>
        <w:t>CBDC</w:t>
      </w:r>
      <w:r w:rsidRPr="00BB11D1">
        <w:rPr>
          <w:rFonts w:asciiTheme="majorBidi" w:hAnsiTheme="majorBidi" w:cstheme="majorBidi"/>
          <w:rtl/>
          <w:lang w:bidi="ar-SA"/>
        </w:rPr>
        <w:t xml:space="preserve"> جيدًا ، ولكن مع ذلك يتم فصل النظام المصرفي لأنه لم تعد هناك حاجة إلى خدمات الودائع في الأفق. يُفترض الآن أن إنشاء </w:t>
      </w:r>
      <w:r w:rsidRPr="00BB11D1">
        <w:rPr>
          <w:rFonts w:asciiTheme="majorBidi" w:hAnsiTheme="majorBidi" w:cstheme="majorBidi"/>
        </w:rPr>
        <w:t>CBDC</w:t>
      </w:r>
      <w:r w:rsidRPr="00BB11D1">
        <w:rPr>
          <w:rFonts w:asciiTheme="majorBidi" w:hAnsiTheme="majorBidi" w:cstheme="majorBidi"/>
          <w:rtl/>
          <w:lang w:bidi="ar-SA"/>
        </w:rPr>
        <w:t xml:space="preserve"> يكون بالكامل على حساب تداول الأوراق النقدية فقط ، بحيث لا يكون له أي تأثير على الحسابات المالية للبنوك (بمعنى أنه من النوع </w:t>
      </w:r>
      <w:r w:rsidRPr="00BB11D1">
        <w:rPr>
          <w:rFonts w:asciiTheme="majorBidi" w:hAnsiTheme="majorBidi" w:cstheme="majorBidi"/>
          <w:color w:val="00B050"/>
        </w:rPr>
        <w:t>CBDC1</w:t>
      </w:r>
      <w:r w:rsidRPr="00BB11D1">
        <w:rPr>
          <w:rFonts w:asciiTheme="majorBidi" w:hAnsiTheme="majorBidi" w:cstheme="majorBidi"/>
          <w:rtl/>
          <w:lang w:bidi="ar-SA"/>
        </w:rPr>
        <w:t xml:space="preserve">). يلتقط متغير </w:t>
      </w:r>
      <w:r w:rsidRPr="00BB11D1">
        <w:rPr>
          <w:rFonts w:asciiTheme="majorBidi" w:hAnsiTheme="majorBidi" w:cstheme="majorBidi"/>
          <w:color w:val="FF0000"/>
        </w:rPr>
        <w:t>SUBST</w:t>
      </w:r>
      <w:r w:rsidRPr="00BB11D1">
        <w:rPr>
          <w:rFonts w:asciiTheme="majorBidi" w:hAnsiTheme="majorBidi" w:cstheme="majorBidi"/>
          <w:rtl/>
          <w:lang w:bidi="ar-SA"/>
        </w:rPr>
        <w:t xml:space="preserve"> الوساطة المحتملة للنظام المصرفي ، بمعنى أن المؤسسات التي تقبل الودائع يمكن أن تخسر عملائها ، وذلك لصالح مزودي الخدمات المالية غير المصرفية. من المفترض أن تستفيد الشركات المالية غير المصرفية المستفيدة أيضًا من جزء من أعمال القروض الخاصة بالبنوك ، وربما تركز على تأمين القروض أو القروض المشتركة أو تمويل مشروعات البنية التحتية الضخمة وما إلى ذلك. لا يظهر مرة أخرى حيث يفترض أنها غير متأثرة.</w:t>
      </w:r>
    </w:p>
    <w:p w:rsidR="000255A4" w:rsidRPr="00BB11D1" w:rsidRDefault="00BB11D1" w:rsidP="00BB11D1">
      <w:pPr>
        <w:pStyle w:val="BodyText"/>
        <w:bidi/>
        <w:spacing w:before="2" w:line="480" w:lineRule="auto"/>
        <w:jc w:val="both"/>
        <w:rPr>
          <w:rFonts w:asciiTheme="majorBidi" w:hAnsiTheme="majorBidi" w:cstheme="majorBidi"/>
          <w:sz w:val="23"/>
          <w:rtl/>
          <w:lang w:bidi="ar-SA"/>
        </w:rPr>
      </w:pPr>
      <w:r w:rsidRPr="00BB11D1">
        <w:rPr>
          <w:rFonts w:asciiTheme="majorBidi" w:hAnsiTheme="majorBidi" w:cstheme="majorBidi"/>
          <w:sz w:val="23"/>
          <w:rtl/>
          <w:lang w:bidi="ar-SA"/>
        </w:rPr>
        <w:t xml:space="preserve">إلى أي مدى ستؤثر عملية الوساطة بين البنوك وتحول الأعمال نحو الوسطاء الماليين غير المصرفيين؟ سوف يعتمد هذا أيضًا على الاختلافات بين المعاملة التنظيمية للمصارف التجارية (مؤسسات أخذ الودائع) والوسطاء الماليين الآخرين ، لأن التنظيم يخلق الفصل </w:t>
      </w:r>
      <w:r w:rsidRPr="00BB11D1">
        <w:rPr>
          <w:rFonts w:asciiTheme="majorBidi" w:hAnsiTheme="majorBidi" w:cstheme="majorBidi"/>
          <w:sz w:val="23"/>
          <w:rtl/>
          <w:lang w:bidi="ar-SA"/>
        </w:rPr>
        <w:lastRenderedPageBreak/>
        <w:t xml:space="preserve">الواضح بين الاثنين. لذلك يتعين على الجهة الرقابية معرفة ما إذا كانت أي تعديلات تنظيمية قد تكون مستصوبة للرد على التغييرات التي تطرأ على الهيكل المالي نتيجة غير مباشرة من قبل </w:t>
      </w:r>
      <w:r w:rsidRPr="00BB11D1">
        <w:rPr>
          <w:rFonts w:asciiTheme="majorBidi" w:hAnsiTheme="majorBidi" w:cstheme="majorBidi"/>
          <w:sz w:val="23"/>
        </w:rPr>
        <w:t>CBDC</w:t>
      </w:r>
      <w:r w:rsidRPr="00BB11D1">
        <w:rPr>
          <w:rFonts w:asciiTheme="majorBidi" w:hAnsiTheme="majorBidi" w:cstheme="majorBidi"/>
          <w:sz w:val="23"/>
          <w:rtl/>
          <w:lang w:bidi="ar-SA"/>
        </w:rPr>
        <w:t xml:space="preserve"> (انظر أيضًا القسم 6 من </w:t>
      </w:r>
      <w:r w:rsidRPr="00BB11D1">
        <w:rPr>
          <w:rFonts w:asciiTheme="majorBidi" w:hAnsiTheme="majorBidi" w:cstheme="majorBidi"/>
          <w:sz w:val="23"/>
        </w:rPr>
        <w:t xml:space="preserve">Juks </w:t>
      </w:r>
      <w:r w:rsidRPr="00BB11D1">
        <w:rPr>
          <w:rFonts w:asciiTheme="majorBidi" w:hAnsiTheme="majorBidi" w:cstheme="majorBidi"/>
          <w:sz w:val="23"/>
          <w:rtl/>
          <w:lang w:bidi="ar-SA"/>
        </w:rPr>
        <w:t xml:space="preserve">، </w:t>
      </w:r>
      <w:r w:rsidRPr="00BB11D1">
        <w:rPr>
          <w:rFonts w:asciiTheme="majorBidi" w:hAnsiTheme="majorBidi" w:cstheme="majorBidi"/>
          <w:sz w:val="23"/>
        </w:rPr>
        <w:t>2018</w:t>
      </w:r>
      <w:r w:rsidRPr="00BB11D1">
        <w:rPr>
          <w:rFonts w:asciiTheme="majorBidi" w:hAnsiTheme="majorBidi" w:cstheme="majorBidi"/>
          <w:sz w:val="23"/>
          <w:rtl/>
          <w:lang w:bidi="ar-SA"/>
        </w:rPr>
        <w:t xml:space="preserve">). بشكل عام ، يجب الاعتراف بأن </w:t>
      </w:r>
      <w:r w:rsidRPr="00BB11D1">
        <w:rPr>
          <w:rFonts w:asciiTheme="majorBidi" w:hAnsiTheme="majorBidi" w:cstheme="majorBidi"/>
          <w:sz w:val="23"/>
        </w:rPr>
        <w:t>CBDC</w:t>
      </w:r>
      <w:r w:rsidRPr="00BB11D1">
        <w:rPr>
          <w:rFonts w:asciiTheme="majorBidi" w:hAnsiTheme="majorBidi" w:cstheme="majorBidi"/>
          <w:sz w:val="23"/>
          <w:rtl/>
          <w:lang w:bidi="ar-SA"/>
        </w:rPr>
        <w:t xml:space="preserve"> سيكون عاملاً آخر يساهم في التغيير في النظام المالي ، وإلى حد ما بشكل مستقل عن المستوى الاسمي الكلي ل </w:t>
      </w:r>
      <w:r w:rsidRPr="00BB11D1">
        <w:rPr>
          <w:rFonts w:asciiTheme="majorBidi" w:hAnsiTheme="majorBidi" w:cstheme="majorBidi"/>
          <w:sz w:val="23"/>
        </w:rPr>
        <w:t>CBDC</w:t>
      </w:r>
      <w:r w:rsidRPr="00BB11D1">
        <w:rPr>
          <w:rFonts w:asciiTheme="majorBidi" w:hAnsiTheme="majorBidi" w:cstheme="majorBidi"/>
          <w:sz w:val="23"/>
          <w:rtl/>
          <w:lang w:bidi="ar-SA"/>
        </w:rPr>
        <w:t xml:space="preserve"> ، وأن هذا قد يشمل تأثيرات على القدرة التنافسية النسبية للبنوك. ومع ذلك ، (1) على أي حال ، هناك تطورات تكنولوجية مختلفة ذات صلة في هذا الصدد تتجاوز </w:t>
      </w:r>
      <w:r>
        <w:rPr>
          <w:rFonts w:asciiTheme="majorBidi" w:hAnsiTheme="majorBidi" w:cstheme="majorBidi"/>
          <w:sz w:val="23"/>
          <w:lang w:bidi="ar-SA"/>
        </w:rPr>
        <w:t>CBDC</w:t>
      </w:r>
      <w:r w:rsidRPr="00BB11D1">
        <w:rPr>
          <w:rFonts w:asciiTheme="majorBidi" w:hAnsiTheme="majorBidi" w:cstheme="majorBidi"/>
          <w:sz w:val="23"/>
          <w:rtl/>
          <w:lang w:bidi="ar-SA"/>
        </w:rPr>
        <w:t xml:space="preserve"> ؛ (2) في حد ذاته ، لا ينبغي اعتبار التغيير مشكلة ، بل فرصة. قد تتعلق المخاوف المشروعة بسيناريوهات التغيير التخريبية التي قد تحدث إذا كان التغيير سريعًا للغاية و / أو كانت صناعة ذات أبعاد وطبيعة نظامية تحت أي حال من الأحوال ، وعامل التغيير الإضافي يكثف هذا الضغط بطريقة حاسمة.</w:t>
      </w:r>
    </w:p>
    <w:p w:rsidR="00BB11D1" w:rsidRPr="00BB11D1" w:rsidRDefault="00BB11D1" w:rsidP="00BB11D1">
      <w:pPr>
        <w:pStyle w:val="BodyText"/>
        <w:bidi/>
        <w:spacing w:before="2"/>
        <w:rPr>
          <w:rFonts w:asciiTheme="majorBidi" w:hAnsiTheme="majorBidi" w:cstheme="majorBidi"/>
          <w:sz w:val="23"/>
        </w:rPr>
      </w:pPr>
    </w:p>
    <w:p w:rsidR="000255A4" w:rsidRPr="00BB11D1" w:rsidRDefault="00BB11D1" w:rsidP="006A2441">
      <w:pPr>
        <w:bidi/>
        <w:spacing w:after="15"/>
        <w:ind w:left="250"/>
        <w:jc w:val="both"/>
        <w:rPr>
          <w:rFonts w:asciiTheme="majorBidi" w:hAnsiTheme="majorBidi" w:cstheme="majorBidi"/>
          <w:i/>
        </w:rPr>
      </w:pPr>
      <w:r w:rsidRPr="00BB11D1">
        <w:rPr>
          <w:rFonts w:asciiTheme="majorBidi" w:hAnsiTheme="majorBidi" w:cs="Times New Roman"/>
          <w:i/>
          <w:iCs/>
          <w:rtl/>
          <w:lang w:bidi="ar-SA"/>
        </w:rPr>
        <w:t>الشكل 5: التأثير على التمويل المصرفي على الرغم من عدم تغيير طول ميزانية البنك المركزي</w:t>
      </w:r>
    </w:p>
    <w:p w:rsidR="000255A4" w:rsidRDefault="000255A4" w:rsidP="006A2441">
      <w:pPr>
        <w:bidi/>
        <w:spacing w:line="220" w:lineRule="exact"/>
        <w:rPr>
          <w:rFonts w:asciiTheme="majorBidi" w:hAnsiTheme="majorBidi" w:cstheme="majorBidi"/>
          <w:sz w:val="20"/>
          <w:lang w:bidi="ar-SA"/>
        </w:rPr>
      </w:pPr>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7"/>
        <w:gridCol w:w="1722"/>
        <w:gridCol w:w="2214"/>
        <w:gridCol w:w="1790"/>
      </w:tblGrid>
      <w:tr w:rsidR="00BB11D1" w:rsidTr="00451448">
        <w:trPr>
          <w:trHeight w:val="244"/>
        </w:trPr>
        <w:tc>
          <w:tcPr>
            <w:tcW w:w="8613" w:type="dxa"/>
            <w:gridSpan w:val="4"/>
          </w:tcPr>
          <w:p w:rsidR="00BB11D1" w:rsidRDefault="00BB11D1" w:rsidP="00451448">
            <w:pPr>
              <w:pStyle w:val="TableParagraph"/>
              <w:spacing w:before="4" w:line="220" w:lineRule="exact"/>
              <w:ind w:left="1263" w:right="1203"/>
              <w:jc w:val="center"/>
              <w:rPr>
                <w:rFonts w:ascii="Trebuchet MS"/>
                <w:b/>
                <w:sz w:val="20"/>
              </w:rPr>
            </w:pPr>
            <w:r>
              <w:rPr>
                <w:rFonts w:ascii="Trebuchet MS"/>
                <w:b/>
                <w:sz w:val="20"/>
              </w:rPr>
              <w:t>Households, pension and investment funds, insurance companies</w:t>
            </w:r>
          </w:p>
        </w:tc>
      </w:tr>
      <w:tr w:rsidR="00BB11D1" w:rsidTr="00451448">
        <w:trPr>
          <w:trHeight w:val="2198"/>
        </w:trPr>
        <w:tc>
          <w:tcPr>
            <w:tcW w:w="2887" w:type="dxa"/>
            <w:tcBorders>
              <w:bottom w:val="single" w:sz="24" w:space="0" w:color="000000"/>
              <w:right w:val="nil"/>
            </w:tcBorders>
          </w:tcPr>
          <w:p w:rsidR="00BB11D1" w:rsidRDefault="00BB11D1" w:rsidP="00451448">
            <w:pPr>
              <w:pStyle w:val="TableParagraph"/>
              <w:spacing w:before="4" w:line="254" w:lineRule="auto"/>
              <w:ind w:left="133" w:right="1598"/>
              <w:rPr>
                <w:sz w:val="20"/>
              </w:rPr>
            </w:pPr>
            <w:r>
              <w:rPr>
                <w:sz w:val="20"/>
              </w:rPr>
              <w:t xml:space="preserve">Real Assets </w:t>
            </w:r>
            <w:r>
              <w:rPr>
                <w:w w:val="90"/>
                <w:sz w:val="20"/>
              </w:rPr>
              <w:t>Sight deposits</w:t>
            </w:r>
          </w:p>
          <w:p w:rsidR="00BB11D1" w:rsidRDefault="00BB11D1" w:rsidP="00451448">
            <w:pPr>
              <w:pStyle w:val="TableParagraph"/>
              <w:spacing w:before="2"/>
              <w:ind w:left="133"/>
              <w:rPr>
                <w:rFonts w:ascii="Trebuchet MS"/>
                <w:b/>
                <w:sz w:val="20"/>
              </w:rPr>
            </w:pPr>
            <w:r>
              <w:rPr>
                <w:rFonts w:ascii="Trebuchet MS"/>
                <w:b/>
                <w:sz w:val="20"/>
              </w:rPr>
              <w:t>Savings + time deposits</w:t>
            </w:r>
          </w:p>
          <w:p w:rsidR="00BB11D1" w:rsidRDefault="00BB11D1" w:rsidP="00451448">
            <w:pPr>
              <w:pStyle w:val="TableParagraph"/>
              <w:spacing w:before="10" w:line="252" w:lineRule="auto"/>
              <w:ind w:left="133"/>
              <w:rPr>
                <w:rFonts w:ascii="Trebuchet MS"/>
                <w:b/>
                <w:sz w:val="20"/>
              </w:rPr>
            </w:pPr>
            <w:r>
              <w:rPr>
                <w:rFonts w:ascii="Trebuchet MS"/>
                <w:b/>
                <w:w w:val="90"/>
                <w:sz w:val="20"/>
              </w:rPr>
              <w:t xml:space="preserve">New non-bank intermediaries </w:t>
            </w:r>
            <w:r>
              <w:rPr>
                <w:rFonts w:ascii="Trebuchet MS"/>
                <w:b/>
                <w:sz w:val="20"/>
              </w:rPr>
              <w:t>CBDC</w:t>
            </w:r>
          </w:p>
          <w:p w:rsidR="00BB11D1" w:rsidRDefault="00BB11D1" w:rsidP="00451448">
            <w:pPr>
              <w:pStyle w:val="TableParagraph"/>
              <w:spacing w:before="2" w:line="252" w:lineRule="auto"/>
              <w:ind w:left="133" w:right="1598"/>
              <w:rPr>
                <w:sz w:val="20"/>
              </w:rPr>
            </w:pPr>
            <w:r>
              <w:rPr>
                <w:w w:val="95"/>
                <w:sz w:val="20"/>
              </w:rPr>
              <w:t xml:space="preserve">Banknotes </w:t>
            </w:r>
            <w:r>
              <w:rPr>
                <w:w w:val="90"/>
                <w:sz w:val="20"/>
              </w:rPr>
              <w:t>Bank bonds</w:t>
            </w:r>
          </w:p>
          <w:p w:rsidR="00BB11D1" w:rsidRDefault="00BB11D1" w:rsidP="00451448">
            <w:pPr>
              <w:pStyle w:val="TableParagraph"/>
              <w:spacing w:before="4"/>
              <w:ind w:left="133"/>
              <w:rPr>
                <w:sz w:val="20"/>
              </w:rPr>
            </w:pPr>
            <w:r>
              <w:rPr>
                <w:sz w:val="20"/>
              </w:rPr>
              <w:t>Corporate/state bonds</w:t>
            </w:r>
          </w:p>
          <w:p w:rsidR="00BB11D1" w:rsidRDefault="00BB11D1" w:rsidP="00451448">
            <w:pPr>
              <w:pStyle w:val="TableParagraph"/>
              <w:spacing w:before="15" w:line="220" w:lineRule="exact"/>
              <w:ind w:left="133"/>
              <w:rPr>
                <w:sz w:val="20"/>
              </w:rPr>
            </w:pPr>
            <w:r>
              <w:rPr>
                <w:sz w:val="20"/>
              </w:rPr>
              <w:t>Equity</w:t>
            </w:r>
          </w:p>
        </w:tc>
        <w:tc>
          <w:tcPr>
            <w:tcW w:w="1722" w:type="dxa"/>
            <w:tcBorders>
              <w:left w:val="nil"/>
              <w:bottom w:val="single" w:sz="24" w:space="0" w:color="000000"/>
            </w:tcBorders>
          </w:tcPr>
          <w:p w:rsidR="00BB11D1" w:rsidRDefault="00BB11D1" w:rsidP="00451448">
            <w:pPr>
              <w:pStyle w:val="TableParagraph"/>
              <w:spacing w:before="4"/>
              <w:ind w:left="472"/>
              <w:rPr>
                <w:sz w:val="20"/>
              </w:rPr>
            </w:pPr>
            <w:r>
              <w:rPr>
                <w:sz w:val="20"/>
              </w:rPr>
              <w:t>20</w:t>
            </w:r>
          </w:p>
          <w:p w:rsidR="00BB11D1" w:rsidRDefault="00BB11D1" w:rsidP="00451448">
            <w:pPr>
              <w:pStyle w:val="TableParagraph"/>
              <w:spacing w:before="15"/>
              <w:ind w:right="468"/>
              <w:jc w:val="right"/>
              <w:rPr>
                <w:rFonts w:ascii="Trebuchet MS"/>
                <w:b/>
                <w:sz w:val="20"/>
              </w:rPr>
            </w:pPr>
            <w:r>
              <w:rPr>
                <w:w w:val="95"/>
                <w:sz w:val="20"/>
              </w:rPr>
              <w:t xml:space="preserve">5 </w:t>
            </w:r>
            <w:r>
              <w:rPr>
                <w:rFonts w:ascii="Trebuchet MS"/>
                <w:b/>
                <w:color w:val="FF0000"/>
                <w:w w:val="95"/>
                <w:sz w:val="20"/>
              </w:rPr>
              <w:t>-SUBST</w:t>
            </w:r>
          </w:p>
          <w:p w:rsidR="00BB11D1" w:rsidRDefault="00BB11D1" w:rsidP="00451448">
            <w:pPr>
              <w:pStyle w:val="TableParagraph"/>
              <w:spacing w:before="12"/>
              <w:ind w:left="455"/>
              <w:rPr>
                <w:rFonts w:ascii="Trebuchet MS"/>
                <w:b/>
                <w:sz w:val="20"/>
              </w:rPr>
            </w:pPr>
            <w:r>
              <w:rPr>
                <w:rFonts w:ascii="Trebuchet MS"/>
                <w:b/>
                <w:w w:val="86"/>
                <w:sz w:val="20"/>
              </w:rPr>
              <w:t>4</w:t>
            </w:r>
          </w:p>
          <w:p w:rsidR="00BB11D1" w:rsidRDefault="00BB11D1" w:rsidP="00451448">
            <w:pPr>
              <w:pStyle w:val="TableParagraph"/>
              <w:spacing w:before="10"/>
              <w:ind w:right="403"/>
              <w:jc w:val="right"/>
              <w:rPr>
                <w:rFonts w:ascii="Trebuchet MS"/>
                <w:b/>
                <w:sz w:val="20"/>
              </w:rPr>
            </w:pPr>
            <w:r>
              <w:rPr>
                <w:rFonts w:ascii="Trebuchet MS"/>
                <w:b/>
                <w:color w:val="FF0000"/>
                <w:spacing w:val="-1"/>
                <w:w w:val="90"/>
                <w:sz w:val="20"/>
              </w:rPr>
              <w:t>+SUBST</w:t>
            </w:r>
          </w:p>
          <w:p w:rsidR="00BB11D1" w:rsidRDefault="00BB11D1" w:rsidP="00451448">
            <w:pPr>
              <w:pStyle w:val="TableParagraph"/>
              <w:spacing w:before="13"/>
              <w:ind w:right="380"/>
              <w:jc w:val="right"/>
              <w:rPr>
                <w:rFonts w:ascii="Trebuchet MS"/>
                <w:b/>
                <w:sz w:val="20"/>
              </w:rPr>
            </w:pPr>
            <w:r>
              <w:rPr>
                <w:rFonts w:ascii="Trebuchet MS"/>
                <w:b/>
                <w:color w:val="00AF50"/>
                <w:spacing w:val="-1"/>
                <w:w w:val="85"/>
                <w:sz w:val="20"/>
              </w:rPr>
              <w:t>+CBDC1</w:t>
            </w:r>
          </w:p>
          <w:p w:rsidR="00BB11D1" w:rsidRDefault="00BB11D1" w:rsidP="00451448">
            <w:pPr>
              <w:pStyle w:val="TableParagraph"/>
              <w:spacing w:before="13"/>
              <w:ind w:right="407"/>
              <w:jc w:val="right"/>
              <w:rPr>
                <w:rFonts w:ascii="Trebuchet MS"/>
                <w:b/>
                <w:sz w:val="20"/>
              </w:rPr>
            </w:pPr>
            <w:r>
              <w:rPr>
                <w:sz w:val="20"/>
              </w:rPr>
              <w:t>1</w:t>
            </w:r>
            <w:r>
              <w:rPr>
                <w:spacing w:val="-6"/>
                <w:sz w:val="20"/>
              </w:rPr>
              <w:t xml:space="preserve"> </w:t>
            </w:r>
            <w:r>
              <w:rPr>
                <w:rFonts w:ascii="Trebuchet MS"/>
                <w:b/>
                <w:color w:val="00AF50"/>
                <w:sz w:val="20"/>
              </w:rPr>
              <w:t>-CBDC1</w:t>
            </w:r>
          </w:p>
          <w:p w:rsidR="00BB11D1" w:rsidRDefault="00BB11D1" w:rsidP="00451448">
            <w:pPr>
              <w:pStyle w:val="TableParagraph"/>
              <w:spacing w:before="10"/>
              <w:ind w:left="458"/>
              <w:rPr>
                <w:rFonts w:ascii="Trebuchet MS"/>
                <w:b/>
                <w:sz w:val="20"/>
              </w:rPr>
            </w:pPr>
            <w:r>
              <w:rPr>
                <w:sz w:val="20"/>
              </w:rPr>
              <w:t xml:space="preserve">4 </w:t>
            </w:r>
            <w:r>
              <w:rPr>
                <w:rFonts w:ascii="Trebuchet MS"/>
                <w:b/>
                <w:color w:val="006FC0"/>
                <w:sz w:val="20"/>
              </w:rPr>
              <w:t>+</w:t>
            </w:r>
            <w:r>
              <w:rPr>
                <w:rFonts w:ascii="Trebuchet MS"/>
                <w:b/>
                <w:color w:val="006FC0"/>
                <w:spacing w:val="-36"/>
                <w:sz w:val="20"/>
              </w:rPr>
              <w:t xml:space="preserve"> </w:t>
            </w:r>
            <w:r>
              <w:rPr>
                <w:rFonts w:ascii="Trebuchet MS"/>
                <w:b/>
                <w:color w:val="006FC0"/>
                <w:sz w:val="20"/>
              </w:rPr>
              <w:t>S1</w:t>
            </w:r>
          </w:p>
          <w:p w:rsidR="00BB11D1" w:rsidRDefault="00BB11D1" w:rsidP="00451448">
            <w:pPr>
              <w:pStyle w:val="TableParagraph"/>
              <w:spacing w:before="12"/>
              <w:ind w:left="507"/>
              <w:rPr>
                <w:rFonts w:ascii="Trebuchet MS"/>
                <w:b/>
                <w:sz w:val="20"/>
              </w:rPr>
            </w:pPr>
            <w:r>
              <w:rPr>
                <w:sz w:val="20"/>
              </w:rPr>
              <w:t xml:space="preserve">7 </w:t>
            </w:r>
            <w:r>
              <w:rPr>
                <w:rFonts w:ascii="Trebuchet MS"/>
                <w:b/>
                <w:color w:val="006FC0"/>
                <w:sz w:val="20"/>
              </w:rPr>
              <w:t>-</w:t>
            </w:r>
            <w:r>
              <w:rPr>
                <w:rFonts w:ascii="Trebuchet MS"/>
                <w:b/>
                <w:color w:val="006FC0"/>
                <w:spacing w:val="-31"/>
                <w:sz w:val="20"/>
              </w:rPr>
              <w:t xml:space="preserve"> </w:t>
            </w:r>
            <w:r>
              <w:rPr>
                <w:rFonts w:ascii="Trebuchet MS"/>
                <w:b/>
                <w:color w:val="006FC0"/>
                <w:sz w:val="20"/>
              </w:rPr>
              <w:t>S1</w:t>
            </w:r>
          </w:p>
          <w:p w:rsidR="00BB11D1" w:rsidRDefault="00BB11D1" w:rsidP="00451448">
            <w:pPr>
              <w:pStyle w:val="TableParagraph"/>
              <w:spacing w:before="13" w:line="220" w:lineRule="exact"/>
              <w:ind w:left="477"/>
              <w:rPr>
                <w:sz w:val="20"/>
              </w:rPr>
            </w:pPr>
            <w:r>
              <w:rPr>
                <w:w w:val="90"/>
                <w:sz w:val="20"/>
              </w:rPr>
              <w:t>8</w:t>
            </w:r>
          </w:p>
        </w:tc>
        <w:tc>
          <w:tcPr>
            <w:tcW w:w="2214" w:type="dxa"/>
            <w:tcBorders>
              <w:bottom w:val="single" w:sz="24" w:space="0" w:color="000000"/>
              <w:right w:val="nil"/>
            </w:tcBorders>
          </w:tcPr>
          <w:p w:rsidR="00BB11D1" w:rsidRDefault="00BB11D1" w:rsidP="00451448">
            <w:pPr>
              <w:pStyle w:val="TableParagraph"/>
              <w:spacing w:before="4" w:line="511" w:lineRule="auto"/>
              <w:ind w:left="151" w:right="551"/>
              <w:rPr>
                <w:sz w:val="20"/>
              </w:rPr>
            </w:pPr>
            <w:r>
              <w:rPr>
                <w:w w:val="90"/>
                <w:sz w:val="20"/>
              </w:rPr>
              <w:t xml:space="preserve">Household Equity </w:t>
            </w:r>
            <w:r>
              <w:rPr>
                <w:sz w:val="20"/>
              </w:rPr>
              <w:t>Bank loans</w:t>
            </w:r>
          </w:p>
        </w:tc>
        <w:tc>
          <w:tcPr>
            <w:tcW w:w="1790" w:type="dxa"/>
            <w:tcBorders>
              <w:left w:val="nil"/>
              <w:bottom w:val="single" w:sz="24" w:space="0" w:color="000000"/>
            </w:tcBorders>
          </w:tcPr>
          <w:p w:rsidR="00BB11D1" w:rsidRDefault="00BB11D1" w:rsidP="00451448">
            <w:pPr>
              <w:pStyle w:val="TableParagraph"/>
              <w:spacing w:before="4"/>
              <w:ind w:right="442"/>
              <w:jc w:val="right"/>
              <w:rPr>
                <w:sz w:val="20"/>
              </w:rPr>
            </w:pPr>
            <w:r>
              <w:rPr>
                <w:w w:val="90"/>
                <w:sz w:val="20"/>
              </w:rPr>
              <w:t>40</w:t>
            </w:r>
          </w:p>
          <w:p w:rsidR="00BB11D1" w:rsidRDefault="00BB11D1" w:rsidP="00451448">
            <w:pPr>
              <w:pStyle w:val="TableParagraph"/>
              <w:spacing w:before="6"/>
              <w:rPr>
                <w:i/>
              </w:rPr>
            </w:pPr>
          </w:p>
          <w:p w:rsidR="00BB11D1" w:rsidRDefault="00BB11D1" w:rsidP="00451448">
            <w:pPr>
              <w:pStyle w:val="TableParagraph"/>
              <w:spacing w:before="1"/>
              <w:ind w:right="462"/>
              <w:jc w:val="right"/>
              <w:rPr>
                <w:sz w:val="20"/>
              </w:rPr>
            </w:pPr>
            <w:r>
              <w:rPr>
                <w:w w:val="90"/>
                <w:sz w:val="20"/>
              </w:rPr>
              <w:t>5</w:t>
            </w:r>
          </w:p>
        </w:tc>
      </w:tr>
      <w:tr w:rsidR="00BB11D1" w:rsidTr="00451448">
        <w:trPr>
          <w:trHeight w:val="340"/>
        </w:trPr>
        <w:tc>
          <w:tcPr>
            <w:tcW w:w="8613" w:type="dxa"/>
            <w:gridSpan w:val="4"/>
            <w:tcBorders>
              <w:top w:val="single" w:sz="24" w:space="0" w:color="000000"/>
              <w:left w:val="single" w:sz="34" w:space="0" w:color="000000"/>
              <w:right w:val="single" w:sz="24" w:space="0" w:color="000000"/>
            </w:tcBorders>
          </w:tcPr>
          <w:p w:rsidR="00BB11D1" w:rsidRDefault="00BB11D1" w:rsidP="00451448">
            <w:pPr>
              <w:pStyle w:val="TableParagraph"/>
              <w:spacing w:before="4"/>
              <w:ind w:left="2886" w:right="2841"/>
              <w:jc w:val="center"/>
              <w:rPr>
                <w:rFonts w:ascii="Trebuchet MS"/>
                <w:b/>
                <w:sz w:val="20"/>
              </w:rPr>
            </w:pPr>
            <w:r>
              <w:rPr>
                <w:rFonts w:ascii="Trebuchet MS"/>
                <w:b/>
                <w:sz w:val="20"/>
              </w:rPr>
              <w:t>New non-bank intermediaries</w:t>
            </w:r>
          </w:p>
        </w:tc>
      </w:tr>
      <w:tr w:rsidR="00BB11D1" w:rsidTr="00451448">
        <w:trPr>
          <w:trHeight w:val="489"/>
        </w:trPr>
        <w:tc>
          <w:tcPr>
            <w:tcW w:w="2887" w:type="dxa"/>
            <w:tcBorders>
              <w:left w:val="single" w:sz="34" w:space="0" w:color="000000"/>
              <w:bottom w:val="single" w:sz="24" w:space="0" w:color="000000"/>
              <w:right w:val="nil"/>
            </w:tcBorders>
          </w:tcPr>
          <w:p w:rsidR="00BB11D1" w:rsidRDefault="00BB11D1" w:rsidP="00451448">
            <w:pPr>
              <w:pStyle w:val="TableParagraph"/>
              <w:spacing w:before="4"/>
              <w:ind w:left="95"/>
              <w:rPr>
                <w:rFonts w:ascii="Trebuchet MS"/>
                <w:b/>
                <w:sz w:val="20"/>
              </w:rPr>
            </w:pPr>
            <w:r>
              <w:rPr>
                <w:rFonts w:ascii="Trebuchet MS"/>
                <w:b/>
                <w:sz w:val="20"/>
              </w:rPr>
              <w:t>Loans to corporates</w:t>
            </w:r>
          </w:p>
          <w:p w:rsidR="00BB11D1" w:rsidRDefault="00BB11D1" w:rsidP="00451448">
            <w:pPr>
              <w:pStyle w:val="TableParagraph"/>
              <w:spacing w:before="12" w:line="221" w:lineRule="exact"/>
              <w:ind w:left="95"/>
              <w:rPr>
                <w:rFonts w:ascii="Trebuchet MS"/>
                <w:b/>
                <w:sz w:val="20"/>
              </w:rPr>
            </w:pPr>
            <w:r>
              <w:rPr>
                <w:rFonts w:ascii="Trebuchet MS"/>
                <w:b/>
                <w:sz w:val="20"/>
              </w:rPr>
              <w:t>Corp/gvt bonds</w:t>
            </w:r>
          </w:p>
        </w:tc>
        <w:tc>
          <w:tcPr>
            <w:tcW w:w="1722" w:type="dxa"/>
            <w:tcBorders>
              <w:left w:val="nil"/>
              <w:bottom w:val="single" w:sz="24" w:space="0" w:color="000000"/>
            </w:tcBorders>
          </w:tcPr>
          <w:p w:rsidR="00BB11D1" w:rsidRDefault="00BB11D1" w:rsidP="00451448">
            <w:pPr>
              <w:pStyle w:val="TableParagraph"/>
              <w:spacing w:before="4"/>
              <w:ind w:left="522"/>
              <w:rPr>
                <w:rFonts w:ascii="Trebuchet MS"/>
                <w:b/>
                <w:sz w:val="20"/>
              </w:rPr>
            </w:pPr>
            <w:r>
              <w:rPr>
                <w:rFonts w:ascii="Trebuchet MS"/>
                <w:b/>
                <w:color w:val="FF0000"/>
                <w:sz w:val="20"/>
              </w:rPr>
              <w:t>+Subst/2</w:t>
            </w:r>
          </w:p>
          <w:p w:rsidR="00BB11D1" w:rsidRDefault="00BB11D1" w:rsidP="00451448">
            <w:pPr>
              <w:pStyle w:val="TableParagraph"/>
              <w:spacing w:before="12" w:line="221" w:lineRule="exact"/>
              <w:ind w:left="534"/>
              <w:rPr>
                <w:rFonts w:ascii="Trebuchet MS"/>
                <w:b/>
                <w:sz w:val="20"/>
              </w:rPr>
            </w:pPr>
            <w:r>
              <w:rPr>
                <w:rFonts w:ascii="Trebuchet MS"/>
                <w:b/>
                <w:color w:val="FF0000"/>
                <w:sz w:val="20"/>
              </w:rPr>
              <w:t>+Subst/2</w:t>
            </w:r>
          </w:p>
        </w:tc>
        <w:tc>
          <w:tcPr>
            <w:tcW w:w="2214" w:type="dxa"/>
            <w:tcBorders>
              <w:bottom w:val="single" w:sz="24" w:space="0" w:color="000000"/>
              <w:right w:val="nil"/>
            </w:tcBorders>
          </w:tcPr>
          <w:p w:rsidR="00BB11D1" w:rsidRDefault="00BB11D1" w:rsidP="00451448">
            <w:pPr>
              <w:pStyle w:val="TableParagraph"/>
              <w:spacing w:before="4"/>
              <w:ind w:left="127"/>
              <w:rPr>
                <w:rFonts w:ascii="Trebuchet MS"/>
                <w:b/>
                <w:sz w:val="20"/>
              </w:rPr>
            </w:pPr>
            <w:r>
              <w:rPr>
                <w:rFonts w:ascii="Trebuchet MS"/>
                <w:b/>
                <w:w w:val="95"/>
                <w:sz w:val="20"/>
              </w:rPr>
              <w:t>Household investments</w:t>
            </w:r>
          </w:p>
        </w:tc>
        <w:tc>
          <w:tcPr>
            <w:tcW w:w="1790" w:type="dxa"/>
            <w:tcBorders>
              <w:left w:val="nil"/>
              <w:bottom w:val="single" w:sz="24" w:space="0" w:color="000000"/>
              <w:right w:val="single" w:sz="24" w:space="0" w:color="000000"/>
            </w:tcBorders>
          </w:tcPr>
          <w:p w:rsidR="00BB11D1" w:rsidRDefault="00BB11D1" w:rsidP="00451448">
            <w:pPr>
              <w:pStyle w:val="TableParagraph"/>
              <w:spacing w:before="4"/>
              <w:ind w:left="827"/>
              <w:rPr>
                <w:rFonts w:ascii="Trebuchet MS"/>
                <w:b/>
                <w:sz w:val="20"/>
              </w:rPr>
            </w:pPr>
            <w:r>
              <w:rPr>
                <w:rFonts w:ascii="Trebuchet MS"/>
                <w:b/>
                <w:color w:val="FF0000"/>
                <w:sz w:val="20"/>
              </w:rPr>
              <w:t>+Subst</w:t>
            </w:r>
          </w:p>
        </w:tc>
      </w:tr>
      <w:tr w:rsidR="00BB11D1" w:rsidTr="00451448">
        <w:trPr>
          <w:trHeight w:val="244"/>
        </w:trPr>
        <w:tc>
          <w:tcPr>
            <w:tcW w:w="8613" w:type="dxa"/>
            <w:gridSpan w:val="4"/>
            <w:tcBorders>
              <w:top w:val="single" w:sz="24" w:space="0" w:color="000000"/>
            </w:tcBorders>
          </w:tcPr>
          <w:p w:rsidR="00BB11D1" w:rsidRDefault="00BB11D1" w:rsidP="00451448">
            <w:pPr>
              <w:pStyle w:val="TableParagraph"/>
              <w:spacing w:before="4" w:line="220" w:lineRule="exact"/>
              <w:ind w:left="1261" w:right="1203"/>
              <w:jc w:val="center"/>
              <w:rPr>
                <w:rFonts w:ascii="Trebuchet MS"/>
                <w:b/>
                <w:sz w:val="20"/>
              </w:rPr>
            </w:pPr>
            <w:r>
              <w:rPr>
                <w:rFonts w:ascii="Trebuchet MS"/>
                <w:b/>
                <w:sz w:val="20"/>
              </w:rPr>
              <w:t>Commercial Banks</w:t>
            </w:r>
          </w:p>
        </w:tc>
      </w:tr>
      <w:tr w:rsidR="00BB11D1" w:rsidTr="00451448">
        <w:trPr>
          <w:trHeight w:val="263"/>
        </w:trPr>
        <w:tc>
          <w:tcPr>
            <w:tcW w:w="2887" w:type="dxa"/>
            <w:tcBorders>
              <w:bottom w:val="nil"/>
              <w:right w:val="nil"/>
            </w:tcBorders>
          </w:tcPr>
          <w:p w:rsidR="00BB11D1" w:rsidRDefault="00BB11D1" w:rsidP="00451448">
            <w:pPr>
              <w:pStyle w:val="TableParagraph"/>
              <w:spacing w:before="4"/>
              <w:ind w:left="133"/>
              <w:rPr>
                <w:sz w:val="20"/>
              </w:rPr>
            </w:pPr>
            <w:r>
              <w:rPr>
                <w:sz w:val="20"/>
              </w:rPr>
              <w:t>Loans to corporates</w:t>
            </w:r>
          </w:p>
        </w:tc>
        <w:tc>
          <w:tcPr>
            <w:tcW w:w="1722" w:type="dxa"/>
            <w:tcBorders>
              <w:left w:val="nil"/>
              <w:bottom w:val="nil"/>
            </w:tcBorders>
          </w:tcPr>
          <w:p w:rsidR="00BB11D1" w:rsidRDefault="00BB11D1" w:rsidP="00451448">
            <w:pPr>
              <w:pStyle w:val="TableParagraph"/>
              <w:spacing w:before="4"/>
              <w:ind w:left="359"/>
              <w:rPr>
                <w:rFonts w:ascii="Trebuchet MS"/>
                <w:b/>
                <w:sz w:val="20"/>
              </w:rPr>
            </w:pPr>
            <w:r>
              <w:rPr>
                <w:sz w:val="20"/>
              </w:rPr>
              <w:t xml:space="preserve">8 </w:t>
            </w:r>
            <w:r>
              <w:rPr>
                <w:rFonts w:ascii="Trebuchet MS"/>
                <w:b/>
                <w:color w:val="FF0000"/>
                <w:sz w:val="20"/>
              </w:rPr>
              <w:t>-Subst /2</w:t>
            </w:r>
          </w:p>
        </w:tc>
        <w:tc>
          <w:tcPr>
            <w:tcW w:w="2214" w:type="dxa"/>
            <w:tcBorders>
              <w:bottom w:val="nil"/>
              <w:right w:val="nil"/>
            </w:tcBorders>
          </w:tcPr>
          <w:p w:rsidR="00BB11D1" w:rsidRDefault="00BB11D1" w:rsidP="00451448">
            <w:pPr>
              <w:pStyle w:val="TableParagraph"/>
              <w:spacing w:before="4"/>
              <w:ind w:left="127"/>
              <w:rPr>
                <w:sz w:val="20"/>
              </w:rPr>
            </w:pPr>
            <w:r>
              <w:rPr>
                <w:sz w:val="20"/>
              </w:rPr>
              <w:t>Sight deposits</w:t>
            </w:r>
          </w:p>
        </w:tc>
        <w:tc>
          <w:tcPr>
            <w:tcW w:w="1790" w:type="dxa"/>
            <w:tcBorders>
              <w:left w:val="nil"/>
              <w:bottom w:val="nil"/>
            </w:tcBorders>
          </w:tcPr>
          <w:p w:rsidR="00BB11D1" w:rsidRDefault="00BB11D1" w:rsidP="00451448">
            <w:pPr>
              <w:pStyle w:val="TableParagraph"/>
              <w:spacing w:before="4"/>
              <w:ind w:left="184"/>
              <w:rPr>
                <w:rFonts w:ascii="Trebuchet MS"/>
                <w:b/>
                <w:sz w:val="20"/>
              </w:rPr>
            </w:pPr>
            <w:r>
              <w:rPr>
                <w:sz w:val="20"/>
              </w:rPr>
              <w:t xml:space="preserve">7 </w:t>
            </w:r>
            <w:r>
              <w:rPr>
                <w:rFonts w:ascii="Trebuchet MS"/>
                <w:b/>
                <w:color w:val="FF0000"/>
                <w:sz w:val="20"/>
              </w:rPr>
              <w:t>-Subst</w:t>
            </w:r>
          </w:p>
        </w:tc>
      </w:tr>
      <w:tr w:rsidR="00BB11D1" w:rsidTr="00451448">
        <w:trPr>
          <w:trHeight w:val="243"/>
        </w:trPr>
        <w:tc>
          <w:tcPr>
            <w:tcW w:w="2887" w:type="dxa"/>
            <w:tcBorders>
              <w:top w:val="nil"/>
              <w:bottom w:val="nil"/>
              <w:right w:val="nil"/>
            </w:tcBorders>
          </w:tcPr>
          <w:p w:rsidR="00BB11D1" w:rsidRDefault="00BB11D1" w:rsidP="00451448">
            <w:pPr>
              <w:pStyle w:val="TableParagraph"/>
              <w:spacing w:line="213" w:lineRule="exact"/>
              <w:ind w:left="133"/>
              <w:rPr>
                <w:sz w:val="20"/>
              </w:rPr>
            </w:pPr>
            <w:r>
              <w:rPr>
                <w:sz w:val="20"/>
              </w:rPr>
              <w:t>Loans to government</w:t>
            </w:r>
          </w:p>
        </w:tc>
        <w:tc>
          <w:tcPr>
            <w:tcW w:w="1722" w:type="dxa"/>
            <w:tcBorders>
              <w:top w:val="nil"/>
              <w:left w:val="nil"/>
              <w:bottom w:val="nil"/>
            </w:tcBorders>
          </w:tcPr>
          <w:p w:rsidR="00BB11D1" w:rsidRDefault="00BB11D1" w:rsidP="00451448">
            <w:pPr>
              <w:pStyle w:val="TableParagraph"/>
              <w:spacing w:line="213" w:lineRule="exact"/>
              <w:ind w:left="337"/>
              <w:rPr>
                <w:sz w:val="20"/>
              </w:rPr>
            </w:pPr>
            <w:r>
              <w:rPr>
                <w:w w:val="90"/>
                <w:sz w:val="20"/>
              </w:rPr>
              <w:t>2</w:t>
            </w:r>
          </w:p>
        </w:tc>
        <w:tc>
          <w:tcPr>
            <w:tcW w:w="2214" w:type="dxa"/>
            <w:tcBorders>
              <w:top w:val="nil"/>
              <w:bottom w:val="nil"/>
              <w:right w:val="nil"/>
            </w:tcBorders>
          </w:tcPr>
          <w:p w:rsidR="00BB11D1" w:rsidRDefault="00BB11D1" w:rsidP="00451448">
            <w:pPr>
              <w:pStyle w:val="TableParagraph"/>
              <w:spacing w:line="213" w:lineRule="exact"/>
              <w:ind w:left="127"/>
              <w:rPr>
                <w:sz w:val="20"/>
              </w:rPr>
            </w:pPr>
            <w:r>
              <w:rPr>
                <w:sz w:val="20"/>
              </w:rPr>
              <w:t>Savings</w:t>
            </w:r>
            <w:r>
              <w:rPr>
                <w:spacing w:val="-38"/>
                <w:sz w:val="20"/>
              </w:rPr>
              <w:t xml:space="preserve"> </w:t>
            </w:r>
            <w:r>
              <w:rPr>
                <w:sz w:val="20"/>
              </w:rPr>
              <w:t>+</w:t>
            </w:r>
            <w:r>
              <w:rPr>
                <w:spacing w:val="-38"/>
                <w:sz w:val="20"/>
              </w:rPr>
              <w:t xml:space="preserve"> </w:t>
            </w:r>
            <w:r>
              <w:rPr>
                <w:sz w:val="20"/>
              </w:rPr>
              <w:t>time</w:t>
            </w:r>
            <w:r>
              <w:rPr>
                <w:spacing w:val="-20"/>
                <w:sz w:val="20"/>
              </w:rPr>
              <w:t xml:space="preserve"> </w:t>
            </w:r>
            <w:r>
              <w:rPr>
                <w:sz w:val="20"/>
              </w:rPr>
              <w:t>deposits</w:t>
            </w:r>
          </w:p>
        </w:tc>
        <w:tc>
          <w:tcPr>
            <w:tcW w:w="1790" w:type="dxa"/>
            <w:tcBorders>
              <w:top w:val="nil"/>
              <w:left w:val="nil"/>
              <w:bottom w:val="nil"/>
            </w:tcBorders>
          </w:tcPr>
          <w:p w:rsidR="00BB11D1" w:rsidRDefault="00BB11D1" w:rsidP="00451448">
            <w:pPr>
              <w:pStyle w:val="TableParagraph"/>
              <w:spacing w:line="213" w:lineRule="exact"/>
              <w:ind w:left="220"/>
              <w:rPr>
                <w:sz w:val="20"/>
              </w:rPr>
            </w:pPr>
            <w:r>
              <w:rPr>
                <w:w w:val="90"/>
                <w:sz w:val="20"/>
              </w:rPr>
              <w:t>5</w:t>
            </w:r>
          </w:p>
        </w:tc>
      </w:tr>
      <w:tr w:rsidR="00BB11D1" w:rsidTr="00451448">
        <w:trPr>
          <w:trHeight w:val="244"/>
        </w:trPr>
        <w:tc>
          <w:tcPr>
            <w:tcW w:w="2887" w:type="dxa"/>
            <w:tcBorders>
              <w:top w:val="nil"/>
              <w:bottom w:val="nil"/>
              <w:right w:val="nil"/>
            </w:tcBorders>
          </w:tcPr>
          <w:p w:rsidR="00BB11D1" w:rsidRDefault="00BB11D1" w:rsidP="00451448">
            <w:pPr>
              <w:pStyle w:val="TableParagraph"/>
              <w:spacing w:line="215" w:lineRule="exact"/>
              <w:ind w:left="133"/>
              <w:rPr>
                <w:sz w:val="20"/>
              </w:rPr>
            </w:pPr>
            <w:r>
              <w:rPr>
                <w:sz w:val="20"/>
              </w:rPr>
              <w:t>Loans to HH</w:t>
            </w:r>
          </w:p>
        </w:tc>
        <w:tc>
          <w:tcPr>
            <w:tcW w:w="1722" w:type="dxa"/>
            <w:tcBorders>
              <w:top w:val="nil"/>
              <w:left w:val="nil"/>
              <w:bottom w:val="nil"/>
            </w:tcBorders>
          </w:tcPr>
          <w:p w:rsidR="00BB11D1" w:rsidRDefault="00BB11D1" w:rsidP="00451448">
            <w:pPr>
              <w:pStyle w:val="TableParagraph"/>
              <w:spacing w:line="215" w:lineRule="exact"/>
              <w:ind w:left="361"/>
              <w:rPr>
                <w:sz w:val="20"/>
              </w:rPr>
            </w:pPr>
            <w:r>
              <w:rPr>
                <w:w w:val="90"/>
                <w:sz w:val="20"/>
              </w:rPr>
              <w:t>5</w:t>
            </w:r>
          </w:p>
        </w:tc>
        <w:tc>
          <w:tcPr>
            <w:tcW w:w="2214" w:type="dxa"/>
            <w:tcBorders>
              <w:top w:val="nil"/>
              <w:bottom w:val="nil"/>
              <w:right w:val="nil"/>
            </w:tcBorders>
          </w:tcPr>
          <w:p w:rsidR="00BB11D1" w:rsidRDefault="00BB11D1" w:rsidP="00451448">
            <w:pPr>
              <w:pStyle w:val="TableParagraph"/>
              <w:spacing w:line="215" w:lineRule="exact"/>
              <w:ind w:left="127"/>
              <w:rPr>
                <w:sz w:val="20"/>
              </w:rPr>
            </w:pPr>
            <w:r>
              <w:rPr>
                <w:sz w:val="20"/>
              </w:rPr>
              <w:t>Bonds issued</w:t>
            </w:r>
          </w:p>
        </w:tc>
        <w:tc>
          <w:tcPr>
            <w:tcW w:w="1790" w:type="dxa"/>
            <w:tcBorders>
              <w:top w:val="nil"/>
              <w:left w:val="nil"/>
              <w:bottom w:val="nil"/>
            </w:tcBorders>
          </w:tcPr>
          <w:p w:rsidR="00BB11D1" w:rsidRDefault="00BB11D1" w:rsidP="00451448">
            <w:pPr>
              <w:pStyle w:val="TableParagraph"/>
              <w:spacing w:line="215" w:lineRule="exact"/>
              <w:ind w:left="200"/>
              <w:rPr>
                <w:sz w:val="20"/>
              </w:rPr>
            </w:pPr>
            <w:r>
              <w:rPr>
                <w:w w:val="90"/>
                <w:sz w:val="20"/>
              </w:rPr>
              <w:t>4</w:t>
            </w:r>
          </w:p>
        </w:tc>
      </w:tr>
      <w:tr w:rsidR="00BB11D1" w:rsidTr="00451448">
        <w:trPr>
          <w:trHeight w:val="243"/>
        </w:trPr>
        <w:tc>
          <w:tcPr>
            <w:tcW w:w="2887" w:type="dxa"/>
            <w:tcBorders>
              <w:top w:val="nil"/>
              <w:bottom w:val="nil"/>
              <w:right w:val="nil"/>
            </w:tcBorders>
          </w:tcPr>
          <w:p w:rsidR="00BB11D1" w:rsidRDefault="00BB11D1" w:rsidP="00451448">
            <w:pPr>
              <w:pStyle w:val="TableParagraph"/>
              <w:spacing w:line="215" w:lineRule="exact"/>
              <w:ind w:left="133"/>
              <w:rPr>
                <w:sz w:val="20"/>
              </w:rPr>
            </w:pPr>
            <w:r>
              <w:rPr>
                <w:sz w:val="20"/>
              </w:rPr>
              <w:t>Corp/gvt bonds</w:t>
            </w:r>
          </w:p>
        </w:tc>
        <w:tc>
          <w:tcPr>
            <w:tcW w:w="1722" w:type="dxa"/>
            <w:tcBorders>
              <w:top w:val="nil"/>
              <w:left w:val="nil"/>
              <w:bottom w:val="nil"/>
            </w:tcBorders>
          </w:tcPr>
          <w:p w:rsidR="00BB11D1" w:rsidRDefault="00BB11D1" w:rsidP="00451448">
            <w:pPr>
              <w:pStyle w:val="TableParagraph"/>
              <w:spacing w:line="217" w:lineRule="exact"/>
              <w:ind w:left="368"/>
              <w:rPr>
                <w:rFonts w:ascii="Trebuchet MS"/>
                <w:b/>
                <w:sz w:val="20"/>
              </w:rPr>
            </w:pPr>
            <w:r>
              <w:rPr>
                <w:sz w:val="20"/>
              </w:rPr>
              <w:t xml:space="preserve">5 </w:t>
            </w:r>
            <w:r>
              <w:rPr>
                <w:rFonts w:ascii="Trebuchet MS"/>
                <w:b/>
                <w:color w:val="FF0000"/>
                <w:sz w:val="20"/>
              </w:rPr>
              <w:t>-Subst /2</w:t>
            </w:r>
          </w:p>
        </w:tc>
        <w:tc>
          <w:tcPr>
            <w:tcW w:w="2214" w:type="dxa"/>
            <w:tcBorders>
              <w:top w:val="nil"/>
              <w:bottom w:val="nil"/>
              <w:right w:val="nil"/>
            </w:tcBorders>
          </w:tcPr>
          <w:p w:rsidR="00BB11D1" w:rsidRDefault="00BB11D1" w:rsidP="00451448">
            <w:pPr>
              <w:pStyle w:val="TableParagraph"/>
              <w:spacing w:line="215" w:lineRule="exact"/>
              <w:ind w:left="127"/>
              <w:rPr>
                <w:sz w:val="20"/>
              </w:rPr>
            </w:pPr>
            <w:r>
              <w:rPr>
                <w:sz w:val="20"/>
              </w:rPr>
              <w:t>Equity</w:t>
            </w:r>
          </w:p>
        </w:tc>
        <w:tc>
          <w:tcPr>
            <w:tcW w:w="1790" w:type="dxa"/>
            <w:tcBorders>
              <w:top w:val="nil"/>
              <w:left w:val="nil"/>
              <w:bottom w:val="nil"/>
            </w:tcBorders>
          </w:tcPr>
          <w:p w:rsidR="00BB11D1" w:rsidRDefault="00BB11D1" w:rsidP="00451448">
            <w:pPr>
              <w:pStyle w:val="TableParagraph"/>
              <w:spacing w:line="215" w:lineRule="exact"/>
              <w:ind w:left="195"/>
              <w:rPr>
                <w:sz w:val="20"/>
              </w:rPr>
            </w:pPr>
            <w:r>
              <w:rPr>
                <w:w w:val="90"/>
                <w:sz w:val="20"/>
              </w:rPr>
              <w:t>3</w:t>
            </w:r>
          </w:p>
        </w:tc>
      </w:tr>
      <w:tr w:rsidR="00BB11D1" w:rsidTr="00451448">
        <w:trPr>
          <w:trHeight w:val="223"/>
        </w:trPr>
        <w:tc>
          <w:tcPr>
            <w:tcW w:w="2887" w:type="dxa"/>
            <w:tcBorders>
              <w:top w:val="nil"/>
              <w:right w:val="nil"/>
            </w:tcBorders>
          </w:tcPr>
          <w:p w:rsidR="00BB11D1" w:rsidRDefault="00BB11D1" w:rsidP="00451448">
            <w:pPr>
              <w:pStyle w:val="TableParagraph"/>
              <w:spacing w:line="204" w:lineRule="exact"/>
              <w:ind w:left="133"/>
              <w:rPr>
                <w:sz w:val="20"/>
              </w:rPr>
            </w:pPr>
            <w:r>
              <w:rPr>
                <w:sz w:val="20"/>
              </w:rPr>
              <w:t>Central bank deposits</w:t>
            </w:r>
          </w:p>
        </w:tc>
        <w:tc>
          <w:tcPr>
            <w:tcW w:w="1722" w:type="dxa"/>
            <w:tcBorders>
              <w:top w:val="nil"/>
              <w:left w:val="nil"/>
            </w:tcBorders>
          </w:tcPr>
          <w:p w:rsidR="00BB11D1" w:rsidRDefault="00BB11D1" w:rsidP="00451448">
            <w:pPr>
              <w:pStyle w:val="TableParagraph"/>
              <w:spacing w:line="204" w:lineRule="exact"/>
              <w:ind w:left="327"/>
              <w:rPr>
                <w:sz w:val="20"/>
              </w:rPr>
            </w:pPr>
            <w:r>
              <w:rPr>
                <w:w w:val="90"/>
                <w:sz w:val="20"/>
              </w:rPr>
              <w:t>0</w:t>
            </w:r>
          </w:p>
        </w:tc>
        <w:tc>
          <w:tcPr>
            <w:tcW w:w="2214" w:type="dxa"/>
            <w:tcBorders>
              <w:top w:val="nil"/>
              <w:right w:val="nil"/>
            </w:tcBorders>
          </w:tcPr>
          <w:p w:rsidR="00BB11D1" w:rsidRDefault="00BB11D1" w:rsidP="00451448">
            <w:pPr>
              <w:pStyle w:val="TableParagraph"/>
              <w:spacing w:line="204" w:lineRule="exact"/>
              <w:ind w:left="127"/>
              <w:rPr>
                <w:sz w:val="20"/>
              </w:rPr>
            </w:pPr>
            <w:r>
              <w:rPr>
                <w:sz w:val="20"/>
              </w:rPr>
              <w:t>Central bank credit</w:t>
            </w:r>
          </w:p>
        </w:tc>
        <w:tc>
          <w:tcPr>
            <w:tcW w:w="1790" w:type="dxa"/>
            <w:tcBorders>
              <w:top w:val="nil"/>
              <w:left w:val="nil"/>
            </w:tcBorders>
          </w:tcPr>
          <w:p w:rsidR="00BB11D1" w:rsidRDefault="00BB11D1" w:rsidP="00451448">
            <w:pPr>
              <w:pStyle w:val="TableParagraph"/>
              <w:spacing w:line="204" w:lineRule="exact"/>
              <w:ind w:left="193"/>
              <w:rPr>
                <w:sz w:val="20"/>
              </w:rPr>
            </w:pPr>
            <w:r>
              <w:rPr>
                <w:w w:val="90"/>
                <w:sz w:val="20"/>
              </w:rPr>
              <w:t>1</w:t>
            </w:r>
          </w:p>
        </w:tc>
      </w:tr>
      <w:tr w:rsidR="00BB11D1" w:rsidTr="00451448">
        <w:trPr>
          <w:trHeight w:val="244"/>
        </w:trPr>
        <w:tc>
          <w:tcPr>
            <w:tcW w:w="8613" w:type="dxa"/>
            <w:gridSpan w:val="4"/>
          </w:tcPr>
          <w:p w:rsidR="00BB11D1" w:rsidRDefault="00BB11D1" w:rsidP="00451448">
            <w:pPr>
              <w:pStyle w:val="TableParagraph"/>
              <w:spacing w:before="4" w:line="220" w:lineRule="exact"/>
              <w:ind w:left="1263" w:right="1203"/>
              <w:jc w:val="center"/>
              <w:rPr>
                <w:rFonts w:ascii="Trebuchet MS"/>
                <w:b/>
                <w:sz w:val="20"/>
              </w:rPr>
            </w:pPr>
            <w:r>
              <w:rPr>
                <w:rFonts w:ascii="Trebuchet MS"/>
                <w:b/>
                <w:sz w:val="20"/>
              </w:rPr>
              <w:t>Central Bank</w:t>
            </w:r>
          </w:p>
        </w:tc>
      </w:tr>
      <w:tr w:rsidR="00BB11D1" w:rsidTr="00451448">
        <w:trPr>
          <w:trHeight w:val="734"/>
        </w:trPr>
        <w:tc>
          <w:tcPr>
            <w:tcW w:w="2887" w:type="dxa"/>
            <w:tcBorders>
              <w:right w:val="nil"/>
            </w:tcBorders>
          </w:tcPr>
          <w:p w:rsidR="00BB11D1" w:rsidRDefault="00BB11D1" w:rsidP="00451448">
            <w:pPr>
              <w:pStyle w:val="TableParagraph"/>
              <w:spacing w:before="4"/>
              <w:ind w:left="133"/>
              <w:rPr>
                <w:sz w:val="20"/>
              </w:rPr>
            </w:pPr>
            <w:r>
              <w:rPr>
                <w:sz w:val="20"/>
              </w:rPr>
              <w:t>Credit to banks</w:t>
            </w:r>
          </w:p>
          <w:p w:rsidR="00BB11D1" w:rsidRDefault="00BB11D1" w:rsidP="00451448">
            <w:pPr>
              <w:pStyle w:val="TableParagraph"/>
              <w:tabs>
                <w:tab w:val="left" w:pos="1097"/>
              </w:tabs>
              <w:spacing w:before="15"/>
              <w:ind w:left="133"/>
              <w:rPr>
                <w:rFonts w:ascii="Trebuchet MS"/>
                <w:b/>
                <w:sz w:val="20"/>
              </w:rPr>
            </w:pPr>
            <w:r>
              <w:rPr>
                <w:rFonts w:ascii="Trebuchet MS"/>
                <w:b/>
                <w:sz w:val="20"/>
              </w:rPr>
              <w:t>Corp/gvt</w:t>
            </w:r>
            <w:r>
              <w:rPr>
                <w:rFonts w:ascii="Trebuchet MS"/>
                <w:b/>
                <w:sz w:val="20"/>
              </w:rPr>
              <w:tab/>
              <w:t>bonds</w:t>
            </w:r>
          </w:p>
        </w:tc>
        <w:tc>
          <w:tcPr>
            <w:tcW w:w="1722" w:type="dxa"/>
            <w:tcBorders>
              <w:left w:val="nil"/>
            </w:tcBorders>
          </w:tcPr>
          <w:p w:rsidR="00BB11D1" w:rsidRDefault="00BB11D1" w:rsidP="00451448">
            <w:pPr>
              <w:pStyle w:val="TableParagraph"/>
              <w:spacing w:before="4"/>
              <w:ind w:left="339"/>
              <w:rPr>
                <w:rFonts w:ascii="Trebuchet MS"/>
                <w:b/>
                <w:sz w:val="20"/>
              </w:rPr>
            </w:pPr>
            <w:r>
              <w:rPr>
                <w:rFonts w:ascii="Trebuchet MS"/>
                <w:b/>
                <w:w w:val="86"/>
                <w:sz w:val="20"/>
              </w:rPr>
              <w:t>1</w:t>
            </w:r>
          </w:p>
          <w:p w:rsidR="00BB11D1" w:rsidRDefault="00BB11D1" w:rsidP="00451448">
            <w:pPr>
              <w:pStyle w:val="TableParagraph"/>
              <w:spacing w:before="12"/>
              <w:ind w:left="354"/>
              <w:rPr>
                <w:rFonts w:ascii="Trebuchet MS"/>
                <w:b/>
                <w:sz w:val="20"/>
              </w:rPr>
            </w:pPr>
            <w:r>
              <w:rPr>
                <w:rFonts w:ascii="Trebuchet MS"/>
                <w:b/>
                <w:w w:val="86"/>
                <w:sz w:val="20"/>
              </w:rPr>
              <w:t>0</w:t>
            </w:r>
          </w:p>
        </w:tc>
        <w:tc>
          <w:tcPr>
            <w:tcW w:w="2214" w:type="dxa"/>
            <w:tcBorders>
              <w:right w:val="nil"/>
            </w:tcBorders>
          </w:tcPr>
          <w:p w:rsidR="00BB11D1" w:rsidRDefault="00BB11D1" w:rsidP="00451448">
            <w:pPr>
              <w:pStyle w:val="TableParagraph"/>
              <w:spacing w:before="4"/>
              <w:ind w:left="127"/>
              <w:rPr>
                <w:sz w:val="20"/>
              </w:rPr>
            </w:pPr>
            <w:r>
              <w:rPr>
                <w:sz w:val="20"/>
              </w:rPr>
              <w:t>Banknotes issued</w:t>
            </w:r>
          </w:p>
          <w:p w:rsidR="00BB11D1" w:rsidRDefault="00BB11D1" w:rsidP="00451448">
            <w:pPr>
              <w:pStyle w:val="TableParagraph"/>
              <w:spacing w:before="5" w:line="240" w:lineRule="atLeast"/>
              <w:ind w:left="127" w:right="551"/>
              <w:rPr>
                <w:sz w:val="20"/>
              </w:rPr>
            </w:pPr>
            <w:r>
              <w:rPr>
                <w:w w:val="95"/>
                <w:sz w:val="20"/>
              </w:rPr>
              <w:t xml:space="preserve">Deposits of banks </w:t>
            </w:r>
            <w:r>
              <w:rPr>
                <w:sz w:val="20"/>
              </w:rPr>
              <w:t>CBDC</w:t>
            </w:r>
          </w:p>
        </w:tc>
        <w:tc>
          <w:tcPr>
            <w:tcW w:w="1790" w:type="dxa"/>
            <w:tcBorders>
              <w:left w:val="nil"/>
            </w:tcBorders>
          </w:tcPr>
          <w:p w:rsidR="00BB11D1" w:rsidRDefault="00BB11D1" w:rsidP="00451448">
            <w:pPr>
              <w:pStyle w:val="TableParagraph"/>
              <w:spacing w:before="4"/>
              <w:ind w:left="325"/>
              <w:rPr>
                <w:rFonts w:ascii="Trebuchet MS"/>
                <w:b/>
                <w:sz w:val="20"/>
              </w:rPr>
            </w:pPr>
            <w:r>
              <w:rPr>
                <w:sz w:val="20"/>
              </w:rPr>
              <w:t xml:space="preserve">1 </w:t>
            </w:r>
            <w:r>
              <w:rPr>
                <w:rFonts w:ascii="Trebuchet MS"/>
                <w:b/>
                <w:color w:val="00AF50"/>
                <w:sz w:val="20"/>
              </w:rPr>
              <w:t>-CBDC1</w:t>
            </w:r>
          </w:p>
          <w:p w:rsidR="00BB11D1" w:rsidRDefault="00BB11D1" w:rsidP="00451448">
            <w:pPr>
              <w:pStyle w:val="TableParagraph"/>
              <w:spacing w:before="12"/>
              <w:ind w:left="347"/>
              <w:rPr>
                <w:sz w:val="20"/>
              </w:rPr>
            </w:pPr>
            <w:r>
              <w:rPr>
                <w:w w:val="90"/>
                <w:sz w:val="20"/>
              </w:rPr>
              <w:t>0</w:t>
            </w:r>
          </w:p>
          <w:p w:rsidR="00BB11D1" w:rsidRDefault="00BB11D1" w:rsidP="00451448">
            <w:pPr>
              <w:pStyle w:val="TableParagraph"/>
              <w:spacing w:before="15" w:line="220" w:lineRule="exact"/>
              <w:ind w:left="671"/>
              <w:rPr>
                <w:rFonts w:ascii="Trebuchet MS"/>
                <w:b/>
                <w:sz w:val="20"/>
              </w:rPr>
            </w:pPr>
            <w:r>
              <w:rPr>
                <w:rFonts w:ascii="Trebuchet MS"/>
                <w:b/>
                <w:color w:val="00AF50"/>
                <w:sz w:val="20"/>
              </w:rPr>
              <w:t>CBDC1</w:t>
            </w:r>
          </w:p>
        </w:tc>
      </w:tr>
    </w:tbl>
    <w:p w:rsidR="00BB11D1" w:rsidRPr="00BB11D1" w:rsidRDefault="00BB11D1" w:rsidP="00BB11D1">
      <w:pPr>
        <w:bidi/>
        <w:spacing w:line="220" w:lineRule="exact"/>
        <w:rPr>
          <w:rFonts w:asciiTheme="majorBidi" w:hAnsiTheme="majorBidi" w:cstheme="majorBidi"/>
          <w:sz w:val="20"/>
        </w:rPr>
        <w:sectPr w:rsidR="00BB11D1"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9"/>
        <w:rPr>
          <w:rFonts w:asciiTheme="majorBidi" w:hAnsiTheme="majorBidi" w:cstheme="majorBidi"/>
          <w:i/>
          <w:sz w:val="23"/>
        </w:rPr>
      </w:pPr>
    </w:p>
    <w:p w:rsidR="00BB11D1" w:rsidRPr="00BB11D1" w:rsidRDefault="00BB11D1" w:rsidP="00BB11D1">
      <w:pPr>
        <w:pStyle w:val="Heading2"/>
        <w:numPr>
          <w:ilvl w:val="0"/>
          <w:numId w:val="13"/>
        </w:numPr>
        <w:tabs>
          <w:tab w:val="left" w:pos="529"/>
        </w:tabs>
        <w:bidi/>
        <w:spacing w:line="480" w:lineRule="auto"/>
        <w:rPr>
          <w:rFonts w:asciiTheme="majorBidi" w:hAnsiTheme="majorBidi" w:cstheme="majorBidi"/>
        </w:rPr>
      </w:pPr>
      <w:bookmarkStart w:id="13" w:name="7_Flow-of_funds_comparison_of_CBDC_with_"/>
      <w:bookmarkEnd w:id="13"/>
      <w:r w:rsidRPr="00BB11D1">
        <w:rPr>
          <w:rFonts w:asciiTheme="majorBidi" w:hAnsiTheme="majorBidi" w:cstheme="majorBidi"/>
          <w:rtl/>
          <w:lang w:bidi="ar-LB"/>
        </w:rPr>
        <w:t xml:space="preserve">مقارنة تدفق الأموال بين </w:t>
      </w:r>
      <w:r w:rsidRPr="00BB11D1">
        <w:rPr>
          <w:rFonts w:asciiTheme="majorBidi" w:hAnsiTheme="majorBidi" w:cstheme="majorBidi"/>
          <w:lang w:bidi="ar-LB"/>
        </w:rPr>
        <w:t>CBDC</w:t>
      </w:r>
      <w:r w:rsidRPr="00BB11D1">
        <w:rPr>
          <w:rFonts w:asciiTheme="majorBidi" w:hAnsiTheme="majorBidi" w:cstheme="majorBidi"/>
          <w:rtl/>
          <w:lang w:bidi="ar-LB"/>
        </w:rPr>
        <w:t xml:space="preserve"> والعملات الرقمية الخاصة</w:t>
      </w:r>
    </w:p>
    <w:p w:rsidR="00BB11D1" w:rsidRPr="00BB11D1" w:rsidRDefault="00BB11D1" w:rsidP="00BB11D1">
      <w:pPr>
        <w:pStyle w:val="BodyText"/>
        <w:bidi/>
        <w:spacing w:before="6"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 xml:space="preserve">في هذا القسم ، نقارن باختصار تداعيات </w:t>
      </w:r>
      <w:r w:rsidRPr="00BB11D1">
        <w:rPr>
          <w:rFonts w:asciiTheme="majorBidi" w:hAnsiTheme="majorBidi" w:cstheme="majorBidi"/>
          <w:w w:val="95"/>
        </w:rPr>
        <w:t>CBDC</w:t>
      </w:r>
      <w:r w:rsidRPr="00BB11D1">
        <w:rPr>
          <w:rFonts w:asciiTheme="majorBidi" w:hAnsiTheme="majorBidi" w:cstheme="majorBidi"/>
          <w:w w:val="95"/>
          <w:rtl/>
          <w:lang w:bidi="ar-SA"/>
        </w:rPr>
        <w:t xml:space="preserve"> على الحسابات المالية مع تلك الخاصة بالأصول المشفرة ، </w:t>
      </w:r>
      <w:r w:rsidRPr="00BB11D1">
        <w:rPr>
          <w:rFonts w:asciiTheme="majorBidi" w:hAnsiTheme="majorBidi" w:cstheme="majorBidi"/>
          <w:w w:val="95"/>
        </w:rPr>
        <w:t>Stablecoins</w:t>
      </w:r>
      <w:r w:rsidRPr="00BB11D1">
        <w:rPr>
          <w:rFonts w:asciiTheme="majorBidi" w:hAnsiTheme="majorBidi" w:cstheme="majorBidi"/>
          <w:w w:val="95"/>
          <w:rtl/>
          <w:lang w:bidi="ar-SA"/>
        </w:rPr>
        <w:t xml:space="preserve"> والعملة الرقمية الضيقة للبنوك.</w:t>
      </w:r>
    </w:p>
    <w:p w:rsidR="00BB11D1" w:rsidRPr="00BB11D1" w:rsidRDefault="00BB11D1" w:rsidP="00BB11D1">
      <w:pPr>
        <w:pStyle w:val="BodyText"/>
        <w:bidi/>
        <w:spacing w:before="6" w:line="480" w:lineRule="auto"/>
        <w:jc w:val="both"/>
        <w:rPr>
          <w:rFonts w:asciiTheme="majorBidi" w:hAnsiTheme="majorBidi" w:cstheme="majorBidi"/>
          <w:b/>
          <w:bCs/>
          <w:w w:val="95"/>
          <w:rtl/>
          <w:lang w:bidi="ar-LB"/>
        </w:rPr>
      </w:pPr>
      <w:r>
        <w:rPr>
          <w:rFonts w:asciiTheme="majorBidi" w:hAnsiTheme="majorBidi" w:cstheme="majorBidi" w:hint="cs"/>
          <w:b/>
          <w:bCs/>
          <w:w w:val="95"/>
          <w:rtl/>
          <w:lang w:bidi="ar-LB"/>
        </w:rPr>
        <w:t>الأصول المشفرة</w:t>
      </w:r>
    </w:p>
    <w:p w:rsidR="00BB11D1" w:rsidRPr="00BB11D1" w:rsidRDefault="00BB11D1" w:rsidP="00BB11D1">
      <w:pPr>
        <w:pStyle w:val="BodyText"/>
        <w:bidi/>
        <w:spacing w:before="6"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وفقًا للبنك المركزي الأوروبي (2019</w:t>
      </w:r>
      <w:r w:rsidRPr="00BB11D1">
        <w:rPr>
          <w:rFonts w:asciiTheme="majorBidi" w:hAnsiTheme="majorBidi" w:cstheme="majorBidi"/>
          <w:w w:val="95"/>
        </w:rPr>
        <w:t xml:space="preserve">a </w:t>
      </w:r>
      <w:r w:rsidRPr="00BB11D1">
        <w:rPr>
          <w:rFonts w:asciiTheme="majorBidi" w:hAnsiTheme="majorBidi" w:cstheme="majorBidi"/>
          <w:w w:val="95"/>
          <w:rtl/>
          <w:lang w:bidi="ar-SA"/>
        </w:rPr>
        <w:t xml:space="preserve">، </w:t>
      </w:r>
      <w:r w:rsidRPr="00BB11D1">
        <w:rPr>
          <w:rFonts w:asciiTheme="majorBidi" w:hAnsiTheme="majorBidi" w:cstheme="majorBidi"/>
          <w:w w:val="95"/>
        </w:rPr>
        <w:t>3</w:t>
      </w:r>
      <w:r w:rsidRPr="00BB11D1">
        <w:rPr>
          <w:rFonts w:asciiTheme="majorBidi" w:hAnsiTheme="majorBidi" w:cstheme="majorBidi"/>
          <w:w w:val="95"/>
          <w:rtl/>
          <w:lang w:bidi="ar-SA"/>
        </w:rPr>
        <w:t>) ، تعد أصول التشفير "أصل مسجل في شكل رقمي ويتم تمكينه باستخدام تشفير لا يمثل ولا يمثل مطالبة مالية على أي كيان محدد". علاوة على ذلك ، وفقًا لتقرير فرقة العمل (ص 3) ، "لا تشف الأصول المشفرة وظائف المال ، وفي المرحلة الحالية ، لا يترتب عليها تأثير ملموس على الاقتصاد الحقيقي ولا تترتب عليها آثار كبيرة على السياسة النقدية ". تقلبت القيمة السوقية للأصول المشفرة بالنسبة إلى إجمالي الناتج المحلي في منطقة اليورو منذ يونيو 2017 بين 1٪ وحوالي 5٪ (ص 11). نظرًا لأن الأصول المشفرة ليست مطالبة مالية أو التزامًا ماليًا ، فهي لا تؤثر في حد ذاتها على حسابات القطاع المالي. إنها تؤثر فقط بشكل مباشر على حسابات قطاع الأسر / الاستثمار الذي يحتفظ وينقل هذه الأصول الشبيهة بالسلع الأساسية (نفترض هنا من أجل البساطة أن التعدين يحدث مباشرة من قبل الأسر). إلى الحد الذي يستهلك فيه "التعدين" الموارد ، تظهر الأصول المشفرة (في أبسط تمثيل) كمحول للأصول من الأصول الحقيقية إلى الأصول المشفرة (</w:t>
      </w:r>
      <w:r w:rsidRPr="00BB11D1">
        <w:rPr>
          <w:rFonts w:asciiTheme="majorBidi" w:hAnsiTheme="majorBidi" w:cstheme="majorBidi"/>
          <w:w w:val="95"/>
        </w:rPr>
        <w:t>CRYPTO.A</w:t>
      </w:r>
      <w:r w:rsidRPr="00BB11D1">
        <w:rPr>
          <w:rFonts w:asciiTheme="majorBidi" w:hAnsiTheme="majorBidi" w:cstheme="majorBidi"/>
          <w:w w:val="95"/>
          <w:rtl/>
          <w:lang w:bidi="ar-SA"/>
        </w:rPr>
        <w:t>). إلى الحد الذي تتجاوز فيه قيمة الأصول المشفرة تكاليف التعدين ، فهي عبارة عن تطويل للميزانية العمومية للعائلات يقابله زيادة في صافي الثروة (</w:t>
      </w:r>
      <w:r w:rsidRPr="00BB11D1">
        <w:rPr>
          <w:rFonts w:asciiTheme="majorBidi" w:hAnsiTheme="majorBidi" w:cstheme="majorBidi"/>
          <w:w w:val="95"/>
        </w:rPr>
        <w:t>CRYPTO.B</w:t>
      </w:r>
      <w:r w:rsidRPr="00BB11D1">
        <w:rPr>
          <w:rFonts w:asciiTheme="majorBidi" w:hAnsiTheme="majorBidi" w:cstheme="majorBidi"/>
          <w:w w:val="95"/>
          <w:rtl/>
          <w:lang w:bidi="ar-SA"/>
        </w:rPr>
        <w:t>).</w:t>
      </w:r>
    </w:p>
    <w:p w:rsidR="000255A4" w:rsidRPr="00BB11D1" w:rsidRDefault="00BB11D1" w:rsidP="00BB11D1">
      <w:pPr>
        <w:pStyle w:val="BodyText"/>
        <w:bidi/>
        <w:spacing w:before="6" w:line="480" w:lineRule="auto"/>
        <w:jc w:val="both"/>
        <w:rPr>
          <w:rFonts w:asciiTheme="majorBidi" w:hAnsiTheme="majorBidi" w:cstheme="majorBidi"/>
          <w:w w:val="95"/>
          <w:rtl/>
          <w:lang w:bidi="ar-SA"/>
        </w:rPr>
      </w:pPr>
      <w:r w:rsidRPr="00BB11D1">
        <w:rPr>
          <w:rFonts w:asciiTheme="majorBidi" w:hAnsiTheme="majorBidi" w:cstheme="majorBidi"/>
          <w:w w:val="95"/>
          <w:rtl/>
          <w:lang w:bidi="ar-SA"/>
        </w:rPr>
        <w:t>كما هو مذكور في تقرير فرقة العمل المذكورة أعلاه ، فإن أصول التشفير ليست مناسبة بشكل خاص كوسيلة للدفع وتخزين القيمة (حيث تتقلب قيمتها بشدة في وحدة الحساب). وبالتالي ، فهي ليست في منافسة حقيقية مع الأوراق النقدية أو الودائع تحت الطلب لدى البنوك ، وبالتالي من المتوقع أيضًا أن تظل الآثار الثانوية على النظام المالي محدودة في المستقبل المنظور.</w:t>
      </w:r>
    </w:p>
    <w:p w:rsidR="00BB11D1" w:rsidRPr="00BB11D1" w:rsidRDefault="00BB11D1" w:rsidP="00BB11D1">
      <w:pPr>
        <w:pStyle w:val="BodyText"/>
        <w:bidi/>
        <w:spacing w:before="6"/>
        <w:rPr>
          <w:rFonts w:asciiTheme="majorBidi" w:hAnsiTheme="majorBidi" w:cstheme="majorBidi"/>
          <w:sz w:val="23"/>
        </w:rPr>
      </w:pPr>
    </w:p>
    <w:p w:rsidR="000255A4" w:rsidRPr="00BB11D1" w:rsidRDefault="00BB11D1" w:rsidP="006A2441">
      <w:pPr>
        <w:bidi/>
        <w:spacing w:after="15"/>
        <w:ind w:left="249"/>
        <w:jc w:val="both"/>
        <w:rPr>
          <w:rFonts w:asciiTheme="majorBidi" w:hAnsiTheme="majorBidi" w:cstheme="majorBidi"/>
          <w:i/>
        </w:rPr>
      </w:pPr>
      <w:r w:rsidRPr="00BB11D1">
        <w:rPr>
          <w:rFonts w:asciiTheme="majorBidi" w:hAnsiTheme="majorBidi" w:cs="Times New Roman"/>
          <w:i/>
          <w:iCs/>
          <w:rtl/>
          <w:lang w:bidi="ar-SA"/>
        </w:rPr>
        <w:t>الشكل 6: تأثير تشفير الأصول على الحسابات المالية</w:t>
      </w:r>
    </w:p>
    <w:tbl>
      <w:tblPr>
        <w:tblW w:w="0" w:type="auto"/>
        <w:tblInd w:w="147" w:type="dxa"/>
        <w:tblLayout w:type="fixed"/>
        <w:tblCellMar>
          <w:left w:w="0" w:type="dxa"/>
          <w:right w:w="0" w:type="dxa"/>
        </w:tblCellMar>
        <w:tblLook w:val="01E0" w:firstRow="1" w:lastRow="1" w:firstColumn="1" w:lastColumn="1" w:noHBand="0" w:noVBand="0"/>
      </w:tblPr>
      <w:tblGrid>
        <w:gridCol w:w="2273"/>
        <w:gridCol w:w="2355"/>
        <w:gridCol w:w="1903"/>
        <w:gridCol w:w="1801"/>
      </w:tblGrid>
      <w:tr w:rsidR="00BB11D1" w:rsidTr="00451448">
        <w:trPr>
          <w:trHeight w:val="244"/>
        </w:trPr>
        <w:tc>
          <w:tcPr>
            <w:tcW w:w="8332"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096" w:right="1089"/>
              <w:jc w:val="center"/>
              <w:rPr>
                <w:rFonts w:ascii="Trebuchet MS"/>
                <w:b/>
                <w:sz w:val="20"/>
              </w:rPr>
            </w:pPr>
            <w:r>
              <w:rPr>
                <w:rFonts w:ascii="Trebuchet MS"/>
                <w:b/>
                <w:sz w:val="20"/>
              </w:rPr>
              <w:t>Households, pension and investment funds, insurance companies</w:t>
            </w:r>
          </w:p>
        </w:tc>
      </w:tr>
      <w:tr w:rsidR="00BB11D1" w:rsidTr="00451448">
        <w:trPr>
          <w:trHeight w:val="263"/>
        </w:trPr>
        <w:tc>
          <w:tcPr>
            <w:tcW w:w="2273"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Real Assets</w:t>
            </w:r>
          </w:p>
        </w:tc>
        <w:tc>
          <w:tcPr>
            <w:tcW w:w="2355" w:type="dxa"/>
            <w:tcBorders>
              <w:top w:val="single" w:sz="4" w:space="0" w:color="000000"/>
              <w:right w:val="single" w:sz="4" w:space="0" w:color="000000"/>
            </w:tcBorders>
          </w:tcPr>
          <w:p w:rsidR="00BB11D1" w:rsidRDefault="00BB11D1" w:rsidP="00451448">
            <w:pPr>
              <w:pStyle w:val="TableParagraph"/>
              <w:spacing w:before="4"/>
              <w:ind w:left="427"/>
              <w:rPr>
                <w:rFonts w:ascii="Trebuchet MS" w:hAnsi="Trebuchet MS"/>
                <w:b/>
                <w:sz w:val="20"/>
              </w:rPr>
            </w:pPr>
            <w:r>
              <w:rPr>
                <w:sz w:val="20"/>
              </w:rPr>
              <w:t xml:space="preserve">20 </w:t>
            </w:r>
            <w:r>
              <w:rPr>
                <w:rFonts w:ascii="Trebuchet MS" w:hAnsi="Trebuchet MS"/>
                <w:b/>
                <w:color w:val="FF0000"/>
                <w:sz w:val="20"/>
              </w:rPr>
              <w:t>–CRYPTO.A</w:t>
            </w:r>
          </w:p>
        </w:tc>
        <w:tc>
          <w:tcPr>
            <w:tcW w:w="1903"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Household Equity</w:t>
            </w:r>
          </w:p>
        </w:tc>
        <w:tc>
          <w:tcPr>
            <w:tcW w:w="1801" w:type="dxa"/>
            <w:tcBorders>
              <w:top w:val="single" w:sz="4" w:space="0" w:color="000000"/>
              <w:right w:val="single" w:sz="4" w:space="0" w:color="000000"/>
            </w:tcBorders>
          </w:tcPr>
          <w:p w:rsidR="00BB11D1" w:rsidRDefault="00BB11D1" w:rsidP="00451448">
            <w:pPr>
              <w:pStyle w:val="TableParagraph"/>
              <w:spacing w:before="4"/>
              <w:ind w:left="366"/>
              <w:rPr>
                <w:rFonts w:ascii="Trebuchet MS"/>
                <w:b/>
                <w:sz w:val="20"/>
              </w:rPr>
            </w:pPr>
            <w:r>
              <w:rPr>
                <w:sz w:val="20"/>
              </w:rPr>
              <w:t xml:space="preserve">40 </w:t>
            </w:r>
            <w:r>
              <w:rPr>
                <w:rFonts w:ascii="Trebuchet MS"/>
                <w:b/>
                <w:color w:val="00AF50"/>
                <w:sz w:val="20"/>
              </w:rPr>
              <w:t>+CRYPTO.B</w:t>
            </w:r>
          </w:p>
        </w:tc>
      </w:tr>
      <w:tr w:rsidR="00BB11D1" w:rsidTr="00451448">
        <w:trPr>
          <w:trHeight w:val="243"/>
        </w:trPr>
        <w:tc>
          <w:tcPr>
            <w:tcW w:w="2273" w:type="dxa"/>
            <w:tcBorders>
              <w:left w:val="single" w:sz="4" w:space="0" w:color="000000"/>
            </w:tcBorders>
          </w:tcPr>
          <w:p w:rsidR="00BB11D1" w:rsidRDefault="00BB11D1" w:rsidP="00451448">
            <w:pPr>
              <w:pStyle w:val="TableParagraph"/>
              <w:spacing w:line="213" w:lineRule="exact"/>
              <w:ind w:left="107"/>
              <w:rPr>
                <w:sz w:val="20"/>
              </w:rPr>
            </w:pPr>
            <w:r>
              <w:rPr>
                <w:sz w:val="20"/>
              </w:rPr>
              <w:t>Sight deposits</w:t>
            </w:r>
          </w:p>
        </w:tc>
        <w:tc>
          <w:tcPr>
            <w:tcW w:w="2355" w:type="dxa"/>
            <w:tcBorders>
              <w:right w:val="single" w:sz="4" w:space="0" w:color="000000"/>
            </w:tcBorders>
          </w:tcPr>
          <w:p w:rsidR="00BB11D1" w:rsidRDefault="00BB11D1" w:rsidP="00451448">
            <w:pPr>
              <w:pStyle w:val="TableParagraph"/>
              <w:spacing w:line="213" w:lineRule="exact"/>
              <w:ind w:right="133"/>
              <w:jc w:val="center"/>
              <w:rPr>
                <w:sz w:val="20"/>
              </w:rPr>
            </w:pPr>
            <w:r>
              <w:rPr>
                <w:w w:val="90"/>
                <w:sz w:val="20"/>
              </w:rPr>
              <w:t>5</w:t>
            </w:r>
          </w:p>
        </w:tc>
        <w:tc>
          <w:tcPr>
            <w:tcW w:w="1903" w:type="dxa"/>
            <w:tcBorders>
              <w:left w:val="single" w:sz="4" w:space="0" w:color="000000"/>
            </w:tcBorders>
          </w:tcPr>
          <w:p w:rsidR="00BB11D1" w:rsidRDefault="00BB11D1" w:rsidP="00451448">
            <w:pPr>
              <w:pStyle w:val="TableParagraph"/>
              <w:spacing w:line="213" w:lineRule="exact"/>
              <w:ind w:left="107"/>
              <w:rPr>
                <w:sz w:val="20"/>
              </w:rPr>
            </w:pPr>
            <w:r>
              <w:rPr>
                <w:sz w:val="20"/>
              </w:rPr>
              <w:t>Bank loans</w:t>
            </w:r>
          </w:p>
        </w:tc>
        <w:tc>
          <w:tcPr>
            <w:tcW w:w="1801" w:type="dxa"/>
            <w:tcBorders>
              <w:right w:val="single" w:sz="4" w:space="0" w:color="000000"/>
            </w:tcBorders>
          </w:tcPr>
          <w:p w:rsidR="00BB11D1" w:rsidRDefault="00BB11D1" w:rsidP="00451448">
            <w:pPr>
              <w:pStyle w:val="TableParagraph"/>
              <w:spacing w:line="213" w:lineRule="exact"/>
              <w:ind w:left="282"/>
              <w:jc w:val="center"/>
              <w:rPr>
                <w:sz w:val="20"/>
              </w:rPr>
            </w:pPr>
            <w:r>
              <w:rPr>
                <w:w w:val="90"/>
                <w:sz w:val="20"/>
              </w:rPr>
              <w:t>5</w:t>
            </w:r>
          </w:p>
        </w:tc>
      </w:tr>
      <w:tr w:rsidR="00BB11D1" w:rsidTr="00451448">
        <w:trPr>
          <w:trHeight w:val="244"/>
        </w:trPr>
        <w:tc>
          <w:tcPr>
            <w:tcW w:w="2273" w:type="dxa"/>
            <w:tcBorders>
              <w:left w:val="single" w:sz="4" w:space="0" w:color="000000"/>
            </w:tcBorders>
          </w:tcPr>
          <w:p w:rsidR="00BB11D1" w:rsidRDefault="00BB11D1" w:rsidP="00451448">
            <w:pPr>
              <w:pStyle w:val="TableParagraph"/>
              <w:spacing w:line="215" w:lineRule="exact"/>
              <w:ind w:left="107"/>
              <w:rPr>
                <w:sz w:val="20"/>
              </w:rPr>
            </w:pPr>
            <w:r>
              <w:rPr>
                <w:sz w:val="20"/>
              </w:rPr>
              <w:t>Savings + time deposits</w:t>
            </w:r>
          </w:p>
        </w:tc>
        <w:tc>
          <w:tcPr>
            <w:tcW w:w="2355" w:type="dxa"/>
            <w:tcBorders>
              <w:right w:val="single" w:sz="4" w:space="0" w:color="000000"/>
            </w:tcBorders>
          </w:tcPr>
          <w:p w:rsidR="00BB11D1" w:rsidRDefault="00BB11D1" w:rsidP="00451448">
            <w:pPr>
              <w:pStyle w:val="TableParagraph"/>
              <w:spacing w:line="215" w:lineRule="exact"/>
              <w:ind w:right="244"/>
              <w:jc w:val="center"/>
              <w:rPr>
                <w:sz w:val="20"/>
              </w:rPr>
            </w:pPr>
            <w:r>
              <w:rPr>
                <w:w w:val="90"/>
                <w:sz w:val="20"/>
              </w:rPr>
              <w:t>4</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273" w:type="dxa"/>
            <w:tcBorders>
              <w:left w:val="single" w:sz="4" w:space="0" w:color="000000"/>
            </w:tcBorders>
          </w:tcPr>
          <w:p w:rsidR="00BB11D1" w:rsidRDefault="00BB11D1" w:rsidP="00451448">
            <w:pPr>
              <w:pStyle w:val="TableParagraph"/>
              <w:spacing w:line="217" w:lineRule="exact"/>
              <w:ind w:left="107"/>
              <w:rPr>
                <w:rFonts w:ascii="Trebuchet MS"/>
                <w:b/>
                <w:sz w:val="20"/>
              </w:rPr>
            </w:pPr>
            <w:r>
              <w:rPr>
                <w:rFonts w:ascii="Trebuchet MS"/>
                <w:b/>
                <w:sz w:val="20"/>
              </w:rPr>
              <w:t>Crypto-assets</w:t>
            </w:r>
          </w:p>
        </w:tc>
        <w:tc>
          <w:tcPr>
            <w:tcW w:w="2355" w:type="dxa"/>
            <w:tcBorders>
              <w:right w:val="single" w:sz="4" w:space="0" w:color="000000"/>
            </w:tcBorders>
          </w:tcPr>
          <w:p w:rsidR="00BB11D1" w:rsidRDefault="00BB11D1" w:rsidP="00451448">
            <w:pPr>
              <w:pStyle w:val="TableParagraph"/>
              <w:spacing w:line="217" w:lineRule="exact"/>
              <w:ind w:left="230"/>
              <w:rPr>
                <w:rFonts w:ascii="Trebuchet MS"/>
                <w:b/>
                <w:sz w:val="20"/>
              </w:rPr>
            </w:pPr>
            <w:r>
              <w:rPr>
                <w:rFonts w:ascii="Trebuchet MS"/>
                <w:b/>
                <w:color w:val="FF0000"/>
                <w:w w:val="95"/>
                <w:sz w:val="20"/>
              </w:rPr>
              <w:t xml:space="preserve">CRYPTO.A </w:t>
            </w:r>
            <w:r>
              <w:rPr>
                <w:rFonts w:ascii="Trebuchet MS"/>
                <w:b/>
                <w:color w:val="00AF50"/>
                <w:w w:val="95"/>
                <w:sz w:val="20"/>
              </w:rPr>
              <w:t>+CRYPTO.B</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273" w:type="dxa"/>
            <w:tcBorders>
              <w:left w:val="single" w:sz="4" w:space="0" w:color="000000"/>
            </w:tcBorders>
          </w:tcPr>
          <w:p w:rsidR="00BB11D1" w:rsidRDefault="00BB11D1" w:rsidP="00451448">
            <w:pPr>
              <w:pStyle w:val="TableParagraph"/>
              <w:spacing w:line="213" w:lineRule="exact"/>
              <w:ind w:left="107"/>
              <w:rPr>
                <w:sz w:val="20"/>
              </w:rPr>
            </w:pPr>
            <w:r>
              <w:rPr>
                <w:sz w:val="20"/>
              </w:rPr>
              <w:t>Banknotes</w:t>
            </w:r>
          </w:p>
        </w:tc>
        <w:tc>
          <w:tcPr>
            <w:tcW w:w="2355" w:type="dxa"/>
            <w:tcBorders>
              <w:right w:val="single" w:sz="4" w:space="0" w:color="000000"/>
            </w:tcBorders>
          </w:tcPr>
          <w:p w:rsidR="00BB11D1" w:rsidRDefault="00BB11D1" w:rsidP="00451448">
            <w:pPr>
              <w:pStyle w:val="TableParagraph"/>
              <w:spacing w:line="213" w:lineRule="exact"/>
              <w:ind w:right="148"/>
              <w:jc w:val="center"/>
              <w:rPr>
                <w:sz w:val="20"/>
              </w:rPr>
            </w:pPr>
            <w:r>
              <w:rPr>
                <w:w w:val="90"/>
                <w:sz w:val="20"/>
              </w:rPr>
              <w:t>1</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273" w:type="dxa"/>
            <w:tcBorders>
              <w:left w:val="single" w:sz="4" w:space="0" w:color="000000"/>
            </w:tcBorders>
          </w:tcPr>
          <w:p w:rsidR="00BB11D1" w:rsidRDefault="00BB11D1" w:rsidP="00451448">
            <w:pPr>
              <w:pStyle w:val="TableParagraph"/>
              <w:spacing w:line="215" w:lineRule="exact"/>
              <w:ind w:left="107"/>
              <w:rPr>
                <w:sz w:val="20"/>
              </w:rPr>
            </w:pPr>
            <w:r>
              <w:rPr>
                <w:sz w:val="20"/>
              </w:rPr>
              <w:t>Bank bonds</w:t>
            </w:r>
          </w:p>
        </w:tc>
        <w:tc>
          <w:tcPr>
            <w:tcW w:w="2355" w:type="dxa"/>
            <w:tcBorders>
              <w:right w:val="single" w:sz="4" w:space="0" w:color="000000"/>
            </w:tcBorders>
          </w:tcPr>
          <w:p w:rsidR="00BB11D1" w:rsidRDefault="00BB11D1" w:rsidP="00451448">
            <w:pPr>
              <w:pStyle w:val="TableParagraph"/>
              <w:spacing w:line="215" w:lineRule="exact"/>
              <w:ind w:right="154"/>
              <w:jc w:val="center"/>
              <w:rPr>
                <w:sz w:val="20"/>
              </w:rPr>
            </w:pPr>
            <w:r>
              <w:rPr>
                <w:w w:val="90"/>
                <w:sz w:val="20"/>
              </w:rPr>
              <w:t>4</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273" w:type="dxa"/>
            <w:tcBorders>
              <w:left w:val="single" w:sz="4" w:space="0" w:color="000000"/>
            </w:tcBorders>
          </w:tcPr>
          <w:p w:rsidR="00BB11D1" w:rsidRDefault="00BB11D1" w:rsidP="00451448">
            <w:pPr>
              <w:pStyle w:val="TableParagraph"/>
              <w:spacing w:line="215" w:lineRule="exact"/>
              <w:ind w:left="107"/>
              <w:rPr>
                <w:sz w:val="20"/>
              </w:rPr>
            </w:pPr>
            <w:r>
              <w:rPr>
                <w:sz w:val="20"/>
              </w:rPr>
              <w:t>Corporate/state bonds</w:t>
            </w:r>
          </w:p>
        </w:tc>
        <w:tc>
          <w:tcPr>
            <w:tcW w:w="2355" w:type="dxa"/>
            <w:tcBorders>
              <w:right w:val="single" w:sz="4" w:space="0" w:color="000000"/>
            </w:tcBorders>
          </w:tcPr>
          <w:p w:rsidR="00BB11D1" w:rsidRDefault="00BB11D1" w:rsidP="00451448">
            <w:pPr>
              <w:pStyle w:val="TableParagraph"/>
              <w:spacing w:line="215" w:lineRule="exact"/>
              <w:ind w:right="145"/>
              <w:jc w:val="center"/>
              <w:rPr>
                <w:sz w:val="20"/>
              </w:rPr>
            </w:pPr>
            <w:r>
              <w:rPr>
                <w:w w:val="90"/>
                <w:sz w:val="20"/>
              </w:rPr>
              <w:t>7</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24"/>
        </w:trPr>
        <w:tc>
          <w:tcPr>
            <w:tcW w:w="2273" w:type="dxa"/>
            <w:tcBorders>
              <w:left w:val="single" w:sz="4" w:space="0" w:color="000000"/>
              <w:bottom w:val="single" w:sz="4" w:space="0" w:color="000000"/>
            </w:tcBorders>
          </w:tcPr>
          <w:p w:rsidR="00BB11D1" w:rsidRDefault="00BB11D1" w:rsidP="00451448">
            <w:pPr>
              <w:pStyle w:val="TableParagraph"/>
              <w:spacing w:line="205" w:lineRule="exact"/>
              <w:ind w:left="107"/>
              <w:rPr>
                <w:sz w:val="20"/>
              </w:rPr>
            </w:pPr>
            <w:r>
              <w:rPr>
                <w:sz w:val="20"/>
              </w:rPr>
              <w:t>Equity</w:t>
            </w:r>
          </w:p>
        </w:tc>
        <w:tc>
          <w:tcPr>
            <w:tcW w:w="2355" w:type="dxa"/>
            <w:tcBorders>
              <w:bottom w:val="single" w:sz="4" w:space="0" w:color="000000"/>
              <w:right w:val="single" w:sz="4" w:space="0" w:color="000000"/>
            </w:tcBorders>
          </w:tcPr>
          <w:p w:rsidR="00BB11D1" w:rsidRDefault="00BB11D1" w:rsidP="00451448">
            <w:pPr>
              <w:pStyle w:val="TableParagraph"/>
              <w:spacing w:line="205" w:lineRule="exact"/>
              <w:ind w:right="114"/>
              <w:jc w:val="center"/>
              <w:rPr>
                <w:sz w:val="20"/>
              </w:rPr>
            </w:pPr>
            <w:r>
              <w:rPr>
                <w:w w:val="90"/>
                <w:sz w:val="20"/>
              </w:rPr>
              <w:t>8</w:t>
            </w:r>
          </w:p>
        </w:tc>
        <w:tc>
          <w:tcPr>
            <w:tcW w:w="1903"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1801" w:type="dxa"/>
            <w:tcBorders>
              <w:bottom w:val="single" w:sz="4" w:space="0" w:color="000000"/>
              <w:right w:val="single" w:sz="4" w:space="0" w:color="000000"/>
            </w:tcBorders>
          </w:tcPr>
          <w:p w:rsidR="00BB11D1" w:rsidRDefault="00BB11D1" w:rsidP="00451448">
            <w:pPr>
              <w:pStyle w:val="TableParagraph"/>
              <w:rPr>
                <w:rFonts w:ascii="Times New Roman"/>
                <w:sz w:val="16"/>
              </w:rPr>
            </w:pPr>
          </w:p>
        </w:tc>
      </w:tr>
    </w:tbl>
    <w:p w:rsidR="000255A4" w:rsidRPr="00BB11D1" w:rsidRDefault="000255A4" w:rsidP="006A2441">
      <w:pPr>
        <w:pStyle w:val="BodyText"/>
        <w:bidi/>
        <w:rPr>
          <w:rFonts w:asciiTheme="majorBidi" w:hAnsiTheme="majorBidi" w:cstheme="majorBidi"/>
          <w:i/>
        </w:rPr>
      </w:pPr>
    </w:p>
    <w:p w:rsidR="000255A4" w:rsidRPr="00BB11D1" w:rsidRDefault="000255A4" w:rsidP="006A2441">
      <w:pPr>
        <w:pStyle w:val="BodyText"/>
        <w:bidi/>
        <w:rPr>
          <w:rFonts w:asciiTheme="majorBidi" w:hAnsiTheme="majorBidi" w:cstheme="majorBidi"/>
          <w:i/>
          <w:sz w:val="27"/>
        </w:rPr>
      </w:pPr>
    </w:p>
    <w:p w:rsidR="000255A4" w:rsidRPr="00BB11D1" w:rsidRDefault="00BB11D1" w:rsidP="00BB11D1">
      <w:pPr>
        <w:pStyle w:val="Heading3"/>
        <w:bidi/>
        <w:spacing w:line="480" w:lineRule="auto"/>
        <w:rPr>
          <w:rFonts w:asciiTheme="majorBidi" w:hAnsiTheme="majorBidi" w:cstheme="majorBidi"/>
        </w:rPr>
      </w:pPr>
      <w:r w:rsidRPr="00BB11D1">
        <w:rPr>
          <w:rFonts w:asciiTheme="majorBidi" w:hAnsiTheme="majorBidi" w:cstheme="majorBidi"/>
        </w:rPr>
        <w:t>Stablecoins</w:t>
      </w:r>
      <w:r w:rsidRPr="00BB11D1">
        <w:rPr>
          <w:rFonts w:asciiTheme="majorBidi" w:hAnsiTheme="majorBidi" w:cstheme="majorBidi"/>
          <w:rtl/>
          <w:lang w:bidi="ar-SA"/>
        </w:rPr>
        <w:t xml:space="preserve"> مدعومة الاحتياطيات</w:t>
      </w:r>
    </w:p>
    <w:p w:rsidR="00BB11D1" w:rsidRPr="00BB11D1" w:rsidRDefault="00BB11D1" w:rsidP="00BB11D1">
      <w:pPr>
        <w:pStyle w:val="BodyText"/>
        <w:bidi/>
        <w:spacing w:line="480" w:lineRule="auto"/>
        <w:jc w:val="both"/>
        <w:rPr>
          <w:rFonts w:asciiTheme="majorBidi" w:hAnsiTheme="majorBidi" w:cstheme="majorBidi"/>
          <w:rtl/>
          <w:lang w:bidi="ar-LB"/>
        </w:rPr>
      </w:pPr>
      <w:r w:rsidRPr="00BB11D1">
        <w:rPr>
          <w:rFonts w:asciiTheme="majorBidi" w:hAnsiTheme="majorBidi" w:cstheme="majorBidi"/>
          <w:rtl/>
          <w:lang w:bidi="ar-SA"/>
        </w:rPr>
        <w:t>"</w:t>
      </w:r>
      <w:r w:rsidRPr="00BB11D1">
        <w:rPr>
          <w:rFonts w:asciiTheme="majorBidi" w:hAnsiTheme="majorBidi" w:cstheme="majorBidi"/>
        </w:rPr>
        <w:t>Stablecoins</w:t>
      </w:r>
      <w:r w:rsidRPr="00BB11D1">
        <w:rPr>
          <w:rFonts w:asciiTheme="majorBidi" w:hAnsiTheme="majorBidi" w:cstheme="majorBidi"/>
          <w:rtl/>
          <w:lang w:bidi="ar-SA"/>
        </w:rPr>
        <w:t xml:space="preserve">" هي محاولات للتغلب على التقلب الشديد في الأصول المشفرة الحالية من خلال الوصول إلى قيمة ثابتة (مقومة في بعض وحدات الحساب). هناك بعض التنوع في إنشاءات </w:t>
      </w:r>
      <w:r w:rsidRPr="00BB11D1">
        <w:rPr>
          <w:rFonts w:asciiTheme="majorBidi" w:hAnsiTheme="majorBidi" w:cstheme="majorBidi"/>
        </w:rPr>
        <w:t>Stablecoins</w:t>
      </w:r>
      <w:r w:rsidRPr="00BB11D1">
        <w:rPr>
          <w:rFonts w:asciiTheme="majorBidi" w:hAnsiTheme="majorBidi" w:cstheme="majorBidi"/>
          <w:rtl/>
          <w:lang w:bidi="ar-SA"/>
        </w:rPr>
        <w:t xml:space="preserve"> ، و "إلى الحد الذي يكون لديهم فيه مُصدر مُعرَّف ، لا يمثلون أصولًا مشفرة وفقًا للتعريف المستخدم في هذه الورقة وقد يكونون مؤهلين كأموال إلكترونية بموجب بعض التشريعات </w:t>
      </w:r>
      <w:r w:rsidRPr="00BB11D1">
        <w:rPr>
          <w:rFonts w:asciiTheme="majorBidi" w:hAnsiTheme="majorBidi" w:cstheme="majorBidi"/>
          <w:rtl/>
          <w:lang w:bidi="ar-SA"/>
        </w:rPr>
        <w:lastRenderedPageBreak/>
        <w:t>الوطنية" (</w:t>
      </w:r>
      <w:r w:rsidRPr="00BB11D1">
        <w:rPr>
          <w:rFonts w:asciiTheme="majorBidi" w:hAnsiTheme="majorBidi" w:cstheme="majorBidi"/>
        </w:rPr>
        <w:t xml:space="preserve">ECB 2019a </w:t>
      </w:r>
      <w:r w:rsidRPr="00BB11D1">
        <w:rPr>
          <w:rFonts w:asciiTheme="majorBidi" w:hAnsiTheme="majorBidi" w:cstheme="majorBidi"/>
          <w:rtl/>
          <w:lang w:bidi="ar-SA"/>
        </w:rPr>
        <w:t xml:space="preserve">، </w:t>
      </w:r>
      <w:r w:rsidRPr="00BB11D1">
        <w:rPr>
          <w:rFonts w:asciiTheme="majorBidi" w:hAnsiTheme="majorBidi" w:cstheme="majorBidi"/>
        </w:rPr>
        <w:t>14</w:t>
      </w:r>
      <w:r w:rsidRPr="00BB11D1">
        <w:rPr>
          <w:rFonts w:asciiTheme="majorBidi" w:hAnsiTheme="majorBidi" w:cstheme="majorBidi"/>
          <w:rtl/>
          <w:lang w:bidi="ar-SA"/>
        </w:rPr>
        <w:t xml:space="preserve"> ؛ مجموعة العمل </w:t>
      </w:r>
      <w:r w:rsidRPr="00BB11D1">
        <w:rPr>
          <w:rFonts w:asciiTheme="majorBidi" w:hAnsiTheme="majorBidi" w:cstheme="majorBidi"/>
        </w:rPr>
        <w:t>G7</w:t>
      </w:r>
      <w:r w:rsidRPr="00BB11D1">
        <w:rPr>
          <w:rFonts w:asciiTheme="majorBidi" w:hAnsiTheme="majorBidi" w:cstheme="majorBidi"/>
          <w:rtl/>
          <w:lang w:bidi="ar-SA"/>
        </w:rPr>
        <w:t xml:space="preserve"> على </w:t>
      </w:r>
      <w:r w:rsidRPr="00BB11D1">
        <w:rPr>
          <w:rFonts w:asciiTheme="majorBidi" w:hAnsiTheme="majorBidi" w:cstheme="majorBidi"/>
        </w:rPr>
        <w:t>Stablecoins 2019</w:t>
      </w:r>
      <w:r w:rsidRPr="00BB11D1">
        <w:rPr>
          <w:rFonts w:asciiTheme="majorBidi" w:hAnsiTheme="majorBidi" w:cstheme="majorBidi"/>
          <w:rtl/>
          <w:lang w:bidi="ar-SA"/>
        </w:rPr>
        <w:t xml:space="preserve"> ؛ </w:t>
      </w:r>
      <w:r w:rsidRPr="00BB11D1">
        <w:rPr>
          <w:rFonts w:asciiTheme="majorBidi" w:hAnsiTheme="majorBidi" w:cstheme="majorBidi"/>
        </w:rPr>
        <w:t>Bullmann et al 2019</w:t>
      </w:r>
      <w:r w:rsidRPr="00BB11D1">
        <w:rPr>
          <w:rFonts w:asciiTheme="majorBidi" w:hAnsiTheme="majorBidi" w:cstheme="majorBidi"/>
          <w:rtl/>
          <w:lang w:bidi="ar-SA"/>
        </w:rPr>
        <w:t xml:space="preserve">). في الآونة الأخيرة ، زاد اهتمام محافظي البنوك المركزية في </w:t>
      </w:r>
      <w:r w:rsidRPr="00BB11D1">
        <w:rPr>
          <w:rFonts w:asciiTheme="majorBidi" w:hAnsiTheme="majorBidi" w:cstheme="majorBidi"/>
        </w:rPr>
        <w:t>Stablecoins</w:t>
      </w:r>
      <w:r w:rsidRPr="00BB11D1">
        <w:rPr>
          <w:rFonts w:asciiTheme="majorBidi" w:hAnsiTheme="majorBidi" w:cstheme="majorBidi"/>
          <w:rtl/>
          <w:lang w:bidi="ar-SA"/>
        </w:rPr>
        <w:t xml:space="preserve"> ، بعد أن أعلن </w:t>
      </w:r>
      <w:r w:rsidRPr="00BB11D1">
        <w:rPr>
          <w:rFonts w:asciiTheme="majorBidi" w:hAnsiTheme="majorBidi" w:cstheme="majorBidi"/>
        </w:rPr>
        <w:t>Facebook</w:t>
      </w:r>
      <w:r w:rsidRPr="00BB11D1">
        <w:rPr>
          <w:rFonts w:asciiTheme="majorBidi" w:hAnsiTheme="majorBidi" w:cstheme="majorBidi"/>
          <w:rtl/>
          <w:lang w:bidi="ar-SA"/>
        </w:rPr>
        <w:t xml:space="preserve"> عن مشروع </w:t>
      </w:r>
      <w:r w:rsidRPr="00BB11D1">
        <w:rPr>
          <w:rFonts w:asciiTheme="majorBidi" w:hAnsiTheme="majorBidi" w:cstheme="majorBidi"/>
        </w:rPr>
        <w:t>Libra</w:t>
      </w:r>
      <w:r w:rsidRPr="00BB11D1">
        <w:rPr>
          <w:rFonts w:asciiTheme="majorBidi" w:hAnsiTheme="majorBidi" w:cstheme="majorBidi"/>
          <w:rtl/>
          <w:lang w:bidi="ar-SA"/>
        </w:rPr>
        <w:t xml:space="preserve"> الثابت للعملات المعدنية (انظر </w:t>
      </w:r>
      <w:r w:rsidRPr="00BB11D1">
        <w:rPr>
          <w:rFonts w:asciiTheme="majorBidi" w:hAnsiTheme="majorBidi" w:cstheme="majorBidi"/>
        </w:rPr>
        <w:t>www.libra.org</w:t>
      </w:r>
      <w:r w:rsidRPr="00BB11D1">
        <w:rPr>
          <w:rFonts w:asciiTheme="majorBidi" w:hAnsiTheme="majorBidi" w:cstheme="majorBidi"/>
          <w:rtl/>
          <w:lang w:bidi="ar-SA"/>
        </w:rPr>
        <w:t>) بما أنه من المخطط أن يتم دعم الميزان بالكامل باحتياطيات سائلة وعالية الجودة ، يمكن بالفعل تفسير ذلك على أنه يذهب أكثر في اتجاه مؤسسة الأموال الإلكترونية. الميزان سيكون "مستقراً" في سلة العملات التي سيتكررها ، وليس بعملة واحدة. أيضًا مشاريع مثل "عملة تسوية الأدوات المساعدة" (</w:t>
      </w:r>
      <w:r w:rsidRPr="00BB11D1">
        <w:rPr>
          <w:rFonts w:asciiTheme="majorBidi" w:hAnsiTheme="majorBidi" w:cstheme="majorBidi"/>
        </w:rPr>
        <w:t>USC</w:t>
      </w:r>
      <w:r w:rsidRPr="00BB11D1">
        <w:rPr>
          <w:rFonts w:asciiTheme="majorBidi" w:hAnsiTheme="majorBidi" w:cstheme="majorBidi"/>
          <w:rtl/>
          <w:lang w:bidi="ar-SA"/>
        </w:rPr>
        <w:t xml:space="preserve">) تندرج تحت تعريف العملة الثابت (انظر </w:t>
      </w:r>
      <w:r w:rsidRPr="00BB11D1">
        <w:rPr>
          <w:rFonts w:asciiTheme="majorBidi" w:hAnsiTheme="majorBidi" w:cstheme="majorBidi"/>
        </w:rPr>
        <w:t>www.fnality.org</w:t>
      </w:r>
      <w:r w:rsidRPr="00BB11D1">
        <w:rPr>
          <w:rFonts w:asciiTheme="majorBidi" w:hAnsiTheme="majorBidi" w:cstheme="majorBidi"/>
          <w:rtl/>
          <w:lang w:bidi="ar-SA"/>
        </w:rPr>
        <w:t>). </w:t>
      </w:r>
    </w:p>
    <w:p w:rsidR="000255A4"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يمكن دعم عملات </w:t>
      </w:r>
      <w:r w:rsidRPr="00BB11D1">
        <w:rPr>
          <w:rFonts w:asciiTheme="majorBidi" w:hAnsiTheme="majorBidi" w:cstheme="majorBidi"/>
        </w:rPr>
        <w:t>Stablecoins</w:t>
      </w:r>
      <w:r w:rsidRPr="00BB11D1">
        <w:rPr>
          <w:rFonts w:asciiTheme="majorBidi" w:hAnsiTheme="majorBidi" w:cstheme="majorBidi"/>
          <w:rtl/>
          <w:lang w:bidi="ar-SA"/>
        </w:rPr>
        <w:t xml:space="preserve"> باحتياطيات في شكل ودائع من البنك المركزي أو في أشكال أخرى (الودائع لدى البنوك ذات التصنيف العالي أو الأوراق المالية الحكومية قصيرة الأجل - رؤية الميزان). توضح الحسابات المالية أدناه الحالتين. نظرًا لأن </w:t>
      </w:r>
      <w:r w:rsidRPr="00BB11D1">
        <w:rPr>
          <w:rFonts w:asciiTheme="majorBidi" w:hAnsiTheme="majorBidi" w:cstheme="majorBidi"/>
        </w:rPr>
        <w:t>Stablecoins</w:t>
      </w:r>
      <w:r w:rsidRPr="00BB11D1">
        <w:rPr>
          <w:rFonts w:asciiTheme="majorBidi" w:hAnsiTheme="majorBidi" w:cstheme="majorBidi"/>
          <w:rtl/>
          <w:lang w:bidi="ar-SA"/>
        </w:rPr>
        <w:t xml:space="preserve"> أكثر ملاءمة كوسيلة للمدفوعات من أصول التشفير (إذا افترضنا أنها صدرت لأغراض الدفع العامة) ، فمن المتوقع أن تحل محل الأوراق النقدية و / أو الودائع تحت الطلب لدى البنوك أو كليهما (على غرار </w:t>
      </w:r>
      <w:r w:rsidRPr="00BB11D1">
        <w:rPr>
          <w:rFonts w:asciiTheme="majorBidi" w:hAnsiTheme="majorBidi" w:cstheme="majorBidi"/>
        </w:rPr>
        <w:t>CBDC</w:t>
      </w:r>
      <w:r w:rsidRPr="00BB11D1">
        <w:rPr>
          <w:rFonts w:asciiTheme="majorBidi" w:hAnsiTheme="majorBidi" w:cstheme="majorBidi"/>
          <w:rtl/>
          <w:lang w:bidi="ar-SA"/>
        </w:rPr>
        <w:t xml:space="preserve">). لا يتم عرض حسابات الحكومة والشركات حيث من المتوقع ألا تتأثر. </w:t>
      </w:r>
      <w:proofErr w:type="gramStart"/>
      <w:r w:rsidRPr="00BB11D1">
        <w:rPr>
          <w:rFonts w:asciiTheme="majorBidi" w:hAnsiTheme="majorBidi" w:cstheme="majorBidi"/>
        </w:rPr>
        <w:t>STC2</w:t>
      </w:r>
      <w:r w:rsidRPr="00BB11D1">
        <w:rPr>
          <w:rFonts w:asciiTheme="majorBidi" w:hAnsiTheme="majorBidi" w:cstheme="majorBidi"/>
          <w:rtl/>
          <w:lang w:bidi="ar-SA"/>
        </w:rPr>
        <w:t xml:space="preserve"> هي حيازات العملات المعدنية المستقرة التي تنتج عن استبدال الودائع في البنوك ، و </w:t>
      </w:r>
      <w:r w:rsidRPr="00BB11D1">
        <w:rPr>
          <w:rFonts w:asciiTheme="majorBidi" w:hAnsiTheme="majorBidi" w:cstheme="majorBidi"/>
        </w:rPr>
        <w:t>STC1</w:t>
      </w:r>
      <w:r w:rsidRPr="00BB11D1">
        <w:rPr>
          <w:rFonts w:asciiTheme="majorBidi" w:hAnsiTheme="majorBidi" w:cstheme="majorBidi"/>
          <w:rtl/>
          <w:lang w:bidi="ar-SA"/>
        </w:rPr>
        <w:t xml:space="preserve"> هي تلك الناتجة عن استبدال الأوراق النقدية.</w:t>
      </w:r>
      <w:proofErr w:type="gramEnd"/>
      <w:r w:rsidRPr="00BB11D1">
        <w:rPr>
          <w:rFonts w:asciiTheme="majorBidi" w:hAnsiTheme="majorBidi" w:cstheme="majorBidi"/>
          <w:rtl/>
          <w:lang w:bidi="ar-SA"/>
        </w:rPr>
        <w:t xml:space="preserve"> فيما يتعلق بحالة الدعم بأموال البنوك التجارية والسندات الحكومية ، نفترض أن شكلي الاحتياطيات لهما حصة من </w:t>
      </w:r>
      <w:r w:rsidRPr="00BB11D1">
        <w:rPr>
          <w:rFonts w:asciiTheme="majorBidi" w:hAnsiTheme="majorBidi" w:cstheme="majorBidi"/>
        </w:rPr>
        <w:t>α</w:t>
      </w:r>
      <w:r w:rsidRPr="00BB11D1">
        <w:rPr>
          <w:rFonts w:asciiTheme="majorBidi" w:hAnsiTheme="majorBidi" w:cstheme="majorBidi"/>
          <w:rtl/>
          <w:lang w:bidi="ar-SA"/>
        </w:rPr>
        <w:t xml:space="preserve"> و (1-</w:t>
      </w:r>
      <w:r w:rsidRPr="00BB11D1">
        <w:rPr>
          <w:rFonts w:asciiTheme="majorBidi" w:hAnsiTheme="majorBidi" w:cstheme="majorBidi"/>
        </w:rPr>
        <w:t>α</w:t>
      </w:r>
      <w:r w:rsidRPr="00BB11D1">
        <w:rPr>
          <w:rFonts w:asciiTheme="majorBidi" w:hAnsiTheme="majorBidi" w:cstheme="majorBidi"/>
          <w:rtl/>
          <w:lang w:bidi="ar-SA"/>
        </w:rPr>
        <w:t>) ، على التوالي. نحن نفترض أيضًا (من أجل التبسيط) أن حيازات الدين الحكومي بواسطة سيارة العملة المستقرة تأتي من حيازات البنوك السابقة (وليس من حيازات الأسر).</w:t>
      </w:r>
    </w:p>
    <w:p w:rsidR="000255A4" w:rsidRPr="00BB11D1" w:rsidRDefault="000255A4" w:rsidP="00BB11D1">
      <w:pPr>
        <w:pStyle w:val="BodyText"/>
        <w:bidi/>
        <w:spacing w:before="7"/>
        <w:jc w:val="both"/>
        <w:rPr>
          <w:rFonts w:asciiTheme="majorBidi" w:hAnsiTheme="majorBidi" w:cstheme="majorBidi"/>
          <w:sz w:val="24"/>
        </w:rPr>
      </w:pPr>
    </w:p>
    <w:p w:rsidR="000255A4" w:rsidRPr="00BB11D1" w:rsidRDefault="00BB11D1" w:rsidP="006A2441">
      <w:pPr>
        <w:bidi/>
        <w:spacing w:line="254" w:lineRule="auto"/>
        <w:ind w:left="250" w:right="790" w:hanging="1"/>
        <w:rPr>
          <w:rFonts w:asciiTheme="majorBidi" w:hAnsiTheme="majorBidi" w:cstheme="majorBidi"/>
          <w:i/>
        </w:rPr>
      </w:pPr>
      <w:r w:rsidRPr="00BB11D1">
        <w:rPr>
          <w:rFonts w:asciiTheme="majorBidi" w:hAnsiTheme="majorBidi" w:cs="Times New Roman"/>
          <w:i/>
          <w:iCs/>
          <w:w w:val="95"/>
          <w:rtl/>
          <w:lang w:bidi="ar-SA"/>
        </w:rPr>
        <w:t xml:space="preserve">الشكل 7: تمثيل حسابات </w:t>
      </w:r>
      <w:r w:rsidRPr="00BB11D1">
        <w:rPr>
          <w:rFonts w:asciiTheme="majorBidi" w:hAnsiTheme="majorBidi" w:cstheme="majorBidi"/>
          <w:i/>
          <w:iCs/>
          <w:w w:val="95"/>
        </w:rPr>
        <w:t>Stablecoin</w:t>
      </w:r>
      <w:r w:rsidRPr="00BB11D1">
        <w:rPr>
          <w:rFonts w:asciiTheme="majorBidi" w:hAnsiTheme="majorBidi" w:cs="Times New Roman"/>
          <w:i/>
          <w:iCs/>
          <w:w w:val="95"/>
          <w:rtl/>
          <w:lang w:bidi="ar-SA"/>
        </w:rPr>
        <w:t xml:space="preserve"> المالية مع احتياطيات في شكل ودائع مودعة لدى البنوك التجارية وفي شكل سندات حكومية (مثل ما تتخيله </w:t>
      </w:r>
      <w:r w:rsidRPr="00BB11D1">
        <w:rPr>
          <w:rFonts w:asciiTheme="majorBidi" w:hAnsiTheme="majorBidi" w:cstheme="majorBidi"/>
          <w:i/>
          <w:iCs/>
          <w:w w:val="95"/>
        </w:rPr>
        <w:t>Libra</w:t>
      </w:r>
      <w:r w:rsidRPr="00BB11D1">
        <w:rPr>
          <w:rFonts w:asciiTheme="majorBidi" w:hAnsiTheme="majorBidi" w:cs="Times New Roman"/>
          <w:i/>
          <w:iCs/>
          <w:w w:val="95"/>
          <w:rtl/>
          <w:lang w:bidi="ar-SA"/>
        </w:rPr>
        <w:t>)</w:t>
      </w:r>
    </w:p>
    <w:tbl>
      <w:tblPr>
        <w:tblW w:w="0" w:type="auto"/>
        <w:tblInd w:w="196" w:type="dxa"/>
        <w:tblLayout w:type="fixed"/>
        <w:tblCellMar>
          <w:left w:w="0" w:type="dxa"/>
          <w:right w:w="0" w:type="dxa"/>
        </w:tblCellMar>
        <w:tblLook w:val="01E0" w:firstRow="1" w:lastRow="1" w:firstColumn="1" w:lastColumn="1" w:noHBand="0" w:noVBand="0"/>
      </w:tblPr>
      <w:tblGrid>
        <w:gridCol w:w="2070"/>
        <w:gridCol w:w="2540"/>
        <w:gridCol w:w="2047"/>
        <w:gridCol w:w="1256"/>
        <w:gridCol w:w="702"/>
      </w:tblGrid>
      <w:tr w:rsidR="00BB11D1" w:rsidTr="00451448">
        <w:trPr>
          <w:trHeight w:val="244"/>
        </w:trPr>
        <w:tc>
          <w:tcPr>
            <w:tcW w:w="8615"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5"/>
              <w:jc w:val="center"/>
              <w:rPr>
                <w:rFonts w:ascii="Trebuchet MS"/>
                <w:b/>
                <w:sz w:val="20"/>
              </w:rPr>
            </w:pPr>
            <w:r>
              <w:rPr>
                <w:rFonts w:ascii="Trebuchet MS"/>
                <w:b/>
                <w:sz w:val="20"/>
              </w:rPr>
              <w:t>Households, pension and investment funds, insurance companies</w:t>
            </w:r>
          </w:p>
        </w:tc>
      </w:tr>
      <w:tr w:rsidR="00BB11D1" w:rsidTr="00451448">
        <w:trPr>
          <w:trHeight w:val="233"/>
        </w:trPr>
        <w:tc>
          <w:tcPr>
            <w:tcW w:w="2070" w:type="dxa"/>
            <w:tcBorders>
              <w:top w:val="single" w:sz="4" w:space="0" w:color="000000"/>
              <w:left w:val="single" w:sz="4" w:space="0" w:color="000000"/>
            </w:tcBorders>
          </w:tcPr>
          <w:p w:rsidR="00BB11D1" w:rsidRDefault="00BB11D1" w:rsidP="00451448">
            <w:pPr>
              <w:pStyle w:val="TableParagraph"/>
              <w:spacing w:before="4" w:line="209" w:lineRule="exact"/>
              <w:ind w:left="133"/>
              <w:rPr>
                <w:sz w:val="20"/>
              </w:rPr>
            </w:pPr>
            <w:r>
              <w:rPr>
                <w:sz w:val="20"/>
              </w:rPr>
              <w:t>Real Assets</w:t>
            </w:r>
          </w:p>
        </w:tc>
        <w:tc>
          <w:tcPr>
            <w:tcW w:w="2540" w:type="dxa"/>
            <w:tcBorders>
              <w:top w:val="single" w:sz="4" w:space="0" w:color="000000"/>
              <w:right w:val="single" w:sz="4" w:space="0" w:color="000000"/>
            </w:tcBorders>
          </w:tcPr>
          <w:p w:rsidR="00BB11D1" w:rsidRDefault="00BB11D1" w:rsidP="00451448">
            <w:pPr>
              <w:pStyle w:val="TableParagraph"/>
              <w:spacing w:before="4" w:line="209" w:lineRule="exact"/>
              <w:ind w:left="918" w:right="674"/>
              <w:jc w:val="center"/>
              <w:rPr>
                <w:sz w:val="20"/>
              </w:rPr>
            </w:pPr>
            <w:r>
              <w:rPr>
                <w:sz w:val="20"/>
              </w:rPr>
              <w:t>20</w:t>
            </w:r>
          </w:p>
        </w:tc>
        <w:tc>
          <w:tcPr>
            <w:tcW w:w="2047" w:type="dxa"/>
            <w:tcBorders>
              <w:top w:val="single" w:sz="4" w:space="0" w:color="000000"/>
              <w:left w:val="single" w:sz="4" w:space="0" w:color="000000"/>
            </w:tcBorders>
          </w:tcPr>
          <w:p w:rsidR="00BB11D1" w:rsidRDefault="00BB11D1" w:rsidP="00451448">
            <w:pPr>
              <w:pStyle w:val="TableParagraph"/>
              <w:spacing w:before="4" w:line="209" w:lineRule="exact"/>
              <w:ind w:left="150"/>
              <w:rPr>
                <w:sz w:val="20"/>
              </w:rPr>
            </w:pPr>
            <w:r>
              <w:rPr>
                <w:sz w:val="20"/>
              </w:rPr>
              <w:t>Household Equity</w:t>
            </w:r>
          </w:p>
        </w:tc>
        <w:tc>
          <w:tcPr>
            <w:tcW w:w="1256" w:type="dxa"/>
            <w:vMerge w:val="restart"/>
            <w:tcBorders>
              <w:top w:val="single" w:sz="4" w:space="0" w:color="000000"/>
              <w:bottom w:val="single" w:sz="24" w:space="0" w:color="000000"/>
            </w:tcBorders>
          </w:tcPr>
          <w:p w:rsidR="00BB11D1" w:rsidRDefault="00BB11D1" w:rsidP="00451448">
            <w:pPr>
              <w:pStyle w:val="TableParagraph"/>
              <w:rPr>
                <w:rFonts w:ascii="Times New Roman"/>
                <w:sz w:val="20"/>
              </w:rPr>
            </w:pPr>
          </w:p>
        </w:tc>
        <w:tc>
          <w:tcPr>
            <w:tcW w:w="702" w:type="dxa"/>
            <w:tcBorders>
              <w:top w:val="single" w:sz="4" w:space="0" w:color="000000"/>
              <w:right w:val="single" w:sz="4" w:space="0" w:color="000000"/>
            </w:tcBorders>
          </w:tcPr>
          <w:p w:rsidR="00BB11D1" w:rsidRDefault="00BB11D1" w:rsidP="00451448">
            <w:pPr>
              <w:pStyle w:val="TableParagraph"/>
              <w:spacing w:before="4" w:line="209" w:lineRule="exact"/>
              <w:ind w:left="49"/>
              <w:rPr>
                <w:sz w:val="20"/>
              </w:rPr>
            </w:pPr>
            <w:r>
              <w:rPr>
                <w:sz w:val="20"/>
              </w:rPr>
              <w:t>40</w:t>
            </w:r>
          </w:p>
        </w:tc>
      </w:tr>
      <w:tr w:rsidR="00BB11D1" w:rsidTr="00451448">
        <w:trPr>
          <w:trHeight w:val="183"/>
        </w:trPr>
        <w:tc>
          <w:tcPr>
            <w:tcW w:w="2070" w:type="dxa"/>
            <w:tcBorders>
              <w:left w:val="single" w:sz="4" w:space="0" w:color="000000"/>
            </w:tcBorders>
          </w:tcPr>
          <w:p w:rsidR="00BB11D1" w:rsidRDefault="00BB11D1" w:rsidP="00451448">
            <w:pPr>
              <w:pStyle w:val="TableParagraph"/>
              <w:spacing w:line="164" w:lineRule="exact"/>
              <w:ind w:left="133"/>
              <w:rPr>
                <w:sz w:val="20"/>
              </w:rPr>
            </w:pPr>
            <w:r>
              <w:rPr>
                <w:sz w:val="20"/>
              </w:rPr>
              <w:t>Sight deposits</w:t>
            </w:r>
          </w:p>
        </w:tc>
        <w:tc>
          <w:tcPr>
            <w:tcW w:w="2540" w:type="dxa"/>
            <w:tcBorders>
              <w:right w:val="single" w:sz="4" w:space="0" w:color="000000"/>
            </w:tcBorders>
          </w:tcPr>
          <w:p w:rsidR="00BB11D1" w:rsidRDefault="00BB11D1" w:rsidP="00451448">
            <w:pPr>
              <w:pStyle w:val="TableParagraph"/>
              <w:spacing w:line="164" w:lineRule="exact"/>
              <w:ind w:right="552"/>
              <w:jc w:val="right"/>
              <w:rPr>
                <w:rFonts w:ascii="Trebuchet MS"/>
                <w:b/>
                <w:sz w:val="20"/>
              </w:rPr>
            </w:pPr>
            <w:r>
              <w:rPr>
                <w:w w:val="95"/>
                <w:sz w:val="20"/>
              </w:rPr>
              <w:t xml:space="preserve">5 </w:t>
            </w:r>
            <w:r>
              <w:rPr>
                <w:rFonts w:ascii="Trebuchet MS"/>
                <w:b/>
                <w:color w:val="FF0000"/>
                <w:w w:val="95"/>
                <w:sz w:val="20"/>
              </w:rPr>
              <w:t>- STC2</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185"/>
        </w:trPr>
        <w:tc>
          <w:tcPr>
            <w:tcW w:w="2070" w:type="dxa"/>
            <w:tcBorders>
              <w:left w:val="single" w:sz="4" w:space="0" w:color="000000"/>
            </w:tcBorders>
          </w:tcPr>
          <w:p w:rsidR="00BB11D1" w:rsidRDefault="00BB11D1" w:rsidP="00451448">
            <w:pPr>
              <w:pStyle w:val="TableParagraph"/>
              <w:spacing w:line="165" w:lineRule="exact"/>
              <w:ind w:left="133" w:right="-15"/>
              <w:rPr>
                <w:sz w:val="20"/>
              </w:rPr>
            </w:pPr>
            <w:r>
              <w:rPr>
                <w:w w:val="95"/>
                <w:sz w:val="20"/>
              </w:rPr>
              <w:t>Savings</w:t>
            </w:r>
            <w:r>
              <w:rPr>
                <w:spacing w:val="-32"/>
                <w:w w:val="95"/>
                <w:sz w:val="20"/>
              </w:rPr>
              <w:t xml:space="preserve"> </w:t>
            </w:r>
            <w:r>
              <w:rPr>
                <w:w w:val="95"/>
                <w:sz w:val="20"/>
              </w:rPr>
              <w:t>+</w:t>
            </w:r>
            <w:r>
              <w:rPr>
                <w:spacing w:val="-32"/>
                <w:w w:val="95"/>
                <w:sz w:val="20"/>
              </w:rPr>
              <w:t xml:space="preserve"> </w:t>
            </w:r>
            <w:r>
              <w:rPr>
                <w:w w:val="95"/>
                <w:sz w:val="20"/>
              </w:rPr>
              <w:t>time</w:t>
            </w:r>
            <w:r>
              <w:rPr>
                <w:spacing w:val="-10"/>
                <w:w w:val="95"/>
                <w:sz w:val="20"/>
              </w:rPr>
              <w:t xml:space="preserve"> </w:t>
            </w:r>
            <w:r>
              <w:rPr>
                <w:w w:val="95"/>
                <w:sz w:val="20"/>
              </w:rPr>
              <w:t>deposits</w:t>
            </w:r>
          </w:p>
        </w:tc>
        <w:tc>
          <w:tcPr>
            <w:tcW w:w="2540" w:type="dxa"/>
            <w:tcBorders>
              <w:right w:val="single" w:sz="4" w:space="0" w:color="000000"/>
            </w:tcBorders>
          </w:tcPr>
          <w:p w:rsidR="00BB11D1" w:rsidRDefault="00BB11D1" w:rsidP="00451448">
            <w:pPr>
              <w:pStyle w:val="TableParagraph"/>
              <w:spacing w:line="165" w:lineRule="exact"/>
              <w:ind w:left="24"/>
              <w:jc w:val="center"/>
              <w:rPr>
                <w:sz w:val="20"/>
              </w:rPr>
            </w:pPr>
            <w:r>
              <w:rPr>
                <w:w w:val="90"/>
                <w:sz w:val="20"/>
              </w:rPr>
              <w:t>4</w:t>
            </w:r>
          </w:p>
        </w:tc>
        <w:tc>
          <w:tcPr>
            <w:tcW w:w="2047" w:type="dxa"/>
            <w:tcBorders>
              <w:left w:val="single" w:sz="4" w:space="0" w:color="000000"/>
            </w:tcBorders>
          </w:tcPr>
          <w:p w:rsidR="00BB11D1" w:rsidRDefault="00BB11D1" w:rsidP="00451448">
            <w:pPr>
              <w:pStyle w:val="TableParagraph"/>
              <w:spacing w:line="165" w:lineRule="exact"/>
              <w:ind w:left="150"/>
              <w:rPr>
                <w:sz w:val="20"/>
              </w:rPr>
            </w:pPr>
            <w:r>
              <w:rPr>
                <w:sz w:val="20"/>
              </w:rPr>
              <w:t>Bank loans</w:t>
            </w: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spacing w:line="165" w:lineRule="exact"/>
              <w:ind w:left="128"/>
              <w:rPr>
                <w:sz w:val="20"/>
              </w:rPr>
            </w:pPr>
            <w:r>
              <w:rPr>
                <w:w w:val="90"/>
                <w:sz w:val="20"/>
              </w:rPr>
              <w:t>5</w:t>
            </w:r>
          </w:p>
        </w:tc>
      </w:tr>
      <w:tr w:rsidR="00BB11D1" w:rsidTr="00451448">
        <w:trPr>
          <w:trHeight w:val="207"/>
        </w:trPr>
        <w:tc>
          <w:tcPr>
            <w:tcW w:w="2070" w:type="dxa"/>
            <w:tcBorders>
              <w:left w:val="single" w:sz="4" w:space="0" w:color="000000"/>
            </w:tcBorders>
          </w:tcPr>
          <w:p w:rsidR="00BB11D1" w:rsidRDefault="00BB11D1" w:rsidP="00451448">
            <w:pPr>
              <w:pStyle w:val="TableParagraph"/>
              <w:spacing w:line="188" w:lineRule="exact"/>
              <w:ind w:left="133"/>
              <w:rPr>
                <w:rFonts w:ascii="Trebuchet MS"/>
                <w:b/>
              </w:rPr>
            </w:pPr>
            <w:r>
              <w:rPr>
                <w:rFonts w:ascii="Trebuchet MS"/>
                <w:b/>
                <w:w w:val="95"/>
              </w:rPr>
              <w:t>STC</w:t>
            </w:r>
          </w:p>
        </w:tc>
        <w:tc>
          <w:tcPr>
            <w:tcW w:w="2540" w:type="dxa"/>
            <w:tcBorders>
              <w:right w:val="single" w:sz="4" w:space="0" w:color="000000"/>
            </w:tcBorders>
          </w:tcPr>
          <w:p w:rsidR="00BB11D1" w:rsidRDefault="00BB11D1" w:rsidP="00451448">
            <w:pPr>
              <w:pStyle w:val="TableParagraph"/>
              <w:spacing w:line="188" w:lineRule="exact"/>
              <w:ind w:right="505"/>
              <w:jc w:val="right"/>
              <w:rPr>
                <w:rFonts w:ascii="Trebuchet MS"/>
                <w:b/>
              </w:rPr>
            </w:pPr>
            <w:r>
              <w:rPr>
                <w:rFonts w:ascii="Trebuchet MS"/>
                <w:b/>
                <w:color w:val="FF0000"/>
                <w:w w:val="85"/>
              </w:rPr>
              <w:t>STC2</w:t>
            </w:r>
            <w:r>
              <w:rPr>
                <w:rFonts w:ascii="Trebuchet MS"/>
                <w:b/>
                <w:color w:val="00AF50"/>
                <w:w w:val="85"/>
              </w:rPr>
              <w:t>+STC1</w:t>
            </w:r>
          </w:p>
        </w:tc>
        <w:tc>
          <w:tcPr>
            <w:tcW w:w="2047" w:type="dxa"/>
            <w:tcBorders>
              <w:left w:val="single" w:sz="4" w:space="0" w:color="000000"/>
            </w:tcBorders>
          </w:tcPr>
          <w:p w:rsidR="00BB11D1" w:rsidRDefault="00BB11D1" w:rsidP="00451448">
            <w:pPr>
              <w:pStyle w:val="TableParagraph"/>
              <w:rPr>
                <w:rFonts w:ascii="Times New Roman"/>
                <w:sz w:val="14"/>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4"/>
              </w:rPr>
            </w:pPr>
          </w:p>
        </w:tc>
      </w:tr>
      <w:tr w:rsidR="00BB11D1" w:rsidTr="00451448">
        <w:trPr>
          <w:trHeight w:val="184"/>
        </w:trPr>
        <w:tc>
          <w:tcPr>
            <w:tcW w:w="2070" w:type="dxa"/>
            <w:tcBorders>
              <w:left w:val="single" w:sz="4" w:space="0" w:color="000000"/>
            </w:tcBorders>
          </w:tcPr>
          <w:p w:rsidR="00BB11D1" w:rsidRDefault="00BB11D1" w:rsidP="00451448">
            <w:pPr>
              <w:pStyle w:val="TableParagraph"/>
              <w:spacing w:line="165" w:lineRule="exact"/>
              <w:ind w:left="133"/>
              <w:rPr>
                <w:sz w:val="20"/>
              </w:rPr>
            </w:pPr>
            <w:r>
              <w:rPr>
                <w:sz w:val="20"/>
              </w:rPr>
              <w:t>Banknotes</w:t>
            </w:r>
          </w:p>
        </w:tc>
        <w:tc>
          <w:tcPr>
            <w:tcW w:w="2540" w:type="dxa"/>
            <w:tcBorders>
              <w:right w:val="single" w:sz="4" w:space="0" w:color="000000"/>
            </w:tcBorders>
          </w:tcPr>
          <w:p w:rsidR="00BB11D1" w:rsidRDefault="00BB11D1" w:rsidP="00451448">
            <w:pPr>
              <w:pStyle w:val="TableParagraph"/>
              <w:spacing w:line="165" w:lineRule="exact"/>
              <w:ind w:right="560"/>
              <w:jc w:val="right"/>
              <w:rPr>
                <w:rFonts w:ascii="Trebuchet MS"/>
                <w:b/>
                <w:sz w:val="20"/>
              </w:rPr>
            </w:pPr>
            <w:r>
              <w:rPr>
                <w:w w:val="95"/>
                <w:sz w:val="20"/>
              </w:rPr>
              <w:t xml:space="preserve">1 </w:t>
            </w:r>
            <w:r>
              <w:rPr>
                <w:rFonts w:ascii="Trebuchet MS"/>
                <w:b/>
                <w:color w:val="00AF50"/>
                <w:w w:val="95"/>
                <w:sz w:val="20"/>
              </w:rPr>
              <w:t>-STC1</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183"/>
        </w:trPr>
        <w:tc>
          <w:tcPr>
            <w:tcW w:w="2070" w:type="dxa"/>
            <w:tcBorders>
              <w:left w:val="single" w:sz="4" w:space="0" w:color="000000"/>
            </w:tcBorders>
          </w:tcPr>
          <w:p w:rsidR="00BB11D1" w:rsidRDefault="00BB11D1" w:rsidP="00451448">
            <w:pPr>
              <w:pStyle w:val="TableParagraph"/>
              <w:spacing w:line="164" w:lineRule="exact"/>
              <w:ind w:left="133"/>
              <w:rPr>
                <w:sz w:val="20"/>
              </w:rPr>
            </w:pPr>
            <w:r>
              <w:rPr>
                <w:sz w:val="20"/>
              </w:rPr>
              <w:t>Bank bonds</w:t>
            </w:r>
          </w:p>
        </w:tc>
        <w:tc>
          <w:tcPr>
            <w:tcW w:w="2540" w:type="dxa"/>
            <w:tcBorders>
              <w:right w:val="single" w:sz="4" w:space="0" w:color="000000"/>
            </w:tcBorders>
          </w:tcPr>
          <w:p w:rsidR="00BB11D1" w:rsidRDefault="00BB11D1" w:rsidP="00451448">
            <w:pPr>
              <w:pStyle w:val="TableParagraph"/>
              <w:spacing w:line="164" w:lineRule="exact"/>
              <w:ind w:left="115"/>
              <w:jc w:val="center"/>
              <w:rPr>
                <w:sz w:val="20"/>
              </w:rPr>
            </w:pPr>
            <w:r>
              <w:rPr>
                <w:w w:val="90"/>
                <w:sz w:val="20"/>
              </w:rPr>
              <w:t>4</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184"/>
        </w:trPr>
        <w:tc>
          <w:tcPr>
            <w:tcW w:w="2070" w:type="dxa"/>
            <w:tcBorders>
              <w:left w:val="single" w:sz="4" w:space="0" w:color="000000"/>
            </w:tcBorders>
          </w:tcPr>
          <w:p w:rsidR="00BB11D1" w:rsidRDefault="00BB11D1" w:rsidP="00451448">
            <w:pPr>
              <w:pStyle w:val="TableParagraph"/>
              <w:spacing w:line="165" w:lineRule="exact"/>
              <w:ind w:left="133"/>
              <w:rPr>
                <w:sz w:val="20"/>
              </w:rPr>
            </w:pPr>
            <w:r>
              <w:rPr>
                <w:w w:val="95"/>
                <w:sz w:val="20"/>
              </w:rPr>
              <w:t>Corporate/state bonds</w:t>
            </w:r>
          </w:p>
        </w:tc>
        <w:tc>
          <w:tcPr>
            <w:tcW w:w="2540" w:type="dxa"/>
            <w:tcBorders>
              <w:right w:val="single" w:sz="4" w:space="0" w:color="000000"/>
            </w:tcBorders>
          </w:tcPr>
          <w:p w:rsidR="00BB11D1" w:rsidRDefault="00BB11D1" w:rsidP="00451448">
            <w:pPr>
              <w:pStyle w:val="TableParagraph"/>
              <w:spacing w:line="165" w:lineRule="exact"/>
              <w:ind w:left="125"/>
              <w:jc w:val="center"/>
              <w:rPr>
                <w:sz w:val="20"/>
              </w:rPr>
            </w:pPr>
            <w:r>
              <w:rPr>
                <w:w w:val="90"/>
                <w:sz w:val="20"/>
              </w:rPr>
              <w:t>7</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413"/>
        </w:trPr>
        <w:tc>
          <w:tcPr>
            <w:tcW w:w="2070" w:type="dxa"/>
            <w:tcBorders>
              <w:left w:val="single" w:sz="4" w:space="0" w:color="000000"/>
              <w:bottom w:val="single" w:sz="24" w:space="0" w:color="000000"/>
            </w:tcBorders>
          </w:tcPr>
          <w:p w:rsidR="00BB11D1" w:rsidRDefault="00BB11D1" w:rsidP="00451448">
            <w:pPr>
              <w:pStyle w:val="TableParagraph"/>
              <w:spacing w:line="185" w:lineRule="exact"/>
              <w:ind w:left="133"/>
              <w:rPr>
                <w:sz w:val="20"/>
              </w:rPr>
            </w:pPr>
            <w:r>
              <w:rPr>
                <w:sz w:val="20"/>
              </w:rPr>
              <w:t>Equity</w:t>
            </w:r>
          </w:p>
        </w:tc>
        <w:tc>
          <w:tcPr>
            <w:tcW w:w="2540" w:type="dxa"/>
            <w:tcBorders>
              <w:bottom w:val="single" w:sz="24" w:space="0" w:color="000000"/>
              <w:right w:val="single" w:sz="4" w:space="0" w:color="000000"/>
            </w:tcBorders>
          </w:tcPr>
          <w:p w:rsidR="00BB11D1" w:rsidRDefault="00BB11D1" w:rsidP="00451448">
            <w:pPr>
              <w:pStyle w:val="TableParagraph"/>
              <w:spacing w:line="185" w:lineRule="exact"/>
              <w:ind w:left="155"/>
              <w:jc w:val="center"/>
              <w:rPr>
                <w:sz w:val="20"/>
              </w:rPr>
            </w:pPr>
            <w:r>
              <w:rPr>
                <w:w w:val="90"/>
                <w:sz w:val="20"/>
              </w:rPr>
              <w:t>8</w:t>
            </w:r>
          </w:p>
        </w:tc>
        <w:tc>
          <w:tcPr>
            <w:tcW w:w="2047" w:type="dxa"/>
            <w:tcBorders>
              <w:left w:val="single" w:sz="4" w:space="0" w:color="000000"/>
              <w:bottom w:val="single" w:sz="24" w:space="0" w:color="000000"/>
            </w:tcBorders>
          </w:tcPr>
          <w:p w:rsidR="00BB11D1" w:rsidRDefault="00BB11D1" w:rsidP="00451448">
            <w:pPr>
              <w:pStyle w:val="TableParagraph"/>
              <w:rPr>
                <w:rFonts w:ascii="Times New Roman"/>
                <w:sz w:val="20"/>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bottom w:val="single" w:sz="24" w:space="0" w:color="000000"/>
              <w:right w:val="single" w:sz="4" w:space="0" w:color="000000"/>
            </w:tcBorders>
          </w:tcPr>
          <w:p w:rsidR="00BB11D1" w:rsidRDefault="00BB11D1" w:rsidP="00451448">
            <w:pPr>
              <w:pStyle w:val="TableParagraph"/>
              <w:rPr>
                <w:rFonts w:ascii="Times New Roman"/>
                <w:sz w:val="20"/>
              </w:rPr>
            </w:pPr>
          </w:p>
        </w:tc>
      </w:tr>
      <w:tr w:rsidR="00BB11D1" w:rsidTr="00451448">
        <w:trPr>
          <w:trHeight w:val="343"/>
        </w:trPr>
        <w:tc>
          <w:tcPr>
            <w:tcW w:w="8615" w:type="dxa"/>
            <w:gridSpan w:val="5"/>
            <w:tcBorders>
              <w:top w:val="single" w:sz="24" w:space="0" w:color="000000"/>
              <w:left w:val="single" w:sz="34" w:space="0" w:color="000000"/>
              <w:bottom w:val="single" w:sz="4" w:space="0" w:color="000000"/>
              <w:right w:val="single" w:sz="24" w:space="0" w:color="000000"/>
            </w:tcBorders>
            <w:shd w:val="clear" w:color="auto" w:fill="FFFF00"/>
          </w:tcPr>
          <w:p w:rsidR="00BB11D1" w:rsidRDefault="00BB11D1" w:rsidP="00451448">
            <w:pPr>
              <w:pStyle w:val="TableParagraph"/>
              <w:spacing w:before="4"/>
              <w:ind w:left="3043" w:right="3003"/>
              <w:jc w:val="center"/>
              <w:rPr>
                <w:rFonts w:ascii="Trebuchet MS"/>
                <w:b/>
                <w:sz w:val="20"/>
              </w:rPr>
            </w:pPr>
            <w:r>
              <w:rPr>
                <w:rFonts w:ascii="Trebuchet MS"/>
                <w:b/>
                <w:sz w:val="20"/>
              </w:rPr>
              <w:t>Stable coin issuing vehicle</w:t>
            </w:r>
          </w:p>
        </w:tc>
      </w:tr>
      <w:tr w:rsidR="00BB11D1" w:rsidTr="00451448">
        <w:trPr>
          <w:trHeight w:val="489"/>
        </w:trPr>
        <w:tc>
          <w:tcPr>
            <w:tcW w:w="2070" w:type="dxa"/>
            <w:tcBorders>
              <w:top w:val="single" w:sz="4" w:space="0" w:color="000000"/>
              <w:left w:val="single" w:sz="34" w:space="0" w:color="000000"/>
              <w:bottom w:val="single" w:sz="24" w:space="0" w:color="000000"/>
            </w:tcBorders>
            <w:shd w:val="clear" w:color="auto" w:fill="FFFF00"/>
          </w:tcPr>
          <w:p w:rsidR="00BB11D1" w:rsidRDefault="00BB11D1" w:rsidP="00451448">
            <w:pPr>
              <w:pStyle w:val="TableParagraph"/>
              <w:spacing w:before="4"/>
              <w:ind w:left="95"/>
              <w:rPr>
                <w:rFonts w:ascii="Trebuchet MS"/>
                <w:b/>
                <w:sz w:val="20"/>
              </w:rPr>
            </w:pPr>
            <w:r>
              <w:rPr>
                <w:rFonts w:ascii="Trebuchet MS"/>
                <w:b/>
                <w:sz w:val="20"/>
              </w:rPr>
              <w:t>Deposits with banks</w:t>
            </w:r>
          </w:p>
          <w:p w:rsidR="00BB11D1" w:rsidRDefault="00BB11D1" w:rsidP="00451448">
            <w:pPr>
              <w:pStyle w:val="TableParagraph"/>
              <w:spacing w:before="12" w:line="221" w:lineRule="exact"/>
              <w:ind w:left="95"/>
              <w:rPr>
                <w:rFonts w:ascii="Trebuchet MS"/>
                <w:b/>
                <w:sz w:val="20"/>
              </w:rPr>
            </w:pPr>
            <w:r>
              <w:rPr>
                <w:rFonts w:ascii="Trebuchet MS"/>
                <w:b/>
                <w:sz w:val="20"/>
              </w:rPr>
              <w:t>Government bonds</w:t>
            </w:r>
          </w:p>
        </w:tc>
        <w:tc>
          <w:tcPr>
            <w:tcW w:w="2540" w:type="dxa"/>
            <w:tcBorders>
              <w:top w:val="single" w:sz="4" w:space="0" w:color="000000"/>
              <w:bottom w:val="single" w:sz="24" w:space="0" w:color="000000"/>
              <w:right w:val="single" w:sz="4" w:space="0" w:color="000000"/>
            </w:tcBorders>
            <w:shd w:val="clear" w:color="auto" w:fill="FFFF00"/>
          </w:tcPr>
          <w:p w:rsidR="00BB11D1" w:rsidRDefault="00BB11D1" w:rsidP="00451448">
            <w:pPr>
              <w:pStyle w:val="TableParagraph"/>
              <w:spacing w:before="4"/>
              <w:ind w:right="835"/>
              <w:jc w:val="right"/>
              <w:rPr>
                <w:sz w:val="20"/>
              </w:rPr>
            </w:pPr>
            <w:r>
              <w:rPr>
                <w:b/>
                <w:w w:val="85"/>
                <w:sz w:val="20"/>
              </w:rPr>
              <w:t>α(</w:t>
            </w:r>
            <w:r>
              <w:rPr>
                <w:rFonts w:ascii="Trebuchet MS" w:hAnsi="Trebuchet MS"/>
                <w:b/>
                <w:color w:val="FF0000"/>
                <w:w w:val="85"/>
                <w:sz w:val="20"/>
              </w:rPr>
              <w:t>STC2</w:t>
            </w:r>
            <w:r>
              <w:rPr>
                <w:rFonts w:ascii="Trebuchet MS" w:hAnsi="Trebuchet MS"/>
                <w:b/>
                <w:color w:val="00AF50"/>
                <w:w w:val="85"/>
                <w:sz w:val="20"/>
              </w:rPr>
              <w:t>+STC1</w:t>
            </w:r>
            <w:r>
              <w:rPr>
                <w:w w:val="85"/>
                <w:sz w:val="20"/>
              </w:rPr>
              <w:t>)</w:t>
            </w:r>
          </w:p>
          <w:p w:rsidR="00BB11D1" w:rsidRDefault="00BB11D1" w:rsidP="00451448">
            <w:pPr>
              <w:pStyle w:val="TableParagraph"/>
              <w:spacing w:before="12" w:line="221" w:lineRule="exact"/>
              <w:ind w:right="756"/>
              <w:jc w:val="right"/>
              <w:rPr>
                <w:sz w:val="20"/>
              </w:rPr>
            </w:pPr>
            <w:r>
              <w:rPr>
                <w:rFonts w:ascii="Trebuchet MS" w:hAnsi="Trebuchet MS"/>
                <w:b/>
                <w:w w:val="85"/>
                <w:sz w:val="20"/>
              </w:rPr>
              <w:t>(1-</w:t>
            </w:r>
            <w:r>
              <w:rPr>
                <w:b/>
                <w:w w:val="85"/>
                <w:sz w:val="20"/>
              </w:rPr>
              <w:t>α)</w:t>
            </w:r>
            <w:r>
              <w:rPr>
                <w:w w:val="85"/>
                <w:sz w:val="20"/>
              </w:rPr>
              <w:t>(</w:t>
            </w:r>
            <w:r>
              <w:rPr>
                <w:rFonts w:ascii="Trebuchet MS" w:hAnsi="Trebuchet MS"/>
                <w:b/>
                <w:color w:val="FF0000"/>
                <w:w w:val="85"/>
                <w:sz w:val="20"/>
              </w:rPr>
              <w:t>STC2</w:t>
            </w:r>
            <w:r>
              <w:rPr>
                <w:rFonts w:ascii="Trebuchet MS" w:hAnsi="Trebuchet MS"/>
                <w:b/>
                <w:color w:val="00AF50"/>
                <w:w w:val="85"/>
                <w:sz w:val="20"/>
              </w:rPr>
              <w:t>+STC1</w:t>
            </w:r>
            <w:r>
              <w:rPr>
                <w:w w:val="85"/>
                <w:sz w:val="20"/>
              </w:rPr>
              <w:t>)</w:t>
            </w:r>
          </w:p>
        </w:tc>
        <w:tc>
          <w:tcPr>
            <w:tcW w:w="4005" w:type="dxa"/>
            <w:gridSpan w:val="3"/>
            <w:tcBorders>
              <w:top w:val="single" w:sz="4" w:space="0" w:color="000000"/>
              <w:left w:val="single" w:sz="4" w:space="0" w:color="000000"/>
              <w:bottom w:val="single" w:sz="24" w:space="0" w:color="000000"/>
              <w:right w:val="single" w:sz="24" w:space="0" w:color="000000"/>
            </w:tcBorders>
            <w:shd w:val="clear" w:color="auto" w:fill="FFFF00"/>
          </w:tcPr>
          <w:p w:rsidR="00BB11D1" w:rsidRDefault="00BB11D1" w:rsidP="00451448">
            <w:pPr>
              <w:pStyle w:val="TableParagraph"/>
              <w:tabs>
                <w:tab w:val="left" w:pos="2082"/>
              </w:tabs>
              <w:spacing w:before="4"/>
              <w:ind w:left="126"/>
              <w:rPr>
                <w:rFonts w:ascii="Trebuchet MS"/>
                <w:b/>
                <w:sz w:val="20"/>
              </w:rPr>
            </w:pPr>
            <w:r>
              <w:rPr>
                <w:rFonts w:ascii="Trebuchet MS"/>
                <w:b/>
                <w:w w:val="95"/>
                <w:sz w:val="20"/>
              </w:rPr>
              <w:t>STC</w:t>
            </w:r>
            <w:r>
              <w:rPr>
                <w:rFonts w:ascii="Trebuchet MS"/>
                <w:b/>
                <w:spacing w:val="-30"/>
                <w:w w:val="95"/>
                <w:sz w:val="20"/>
              </w:rPr>
              <w:t xml:space="preserve"> </w:t>
            </w:r>
            <w:r>
              <w:rPr>
                <w:rFonts w:ascii="Trebuchet MS"/>
                <w:b/>
                <w:w w:val="95"/>
                <w:sz w:val="20"/>
              </w:rPr>
              <w:t>issued</w:t>
            </w:r>
            <w:r>
              <w:rPr>
                <w:rFonts w:ascii="Trebuchet MS"/>
                <w:b/>
                <w:w w:val="95"/>
                <w:sz w:val="20"/>
              </w:rPr>
              <w:tab/>
            </w:r>
            <w:r>
              <w:rPr>
                <w:rFonts w:ascii="Trebuchet MS"/>
                <w:b/>
                <w:color w:val="FF0000"/>
                <w:w w:val="95"/>
                <w:sz w:val="20"/>
              </w:rPr>
              <w:t>STC2</w:t>
            </w:r>
            <w:r>
              <w:rPr>
                <w:rFonts w:ascii="Trebuchet MS"/>
                <w:b/>
                <w:color w:val="00AF50"/>
                <w:w w:val="95"/>
                <w:sz w:val="20"/>
              </w:rPr>
              <w:t>+STC1</w:t>
            </w:r>
          </w:p>
        </w:tc>
      </w:tr>
      <w:tr w:rsidR="00BB11D1" w:rsidTr="00451448">
        <w:trPr>
          <w:trHeight w:val="242"/>
        </w:trPr>
        <w:tc>
          <w:tcPr>
            <w:tcW w:w="8615" w:type="dxa"/>
            <w:gridSpan w:val="5"/>
            <w:tcBorders>
              <w:top w:val="single" w:sz="24" w:space="0" w:color="000000"/>
              <w:left w:val="single" w:sz="4" w:space="0" w:color="000000"/>
              <w:bottom w:val="single" w:sz="4" w:space="0" w:color="000000"/>
              <w:right w:val="single" w:sz="4" w:space="0" w:color="000000"/>
            </w:tcBorders>
          </w:tcPr>
          <w:p w:rsidR="00BB11D1" w:rsidRDefault="00BB11D1" w:rsidP="00451448">
            <w:pPr>
              <w:pStyle w:val="TableParagraph"/>
              <w:spacing w:before="2" w:line="220" w:lineRule="exact"/>
              <w:ind w:left="1261" w:right="1205"/>
              <w:jc w:val="center"/>
              <w:rPr>
                <w:rFonts w:ascii="Trebuchet MS"/>
                <w:b/>
                <w:sz w:val="20"/>
              </w:rPr>
            </w:pPr>
            <w:r>
              <w:rPr>
                <w:rFonts w:ascii="Trebuchet MS"/>
                <w:b/>
                <w:sz w:val="20"/>
              </w:rPr>
              <w:t>Commercial Banks</w:t>
            </w:r>
          </w:p>
        </w:tc>
      </w:tr>
      <w:tr w:rsidR="00BB11D1" w:rsidTr="00451448">
        <w:trPr>
          <w:trHeight w:val="264"/>
        </w:trPr>
        <w:tc>
          <w:tcPr>
            <w:tcW w:w="2070" w:type="dxa"/>
            <w:tcBorders>
              <w:top w:val="single" w:sz="4" w:space="0" w:color="000000"/>
              <w:left w:val="single" w:sz="4" w:space="0" w:color="000000"/>
            </w:tcBorders>
          </w:tcPr>
          <w:p w:rsidR="00BB11D1" w:rsidRDefault="00BB11D1" w:rsidP="00451448">
            <w:pPr>
              <w:pStyle w:val="TableParagraph"/>
              <w:spacing w:before="4"/>
              <w:ind w:left="133"/>
              <w:rPr>
                <w:sz w:val="20"/>
              </w:rPr>
            </w:pPr>
            <w:r>
              <w:rPr>
                <w:sz w:val="20"/>
              </w:rPr>
              <w:t>Loans to corporates</w:t>
            </w:r>
          </w:p>
        </w:tc>
        <w:tc>
          <w:tcPr>
            <w:tcW w:w="2540" w:type="dxa"/>
            <w:tcBorders>
              <w:top w:val="single" w:sz="4" w:space="0" w:color="000000"/>
              <w:right w:val="single" w:sz="4" w:space="0" w:color="000000"/>
            </w:tcBorders>
          </w:tcPr>
          <w:p w:rsidR="00BB11D1" w:rsidRDefault="00BB11D1" w:rsidP="00451448">
            <w:pPr>
              <w:pStyle w:val="TableParagraph"/>
              <w:spacing w:before="4"/>
              <w:ind w:right="80"/>
              <w:jc w:val="center"/>
              <w:rPr>
                <w:sz w:val="20"/>
              </w:rPr>
            </w:pPr>
            <w:r>
              <w:rPr>
                <w:w w:val="90"/>
                <w:sz w:val="20"/>
              </w:rPr>
              <w:t>8</w:t>
            </w:r>
          </w:p>
        </w:tc>
        <w:tc>
          <w:tcPr>
            <w:tcW w:w="4005" w:type="dxa"/>
            <w:gridSpan w:val="3"/>
            <w:tcBorders>
              <w:top w:val="single" w:sz="4" w:space="0" w:color="000000"/>
              <w:left w:val="single" w:sz="4" w:space="0" w:color="000000"/>
              <w:right w:val="single" w:sz="4" w:space="0" w:color="000000"/>
            </w:tcBorders>
          </w:tcPr>
          <w:p w:rsidR="00BB11D1" w:rsidRDefault="00BB11D1" w:rsidP="00451448">
            <w:pPr>
              <w:pStyle w:val="TableParagraph"/>
              <w:tabs>
                <w:tab w:val="left" w:pos="2166"/>
              </w:tabs>
              <w:spacing w:before="4"/>
              <w:ind w:left="126"/>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3"/>
                <w:sz w:val="20"/>
              </w:rPr>
              <w:t xml:space="preserve"> </w:t>
            </w:r>
            <w:r>
              <w:rPr>
                <w:rFonts w:ascii="Trebuchet MS" w:hAnsi="Trebuchet MS"/>
                <w:b/>
                <w:color w:val="FF0000"/>
                <w:sz w:val="20"/>
              </w:rPr>
              <w:t>–STC2</w:t>
            </w:r>
          </w:p>
        </w:tc>
      </w:tr>
      <w:tr w:rsidR="00BB11D1" w:rsidTr="00451448">
        <w:trPr>
          <w:trHeight w:val="244"/>
        </w:trPr>
        <w:tc>
          <w:tcPr>
            <w:tcW w:w="2070" w:type="dxa"/>
            <w:tcBorders>
              <w:left w:val="single" w:sz="4" w:space="0" w:color="000000"/>
            </w:tcBorders>
          </w:tcPr>
          <w:p w:rsidR="00BB11D1" w:rsidRDefault="00BB11D1" w:rsidP="00451448">
            <w:pPr>
              <w:pStyle w:val="TableParagraph"/>
              <w:spacing w:line="215" w:lineRule="exact"/>
              <w:ind w:left="133"/>
              <w:rPr>
                <w:sz w:val="20"/>
              </w:rPr>
            </w:pPr>
            <w:r>
              <w:rPr>
                <w:sz w:val="20"/>
              </w:rPr>
              <w:t>Loans to government</w:t>
            </w:r>
          </w:p>
        </w:tc>
        <w:tc>
          <w:tcPr>
            <w:tcW w:w="2540" w:type="dxa"/>
            <w:tcBorders>
              <w:right w:val="single" w:sz="4" w:space="0" w:color="000000"/>
            </w:tcBorders>
          </w:tcPr>
          <w:p w:rsidR="00BB11D1" w:rsidRDefault="00BB11D1" w:rsidP="00451448">
            <w:pPr>
              <w:pStyle w:val="TableParagraph"/>
              <w:spacing w:line="215" w:lineRule="exact"/>
              <w:ind w:right="122"/>
              <w:jc w:val="center"/>
              <w:rPr>
                <w:sz w:val="20"/>
              </w:rPr>
            </w:pPr>
            <w:r>
              <w:rPr>
                <w:w w:val="90"/>
                <w:sz w:val="20"/>
              </w:rPr>
              <w:t>2</w:t>
            </w:r>
          </w:p>
        </w:tc>
        <w:tc>
          <w:tcPr>
            <w:tcW w:w="4005" w:type="dxa"/>
            <w:gridSpan w:val="3"/>
            <w:tcBorders>
              <w:left w:val="single" w:sz="4" w:space="0" w:color="000000"/>
              <w:right w:val="single" w:sz="4" w:space="0" w:color="000000"/>
            </w:tcBorders>
          </w:tcPr>
          <w:p w:rsidR="00BB11D1" w:rsidRDefault="00BB11D1" w:rsidP="00451448">
            <w:pPr>
              <w:pStyle w:val="TableParagraph"/>
              <w:tabs>
                <w:tab w:val="left" w:pos="2077"/>
              </w:tabs>
              <w:spacing w:line="217" w:lineRule="exact"/>
              <w:ind w:left="126"/>
              <w:rPr>
                <w:sz w:val="20"/>
              </w:rPr>
            </w:pPr>
            <w:r>
              <w:rPr>
                <w:w w:val="90"/>
                <w:sz w:val="20"/>
              </w:rPr>
              <w:t>STC</w:t>
            </w:r>
            <w:r>
              <w:rPr>
                <w:spacing w:val="-24"/>
                <w:w w:val="90"/>
                <w:sz w:val="20"/>
              </w:rPr>
              <w:t xml:space="preserve"> </w:t>
            </w:r>
            <w:r>
              <w:rPr>
                <w:w w:val="90"/>
                <w:sz w:val="20"/>
              </w:rPr>
              <w:t>Deposits</w:t>
            </w:r>
            <w:r>
              <w:rPr>
                <w:w w:val="90"/>
                <w:sz w:val="20"/>
              </w:rPr>
              <w:tab/>
            </w:r>
            <w:r>
              <w:rPr>
                <w:b/>
                <w:w w:val="95"/>
                <w:sz w:val="20"/>
              </w:rPr>
              <w:t>α</w:t>
            </w:r>
            <w:r>
              <w:rPr>
                <w:rFonts w:ascii="Trebuchet MS" w:hAnsi="Trebuchet MS"/>
                <w:b/>
                <w:w w:val="95"/>
                <w:sz w:val="20"/>
              </w:rPr>
              <w:t>(</w:t>
            </w:r>
            <w:r>
              <w:rPr>
                <w:rFonts w:ascii="Trebuchet MS" w:hAnsi="Trebuchet MS"/>
                <w:b/>
                <w:color w:val="FF0000"/>
                <w:w w:val="95"/>
                <w:sz w:val="20"/>
              </w:rPr>
              <w:t>STC2</w:t>
            </w:r>
            <w:r>
              <w:rPr>
                <w:rFonts w:ascii="Trebuchet MS" w:hAnsi="Trebuchet MS"/>
                <w:b/>
                <w:color w:val="00AF50"/>
                <w:w w:val="95"/>
                <w:sz w:val="20"/>
              </w:rPr>
              <w:t>+STC1</w:t>
            </w:r>
            <w:r>
              <w:rPr>
                <w:rFonts w:ascii="Trebuchet MS" w:hAnsi="Trebuchet MS"/>
                <w:b/>
                <w:color w:val="00AF50"/>
                <w:spacing w:val="20"/>
                <w:w w:val="95"/>
                <w:sz w:val="20"/>
              </w:rPr>
              <w:t xml:space="preserve"> </w:t>
            </w:r>
            <w:r>
              <w:rPr>
                <w:w w:val="95"/>
                <w:sz w:val="20"/>
              </w:rPr>
              <w:t>)</w:t>
            </w:r>
          </w:p>
        </w:tc>
      </w:tr>
      <w:tr w:rsidR="00BB11D1" w:rsidTr="00451448">
        <w:trPr>
          <w:trHeight w:val="243"/>
        </w:trPr>
        <w:tc>
          <w:tcPr>
            <w:tcW w:w="2070" w:type="dxa"/>
            <w:tcBorders>
              <w:left w:val="single" w:sz="4" w:space="0" w:color="000000"/>
            </w:tcBorders>
          </w:tcPr>
          <w:p w:rsidR="00BB11D1" w:rsidRDefault="00BB11D1" w:rsidP="00451448">
            <w:pPr>
              <w:pStyle w:val="TableParagraph"/>
              <w:spacing w:line="215" w:lineRule="exact"/>
              <w:ind w:left="133"/>
              <w:rPr>
                <w:sz w:val="20"/>
              </w:rPr>
            </w:pPr>
            <w:r>
              <w:rPr>
                <w:sz w:val="20"/>
              </w:rPr>
              <w:t>Loans to HH</w:t>
            </w:r>
          </w:p>
        </w:tc>
        <w:tc>
          <w:tcPr>
            <w:tcW w:w="2540" w:type="dxa"/>
            <w:tcBorders>
              <w:right w:val="single" w:sz="4" w:space="0" w:color="000000"/>
            </w:tcBorders>
          </w:tcPr>
          <w:p w:rsidR="00BB11D1" w:rsidRDefault="00BB11D1" w:rsidP="00451448">
            <w:pPr>
              <w:pStyle w:val="TableParagraph"/>
              <w:spacing w:line="215" w:lineRule="exact"/>
              <w:ind w:right="75"/>
              <w:jc w:val="center"/>
              <w:rPr>
                <w:sz w:val="20"/>
              </w:rPr>
            </w:pPr>
            <w:r>
              <w:rPr>
                <w:w w:val="90"/>
                <w:sz w:val="20"/>
              </w:rPr>
              <w:t>5</w:t>
            </w:r>
          </w:p>
        </w:tc>
        <w:tc>
          <w:tcPr>
            <w:tcW w:w="4005" w:type="dxa"/>
            <w:gridSpan w:val="3"/>
            <w:tcBorders>
              <w:left w:val="single" w:sz="4" w:space="0" w:color="000000"/>
              <w:right w:val="single" w:sz="4" w:space="0" w:color="000000"/>
            </w:tcBorders>
          </w:tcPr>
          <w:p w:rsidR="00BB11D1" w:rsidRDefault="00BB11D1" w:rsidP="00451448">
            <w:pPr>
              <w:pStyle w:val="TableParagraph"/>
              <w:tabs>
                <w:tab w:val="left" w:pos="2339"/>
              </w:tabs>
              <w:spacing w:line="215" w:lineRule="exact"/>
              <w:ind w:left="126"/>
              <w:rPr>
                <w:sz w:val="20"/>
              </w:rPr>
            </w:pPr>
            <w:r>
              <w:rPr>
                <w:w w:val="95"/>
                <w:sz w:val="20"/>
              </w:rPr>
              <w:t>Savings</w:t>
            </w:r>
            <w:r>
              <w:rPr>
                <w:spacing w:val="-24"/>
                <w:w w:val="95"/>
                <w:sz w:val="20"/>
              </w:rPr>
              <w:t xml:space="preserve"> </w:t>
            </w:r>
            <w:r>
              <w:rPr>
                <w:w w:val="95"/>
                <w:sz w:val="20"/>
              </w:rPr>
              <w:t>+</w:t>
            </w:r>
            <w:r>
              <w:rPr>
                <w:spacing w:val="-24"/>
                <w:w w:val="95"/>
                <w:sz w:val="20"/>
              </w:rPr>
              <w:t xml:space="preserve"> </w:t>
            </w:r>
            <w:r>
              <w:rPr>
                <w:w w:val="95"/>
                <w:sz w:val="20"/>
              </w:rPr>
              <w:t>time</w:t>
            </w:r>
            <w:r>
              <w:rPr>
                <w:spacing w:val="5"/>
                <w:w w:val="95"/>
                <w:sz w:val="20"/>
              </w:rPr>
              <w:t xml:space="preserve"> </w:t>
            </w:r>
            <w:r>
              <w:rPr>
                <w:w w:val="95"/>
                <w:sz w:val="20"/>
              </w:rPr>
              <w:t>deposits</w:t>
            </w:r>
            <w:r>
              <w:rPr>
                <w:w w:val="95"/>
                <w:sz w:val="20"/>
              </w:rPr>
              <w:tab/>
            </w:r>
            <w:r>
              <w:rPr>
                <w:sz w:val="20"/>
              </w:rPr>
              <w:t>5</w:t>
            </w:r>
          </w:p>
        </w:tc>
      </w:tr>
      <w:tr w:rsidR="00BB11D1" w:rsidTr="00451448">
        <w:trPr>
          <w:trHeight w:val="243"/>
        </w:trPr>
        <w:tc>
          <w:tcPr>
            <w:tcW w:w="2070" w:type="dxa"/>
            <w:tcBorders>
              <w:left w:val="single" w:sz="4" w:space="0" w:color="000000"/>
            </w:tcBorders>
          </w:tcPr>
          <w:p w:rsidR="00BB11D1" w:rsidRDefault="00BB11D1" w:rsidP="00451448">
            <w:pPr>
              <w:pStyle w:val="TableParagraph"/>
              <w:spacing w:line="213" w:lineRule="exact"/>
              <w:ind w:left="133"/>
              <w:rPr>
                <w:sz w:val="20"/>
              </w:rPr>
            </w:pPr>
            <w:r>
              <w:rPr>
                <w:sz w:val="20"/>
              </w:rPr>
              <w:t>Corp/gvt bonds</w:t>
            </w:r>
          </w:p>
        </w:tc>
        <w:tc>
          <w:tcPr>
            <w:tcW w:w="2540" w:type="dxa"/>
            <w:tcBorders>
              <w:right w:val="single" w:sz="4" w:space="0" w:color="000000"/>
            </w:tcBorders>
          </w:tcPr>
          <w:p w:rsidR="00BB11D1" w:rsidRDefault="00BB11D1" w:rsidP="00451448">
            <w:pPr>
              <w:pStyle w:val="TableParagraph"/>
              <w:spacing w:line="215" w:lineRule="exact"/>
              <w:ind w:left="52"/>
              <w:rPr>
                <w:sz w:val="20"/>
              </w:rPr>
            </w:pPr>
            <w:r>
              <w:rPr>
                <w:sz w:val="20"/>
              </w:rPr>
              <w:t xml:space="preserve">5 </w:t>
            </w:r>
            <w:r>
              <w:rPr>
                <w:rFonts w:ascii="Trebuchet MS" w:hAnsi="Trebuchet MS"/>
                <w:b/>
                <w:w w:val="105"/>
                <w:sz w:val="20"/>
              </w:rPr>
              <w:t>–</w:t>
            </w:r>
            <w:r>
              <w:rPr>
                <w:rFonts w:ascii="Trebuchet MS" w:hAnsi="Trebuchet MS"/>
                <w:b/>
                <w:spacing w:val="-51"/>
                <w:w w:val="105"/>
                <w:sz w:val="20"/>
              </w:rPr>
              <w:t xml:space="preserve"> </w:t>
            </w:r>
            <w:r>
              <w:rPr>
                <w:rFonts w:ascii="Trebuchet MS" w:hAnsi="Trebuchet MS"/>
                <w:b/>
                <w:sz w:val="20"/>
              </w:rPr>
              <w:t>(1-</w:t>
            </w:r>
            <w:r>
              <w:rPr>
                <w:b/>
                <w:sz w:val="20"/>
              </w:rPr>
              <w:t>α</w:t>
            </w:r>
            <w:r>
              <w:rPr>
                <w:sz w:val="20"/>
              </w:rPr>
              <w:t>)(</w:t>
            </w:r>
            <w:r>
              <w:rPr>
                <w:rFonts w:ascii="Trebuchet MS" w:hAnsi="Trebuchet MS"/>
                <w:b/>
                <w:color w:val="FF0000"/>
                <w:sz w:val="20"/>
              </w:rPr>
              <w:t>STC2</w:t>
            </w:r>
            <w:r>
              <w:rPr>
                <w:rFonts w:ascii="Trebuchet MS" w:hAnsi="Trebuchet MS"/>
                <w:b/>
                <w:color w:val="00AF50"/>
                <w:sz w:val="20"/>
              </w:rPr>
              <w:t>+STC1</w:t>
            </w:r>
            <w:r>
              <w:rPr>
                <w:sz w:val="20"/>
              </w:rPr>
              <w:t>)</w:t>
            </w:r>
          </w:p>
        </w:tc>
        <w:tc>
          <w:tcPr>
            <w:tcW w:w="4005" w:type="dxa"/>
            <w:gridSpan w:val="3"/>
            <w:tcBorders>
              <w:left w:val="single" w:sz="4" w:space="0" w:color="000000"/>
              <w:right w:val="single" w:sz="4" w:space="0" w:color="000000"/>
            </w:tcBorders>
          </w:tcPr>
          <w:p w:rsidR="00BB11D1" w:rsidRDefault="00BB11D1" w:rsidP="00451448">
            <w:pPr>
              <w:pStyle w:val="TableParagraph"/>
              <w:tabs>
                <w:tab w:val="right" w:pos="2466"/>
              </w:tabs>
              <w:spacing w:line="213" w:lineRule="exact"/>
              <w:ind w:left="126"/>
              <w:rPr>
                <w:sz w:val="20"/>
              </w:rPr>
            </w:pPr>
            <w:r>
              <w:rPr>
                <w:sz w:val="20"/>
              </w:rPr>
              <w:t>Bonds</w:t>
            </w:r>
            <w:r>
              <w:rPr>
                <w:spacing w:val="-15"/>
                <w:sz w:val="20"/>
              </w:rPr>
              <w:t xml:space="preserve"> </w:t>
            </w:r>
            <w:r>
              <w:rPr>
                <w:sz w:val="20"/>
              </w:rPr>
              <w:t>issued</w:t>
            </w:r>
            <w:r>
              <w:rPr>
                <w:sz w:val="20"/>
              </w:rPr>
              <w:tab/>
              <w:t>4</w:t>
            </w:r>
          </w:p>
        </w:tc>
      </w:tr>
      <w:tr w:rsidR="00BB11D1" w:rsidTr="00451448">
        <w:trPr>
          <w:trHeight w:val="244"/>
        </w:trPr>
        <w:tc>
          <w:tcPr>
            <w:tcW w:w="2070" w:type="dxa"/>
            <w:tcBorders>
              <w:left w:val="single" w:sz="4" w:space="0" w:color="000000"/>
            </w:tcBorders>
          </w:tcPr>
          <w:p w:rsidR="00BB11D1" w:rsidRDefault="00BB11D1" w:rsidP="00451448">
            <w:pPr>
              <w:pStyle w:val="TableParagraph"/>
              <w:spacing w:line="215" w:lineRule="exact"/>
              <w:ind w:left="132"/>
              <w:rPr>
                <w:sz w:val="20"/>
              </w:rPr>
            </w:pPr>
            <w:r>
              <w:rPr>
                <w:sz w:val="20"/>
              </w:rPr>
              <w:t>Central</w:t>
            </w:r>
            <w:r>
              <w:rPr>
                <w:spacing w:val="-38"/>
                <w:sz w:val="20"/>
              </w:rPr>
              <w:t xml:space="preserve"> </w:t>
            </w:r>
            <w:r>
              <w:rPr>
                <w:sz w:val="20"/>
              </w:rPr>
              <w:t>bank</w:t>
            </w:r>
            <w:r>
              <w:rPr>
                <w:spacing w:val="-37"/>
                <w:sz w:val="20"/>
              </w:rPr>
              <w:t xml:space="preserve"> </w:t>
            </w:r>
            <w:r>
              <w:rPr>
                <w:sz w:val="20"/>
              </w:rPr>
              <w:t>deposits</w:t>
            </w:r>
          </w:p>
        </w:tc>
        <w:tc>
          <w:tcPr>
            <w:tcW w:w="2540" w:type="dxa"/>
            <w:tcBorders>
              <w:right w:val="single" w:sz="4" w:space="0" w:color="000000"/>
            </w:tcBorders>
          </w:tcPr>
          <w:p w:rsidR="00BB11D1" w:rsidRDefault="00BB11D1" w:rsidP="00451448">
            <w:pPr>
              <w:pStyle w:val="TableParagraph"/>
              <w:spacing w:line="215" w:lineRule="exact"/>
              <w:ind w:left="306"/>
              <w:jc w:val="center"/>
              <w:rPr>
                <w:sz w:val="20"/>
              </w:rPr>
            </w:pPr>
            <w:r>
              <w:rPr>
                <w:w w:val="90"/>
                <w:sz w:val="20"/>
              </w:rPr>
              <w:t>0</w:t>
            </w:r>
          </w:p>
        </w:tc>
        <w:tc>
          <w:tcPr>
            <w:tcW w:w="4005" w:type="dxa"/>
            <w:gridSpan w:val="3"/>
            <w:tcBorders>
              <w:left w:val="single" w:sz="4" w:space="0" w:color="000000"/>
              <w:right w:val="single" w:sz="4" w:space="0" w:color="000000"/>
            </w:tcBorders>
          </w:tcPr>
          <w:p w:rsidR="00BB11D1" w:rsidRDefault="00BB11D1" w:rsidP="00451448">
            <w:pPr>
              <w:pStyle w:val="TableParagraph"/>
              <w:tabs>
                <w:tab w:val="right" w:pos="2459"/>
              </w:tabs>
              <w:spacing w:line="215" w:lineRule="exact"/>
              <w:ind w:left="126"/>
              <w:rPr>
                <w:sz w:val="20"/>
              </w:rPr>
            </w:pPr>
            <w:r>
              <w:rPr>
                <w:sz w:val="20"/>
              </w:rPr>
              <w:t>Equity</w:t>
            </w:r>
            <w:r>
              <w:rPr>
                <w:sz w:val="20"/>
              </w:rPr>
              <w:tab/>
              <w:t>3</w:t>
            </w:r>
          </w:p>
        </w:tc>
      </w:tr>
      <w:tr w:rsidR="00BB11D1" w:rsidTr="00451448">
        <w:trPr>
          <w:trHeight w:val="224"/>
        </w:trPr>
        <w:tc>
          <w:tcPr>
            <w:tcW w:w="2070"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2540" w:type="dxa"/>
            <w:tcBorders>
              <w:bottom w:val="single" w:sz="4" w:space="0" w:color="000000"/>
              <w:right w:val="single" w:sz="4" w:space="0" w:color="000000"/>
            </w:tcBorders>
          </w:tcPr>
          <w:p w:rsidR="00BB11D1" w:rsidRDefault="00BB11D1" w:rsidP="00451448">
            <w:pPr>
              <w:pStyle w:val="TableParagraph"/>
              <w:rPr>
                <w:rFonts w:ascii="Times New Roman"/>
                <w:sz w:val="16"/>
              </w:rPr>
            </w:pPr>
          </w:p>
        </w:tc>
        <w:tc>
          <w:tcPr>
            <w:tcW w:w="4005" w:type="dxa"/>
            <w:gridSpan w:val="3"/>
            <w:tcBorders>
              <w:left w:val="single" w:sz="4" w:space="0" w:color="000000"/>
              <w:bottom w:val="single" w:sz="4" w:space="0" w:color="000000"/>
              <w:right w:val="single" w:sz="4" w:space="0" w:color="000000"/>
            </w:tcBorders>
          </w:tcPr>
          <w:p w:rsidR="00BB11D1" w:rsidRDefault="00BB11D1" w:rsidP="00451448">
            <w:pPr>
              <w:pStyle w:val="TableParagraph"/>
              <w:tabs>
                <w:tab w:val="left" w:pos="2355"/>
              </w:tabs>
              <w:spacing w:line="205" w:lineRule="exact"/>
              <w:ind w:left="126"/>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25"/>
                <w:sz w:val="20"/>
              </w:rPr>
              <w:t xml:space="preserve"> </w:t>
            </w:r>
            <w:r>
              <w:rPr>
                <w:rFonts w:ascii="Trebuchet MS"/>
                <w:b/>
                <w:color w:val="00AF50"/>
                <w:sz w:val="20"/>
              </w:rPr>
              <w:t>-STC1</w:t>
            </w:r>
          </w:p>
        </w:tc>
      </w:tr>
      <w:tr w:rsidR="00BB11D1" w:rsidTr="00451448">
        <w:trPr>
          <w:trHeight w:val="244"/>
        </w:trPr>
        <w:tc>
          <w:tcPr>
            <w:tcW w:w="8615"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5"/>
              <w:jc w:val="center"/>
              <w:rPr>
                <w:rFonts w:ascii="Trebuchet MS"/>
                <w:b/>
                <w:sz w:val="20"/>
              </w:rPr>
            </w:pPr>
            <w:r>
              <w:rPr>
                <w:rFonts w:ascii="Trebuchet MS"/>
                <w:b/>
                <w:sz w:val="20"/>
              </w:rPr>
              <w:t>Central Bank</w:t>
            </w:r>
          </w:p>
        </w:tc>
      </w:tr>
      <w:tr w:rsidR="00BB11D1" w:rsidTr="00451448">
        <w:trPr>
          <w:trHeight w:val="244"/>
        </w:trPr>
        <w:tc>
          <w:tcPr>
            <w:tcW w:w="2070" w:type="dxa"/>
            <w:tcBorders>
              <w:top w:val="single" w:sz="4" w:space="0" w:color="000000"/>
              <w:left w:val="single" w:sz="4" w:space="0" w:color="000000"/>
              <w:bottom w:val="single" w:sz="4" w:space="0" w:color="000000"/>
            </w:tcBorders>
          </w:tcPr>
          <w:p w:rsidR="00BB11D1" w:rsidRDefault="00BB11D1" w:rsidP="00451448">
            <w:pPr>
              <w:pStyle w:val="TableParagraph"/>
              <w:spacing w:before="4" w:line="220" w:lineRule="exact"/>
              <w:ind w:left="133"/>
              <w:rPr>
                <w:sz w:val="20"/>
              </w:rPr>
            </w:pPr>
            <w:r>
              <w:rPr>
                <w:sz w:val="20"/>
              </w:rPr>
              <w:t>Credit to banks</w:t>
            </w:r>
          </w:p>
        </w:tc>
        <w:tc>
          <w:tcPr>
            <w:tcW w:w="2540" w:type="dxa"/>
            <w:tcBorders>
              <w:top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918" w:right="861"/>
              <w:jc w:val="center"/>
              <w:rPr>
                <w:rFonts w:ascii="Trebuchet MS" w:hAnsi="Trebuchet MS"/>
                <w:b/>
                <w:sz w:val="20"/>
              </w:rPr>
            </w:pPr>
            <w:r>
              <w:rPr>
                <w:rFonts w:ascii="Trebuchet MS" w:hAnsi="Trebuchet MS"/>
                <w:b/>
                <w:sz w:val="20"/>
              </w:rPr>
              <w:t xml:space="preserve">1 </w:t>
            </w:r>
            <w:r>
              <w:rPr>
                <w:rFonts w:ascii="Trebuchet MS" w:hAnsi="Trebuchet MS"/>
                <w:b/>
                <w:color w:val="00AF50"/>
                <w:sz w:val="20"/>
              </w:rPr>
              <w:t>–STC1</w:t>
            </w:r>
          </w:p>
        </w:tc>
        <w:tc>
          <w:tcPr>
            <w:tcW w:w="4005" w:type="dxa"/>
            <w:gridSpan w:val="3"/>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left" w:pos="2533"/>
              </w:tabs>
              <w:spacing w:before="4" w:line="220" w:lineRule="exact"/>
              <w:ind w:left="126"/>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25"/>
                <w:sz w:val="20"/>
              </w:rPr>
              <w:t xml:space="preserve"> </w:t>
            </w:r>
            <w:r>
              <w:rPr>
                <w:rFonts w:ascii="Trebuchet MS"/>
                <w:b/>
                <w:color w:val="00AF50"/>
                <w:sz w:val="20"/>
              </w:rPr>
              <w:t>-STC1</w:t>
            </w:r>
          </w:p>
        </w:tc>
      </w:tr>
    </w:tbl>
    <w:p w:rsidR="000255A4" w:rsidRPr="00BB11D1" w:rsidRDefault="000255A4" w:rsidP="006A2441">
      <w:pPr>
        <w:bidi/>
        <w:spacing w:line="220" w:lineRule="exact"/>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6"/>
        <w:rPr>
          <w:rFonts w:asciiTheme="majorBidi" w:hAnsiTheme="majorBidi" w:cstheme="majorBidi"/>
          <w:i/>
        </w:rPr>
      </w:pPr>
    </w:p>
    <w:p w:rsidR="000255A4" w:rsidRPr="00BB11D1" w:rsidRDefault="00BB11D1" w:rsidP="006A2441">
      <w:pPr>
        <w:bidi/>
        <w:spacing w:before="59" w:after="14"/>
        <w:ind w:left="249"/>
        <w:jc w:val="both"/>
        <w:rPr>
          <w:rFonts w:asciiTheme="majorBidi" w:hAnsiTheme="majorBidi" w:cstheme="majorBidi"/>
          <w:i/>
        </w:rPr>
      </w:pPr>
      <w:r w:rsidRPr="00BB11D1">
        <w:rPr>
          <w:rFonts w:asciiTheme="majorBidi" w:hAnsiTheme="majorBidi" w:cs="Times New Roman"/>
          <w:i/>
          <w:iCs/>
          <w:rtl/>
          <w:lang w:bidi="ar-SA"/>
        </w:rPr>
        <w:t>الشكل 8: تمثيل الحسابات المالية لعملة مستقرة يحتفظ باحتياطياته لدى البنك المركزي</w:t>
      </w:r>
    </w:p>
    <w:tbl>
      <w:tblPr>
        <w:tblW w:w="0" w:type="auto"/>
        <w:tblInd w:w="196" w:type="dxa"/>
        <w:tblLayout w:type="fixed"/>
        <w:tblCellMar>
          <w:left w:w="0" w:type="dxa"/>
          <w:right w:w="0" w:type="dxa"/>
        </w:tblCellMar>
        <w:tblLook w:val="01E0" w:firstRow="1" w:lastRow="1" w:firstColumn="1" w:lastColumn="1" w:noHBand="0" w:noVBand="0"/>
      </w:tblPr>
      <w:tblGrid>
        <w:gridCol w:w="2344"/>
        <w:gridCol w:w="2271"/>
        <w:gridCol w:w="2098"/>
        <w:gridCol w:w="1277"/>
        <w:gridCol w:w="622"/>
      </w:tblGrid>
      <w:tr w:rsidR="00BB11D1" w:rsidTr="00451448">
        <w:trPr>
          <w:trHeight w:val="244"/>
        </w:trPr>
        <w:tc>
          <w:tcPr>
            <w:tcW w:w="8612"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2"/>
              <w:jc w:val="center"/>
              <w:rPr>
                <w:rFonts w:ascii="Trebuchet MS"/>
                <w:b/>
                <w:sz w:val="20"/>
              </w:rPr>
            </w:pPr>
            <w:r>
              <w:rPr>
                <w:rFonts w:ascii="Trebuchet MS"/>
                <w:b/>
                <w:sz w:val="20"/>
              </w:rPr>
              <w:t>Households, pension and investment funds, insurance companies</w:t>
            </w:r>
          </w:p>
        </w:tc>
      </w:tr>
      <w:tr w:rsidR="00BB11D1" w:rsidTr="00451448">
        <w:trPr>
          <w:trHeight w:val="264"/>
        </w:trPr>
        <w:tc>
          <w:tcPr>
            <w:tcW w:w="2344" w:type="dxa"/>
            <w:tcBorders>
              <w:top w:val="single" w:sz="4" w:space="0" w:color="000000"/>
              <w:left w:val="single" w:sz="4" w:space="0" w:color="000000"/>
            </w:tcBorders>
          </w:tcPr>
          <w:p w:rsidR="00BB11D1" w:rsidRDefault="00BB11D1" w:rsidP="00451448">
            <w:pPr>
              <w:pStyle w:val="TableParagraph"/>
              <w:spacing w:before="4"/>
              <w:ind w:left="133"/>
              <w:rPr>
                <w:sz w:val="20"/>
              </w:rPr>
            </w:pPr>
            <w:r>
              <w:rPr>
                <w:sz w:val="20"/>
              </w:rPr>
              <w:t>Real Assets</w:t>
            </w:r>
          </w:p>
        </w:tc>
        <w:tc>
          <w:tcPr>
            <w:tcW w:w="2271" w:type="dxa"/>
            <w:tcBorders>
              <w:top w:val="single" w:sz="4" w:space="0" w:color="000000"/>
              <w:right w:val="single" w:sz="4" w:space="0" w:color="000000"/>
            </w:tcBorders>
          </w:tcPr>
          <w:p w:rsidR="00BB11D1" w:rsidRDefault="00BB11D1" w:rsidP="00451448">
            <w:pPr>
              <w:pStyle w:val="TableParagraph"/>
              <w:spacing w:before="4"/>
              <w:ind w:left="985" w:right="1017"/>
              <w:jc w:val="center"/>
              <w:rPr>
                <w:sz w:val="20"/>
              </w:rPr>
            </w:pPr>
            <w:r>
              <w:rPr>
                <w:sz w:val="20"/>
              </w:rPr>
              <w:t>20</w:t>
            </w:r>
          </w:p>
        </w:tc>
        <w:tc>
          <w:tcPr>
            <w:tcW w:w="2098" w:type="dxa"/>
            <w:tcBorders>
              <w:top w:val="single" w:sz="4" w:space="0" w:color="000000"/>
              <w:left w:val="single" w:sz="4" w:space="0" w:color="000000"/>
            </w:tcBorders>
          </w:tcPr>
          <w:p w:rsidR="00BB11D1" w:rsidRDefault="00BB11D1" w:rsidP="00451448">
            <w:pPr>
              <w:pStyle w:val="TableParagraph"/>
              <w:spacing w:before="4"/>
              <w:ind w:left="145"/>
              <w:rPr>
                <w:sz w:val="20"/>
              </w:rPr>
            </w:pPr>
            <w:r>
              <w:rPr>
                <w:sz w:val="20"/>
              </w:rPr>
              <w:t>Household Equity</w:t>
            </w:r>
          </w:p>
        </w:tc>
        <w:tc>
          <w:tcPr>
            <w:tcW w:w="1277" w:type="dxa"/>
            <w:tcBorders>
              <w:top w:val="single" w:sz="4" w:space="0" w:color="000000"/>
            </w:tcBorders>
          </w:tcPr>
          <w:p w:rsidR="00BB11D1" w:rsidRDefault="00BB11D1" w:rsidP="00451448">
            <w:pPr>
              <w:pStyle w:val="TableParagraph"/>
              <w:spacing w:before="4"/>
              <w:ind w:right="-188"/>
              <w:jc w:val="right"/>
              <w:rPr>
                <w:sz w:val="20"/>
              </w:rPr>
            </w:pPr>
            <w:r>
              <w:rPr>
                <w:w w:val="90"/>
                <w:sz w:val="20"/>
              </w:rPr>
              <w:t>40</w:t>
            </w:r>
          </w:p>
        </w:tc>
        <w:tc>
          <w:tcPr>
            <w:tcW w:w="622" w:type="dxa"/>
            <w:tcBorders>
              <w:top w:val="single" w:sz="4" w:space="0" w:color="000000"/>
              <w:right w:val="single" w:sz="4" w:space="0" w:color="000000"/>
            </w:tcBorders>
          </w:tcPr>
          <w:p w:rsidR="00BB11D1" w:rsidRDefault="00BB11D1" w:rsidP="00451448">
            <w:pPr>
              <w:pStyle w:val="TableParagraph"/>
              <w:rPr>
                <w:rFonts w:ascii="Times New Roman"/>
                <w:sz w:val="18"/>
              </w:rPr>
            </w:pPr>
          </w:p>
        </w:tc>
      </w:tr>
      <w:tr w:rsidR="00BB11D1" w:rsidTr="00451448">
        <w:trPr>
          <w:trHeight w:val="244"/>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Sight deposits</w:t>
            </w:r>
          </w:p>
        </w:tc>
        <w:tc>
          <w:tcPr>
            <w:tcW w:w="2271" w:type="dxa"/>
            <w:tcBorders>
              <w:right w:val="single" w:sz="4" w:space="0" w:color="000000"/>
            </w:tcBorders>
          </w:tcPr>
          <w:p w:rsidR="00BB11D1" w:rsidRDefault="00BB11D1" w:rsidP="00451448">
            <w:pPr>
              <w:pStyle w:val="TableParagraph"/>
              <w:spacing w:line="217" w:lineRule="exact"/>
              <w:ind w:right="557"/>
              <w:jc w:val="right"/>
              <w:rPr>
                <w:rFonts w:ascii="Trebuchet MS"/>
                <w:b/>
                <w:sz w:val="20"/>
              </w:rPr>
            </w:pPr>
            <w:r>
              <w:rPr>
                <w:w w:val="95"/>
                <w:sz w:val="20"/>
              </w:rPr>
              <w:t xml:space="preserve">5 </w:t>
            </w:r>
            <w:r>
              <w:rPr>
                <w:rFonts w:ascii="Trebuchet MS"/>
                <w:b/>
                <w:color w:val="FF0000"/>
                <w:w w:val="95"/>
                <w:sz w:val="20"/>
              </w:rPr>
              <w:t>- STC2</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2"/>
              <w:rPr>
                <w:sz w:val="20"/>
              </w:rPr>
            </w:pPr>
            <w:r>
              <w:rPr>
                <w:sz w:val="20"/>
              </w:rPr>
              <w:t>Savings + time deposits</w:t>
            </w:r>
          </w:p>
        </w:tc>
        <w:tc>
          <w:tcPr>
            <w:tcW w:w="2271" w:type="dxa"/>
            <w:tcBorders>
              <w:right w:val="single" w:sz="4" w:space="0" w:color="000000"/>
            </w:tcBorders>
          </w:tcPr>
          <w:p w:rsidR="00BB11D1" w:rsidRDefault="00BB11D1" w:rsidP="00451448">
            <w:pPr>
              <w:pStyle w:val="TableParagraph"/>
              <w:spacing w:line="215" w:lineRule="exact"/>
              <w:ind w:right="338"/>
              <w:jc w:val="center"/>
              <w:rPr>
                <w:sz w:val="20"/>
              </w:rPr>
            </w:pPr>
            <w:r>
              <w:rPr>
                <w:w w:val="90"/>
                <w:sz w:val="20"/>
              </w:rPr>
              <w:t>4</w:t>
            </w:r>
          </w:p>
        </w:tc>
        <w:tc>
          <w:tcPr>
            <w:tcW w:w="2098" w:type="dxa"/>
            <w:tcBorders>
              <w:left w:val="single" w:sz="4" w:space="0" w:color="000000"/>
            </w:tcBorders>
          </w:tcPr>
          <w:p w:rsidR="00BB11D1" w:rsidRDefault="00BB11D1" w:rsidP="00451448">
            <w:pPr>
              <w:pStyle w:val="TableParagraph"/>
              <w:spacing w:line="215" w:lineRule="exact"/>
              <w:ind w:left="145"/>
              <w:rPr>
                <w:sz w:val="20"/>
              </w:rPr>
            </w:pPr>
            <w:r>
              <w:rPr>
                <w:sz w:val="20"/>
              </w:rPr>
              <w:t>Bank loans</w:t>
            </w: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spacing w:line="215" w:lineRule="exact"/>
              <w:ind w:left="51"/>
              <w:rPr>
                <w:sz w:val="20"/>
              </w:rPr>
            </w:pPr>
            <w:r>
              <w:rPr>
                <w:w w:val="90"/>
                <w:sz w:val="20"/>
              </w:rPr>
              <w:t>5</w:t>
            </w: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2"/>
              <w:rPr>
                <w:rFonts w:ascii="Trebuchet MS"/>
                <w:b/>
                <w:sz w:val="20"/>
              </w:rPr>
            </w:pPr>
            <w:r>
              <w:rPr>
                <w:rFonts w:ascii="Trebuchet MS"/>
                <w:b/>
                <w:w w:val="95"/>
                <w:sz w:val="20"/>
              </w:rPr>
              <w:t>STC</w:t>
            </w:r>
          </w:p>
        </w:tc>
        <w:tc>
          <w:tcPr>
            <w:tcW w:w="2271" w:type="dxa"/>
            <w:tcBorders>
              <w:right w:val="single" w:sz="4" w:space="0" w:color="000000"/>
            </w:tcBorders>
          </w:tcPr>
          <w:p w:rsidR="00BB11D1" w:rsidRDefault="00BB11D1" w:rsidP="00451448">
            <w:pPr>
              <w:pStyle w:val="TableParagraph"/>
              <w:spacing w:line="215" w:lineRule="exact"/>
              <w:ind w:right="560"/>
              <w:jc w:val="right"/>
              <w:rPr>
                <w:rFonts w:ascii="Trebuchet MS"/>
                <w:b/>
                <w:sz w:val="20"/>
              </w:rPr>
            </w:pPr>
            <w:r>
              <w:rPr>
                <w:rFonts w:ascii="Trebuchet MS"/>
                <w:b/>
                <w:color w:val="FF0000"/>
                <w:w w:val="85"/>
                <w:sz w:val="20"/>
              </w:rPr>
              <w:t>STC2</w:t>
            </w:r>
            <w:r>
              <w:rPr>
                <w:rFonts w:ascii="Trebuchet MS"/>
                <w:b/>
                <w:color w:val="00AF50"/>
                <w:w w:val="85"/>
                <w:sz w:val="20"/>
              </w:rPr>
              <w:t>+STC1</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Banknotes</w:t>
            </w:r>
          </w:p>
        </w:tc>
        <w:tc>
          <w:tcPr>
            <w:tcW w:w="2271" w:type="dxa"/>
            <w:tcBorders>
              <w:right w:val="single" w:sz="4" w:space="0" w:color="000000"/>
            </w:tcBorders>
          </w:tcPr>
          <w:p w:rsidR="00BB11D1" w:rsidRDefault="00BB11D1" w:rsidP="00451448">
            <w:pPr>
              <w:pStyle w:val="TableParagraph"/>
              <w:spacing w:line="217" w:lineRule="exact"/>
              <w:ind w:right="565"/>
              <w:jc w:val="right"/>
              <w:rPr>
                <w:rFonts w:ascii="Trebuchet MS"/>
                <w:b/>
                <w:sz w:val="20"/>
              </w:rPr>
            </w:pPr>
            <w:r>
              <w:rPr>
                <w:w w:val="95"/>
                <w:sz w:val="20"/>
              </w:rPr>
              <w:t xml:space="preserve">1 </w:t>
            </w:r>
            <w:r>
              <w:rPr>
                <w:rFonts w:ascii="Trebuchet MS"/>
                <w:b/>
                <w:color w:val="00AF50"/>
                <w:w w:val="95"/>
                <w:sz w:val="20"/>
              </w:rPr>
              <w:t>-STC1</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Bank bonds</w:t>
            </w:r>
          </w:p>
        </w:tc>
        <w:tc>
          <w:tcPr>
            <w:tcW w:w="2271" w:type="dxa"/>
            <w:tcBorders>
              <w:right w:val="single" w:sz="4" w:space="0" w:color="000000"/>
            </w:tcBorders>
          </w:tcPr>
          <w:p w:rsidR="00BB11D1" w:rsidRDefault="00BB11D1" w:rsidP="00451448">
            <w:pPr>
              <w:pStyle w:val="TableParagraph"/>
              <w:spacing w:line="215" w:lineRule="exact"/>
              <w:ind w:right="161"/>
              <w:jc w:val="center"/>
              <w:rPr>
                <w:sz w:val="20"/>
              </w:rPr>
            </w:pPr>
            <w:r>
              <w:rPr>
                <w:w w:val="90"/>
                <w:sz w:val="20"/>
              </w:rPr>
              <w:t>4</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3" w:lineRule="exact"/>
              <w:ind w:left="133"/>
              <w:rPr>
                <w:sz w:val="20"/>
              </w:rPr>
            </w:pPr>
            <w:r>
              <w:rPr>
                <w:sz w:val="20"/>
              </w:rPr>
              <w:t>Corporate/state bonds</w:t>
            </w:r>
          </w:p>
        </w:tc>
        <w:tc>
          <w:tcPr>
            <w:tcW w:w="2271" w:type="dxa"/>
            <w:tcBorders>
              <w:right w:val="single" w:sz="4" w:space="0" w:color="000000"/>
            </w:tcBorders>
          </w:tcPr>
          <w:p w:rsidR="00BB11D1" w:rsidRDefault="00BB11D1" w:rsidP="00451448">
            <w:pPr>
              <w:pStyle w:val="TableParagraph"/>
              <w:spacing w:line="213" w:lineRule="exact"/>
              <w:ind w:right="151"/>
              <w:jc w:val="center"/>
              <w:rPr>
                <w:sz w:val="20"/>
              </w:rPr>
            </w:pPr>
            <w:r>
              <w:rPr>
                <w:w w:val="90"/>
                <w:sz w:val="20"/>
              </w:rPr>
              <w:t>7</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24"/>
        </w:trPr>
        <w:tc>
          <w:tcPr>
            <w:tcW w:w="2344" w:type="dxa"/>
            <w:tcBorders>
              <w:left w:val="single" w:sz="4" w:space="0" w:color="000000"/>
              <w:bottom w:val="single" w:sz="24" w:space="0" w:color="000000"/>
            </w:tcBorders>
          </w:tcPr>
          <w:p w:rsidR="00BB11D1" w:rsidRDefault="00BB11D1" w:rsidP="00451448">
            <w:pPr>
              <w:pStyle w:val="TableParagraph"/>
              <w:spacing w:line="205" w:lineRule="exact"/>
              <w:ind w:left="133"/>
              <w:rPr>
                <w:sz w:val="20"/>
              </w:rPr>
            </w:pPr>
            <w:r>
              <w:rPr>
                <w:sz w:val="20"/>
              </w:rPr>
              <w:t>Equity</w:t>
            </w:r>
          </w:p>
        </w:tc>
        <w:tc>
          <w:tcPr>
            <w:tcW w:w="2271" w:type="dxa"/>
            <w:tcBorders>
              <w:bottom w:val="single" w:sz="24" w:space="0" w:color="000000"/>
              <w:right w:val="single" w:sz="4" w:space="0" w:color="000000"/>
            </w:tcBorders>
          </w:tcPr>
          <w:p w:rsidR="00BB11D1" w:rsidRDefault="00BB11D1" w:rsidP="00451448">
            <w:pPr>
              <w:pStyle w:val="TableParagraph"/>
              <w:spacing w:line="205" w:lineRule="exact"/>
              <w:ind w:right="123"/>
              <w:jc w:val="center"/>
              <w:rPr>
                <w:sz w:val="20"/>
              </w:rPr>
            </w:pPr>
            <w:r>
              <w:rPr>
                <w:w w:val="90"/>
                <w:sz w:val="20"/>
              </w:rPr>
              <w:t>8</w:t>
            </w:r>
          </w:p>
        </w:tc>
        <w:tc>
          <w:tcPr>
            <w:tcW w:w="2098" w:type="dxa"/>
            <w:tcBorders>
              <w:left w:val="single" w:sz="4" w:space="0" w:color="000000"/>
              <w:bottom w:val="single" w:sz="24" w:space="0" w:color="000000"/>
            </w:tcBorders>
          </w:tcPr>
          <w:p w:rsidR="00BB11D1" w:rsidRDefault="00BB11D1" w:rsidP="00451448">
            <w:pPr>
              <w:pStyle w:val="TableParagraph"/>
              <w:rPr>
                <w:rFonts w:ascii="Times New Roman"/>
                <w:sz w:val="16"/>
              </w:rPr>
            </w:pPr>
          </w:p>
        </w:tc>
        <w:tc>
          <w:tcPr>
            <w:tcW w:w="1277" w:type="dxa"/>
            <w:tcBorders>
              <w:bottom w:val="single" w:sz="24" w:space="0" w:color="000000"/>
            </w:tcBorders>
          </w:tcPr>
          <w:p w:rsidR="00BB11D1" w:rsidRDefault="00BB11D1" w:rsidP="00451448">
            <w:pPr>
              <w:pStyle w:val="TableParagraph"/>
              <w:rPr>
                <w:rFonts w:ascii="Times New Roman"/>
                <w:sz w:val="16"/>
              </w:rPr>
            </w:pPr>
          </w:p>
        </w:tc>
        <w:tc>
          <w:tcPr>
            <w:tcW w:w="622" w:type="dxa"/>
            <w:tcBorders>
              <w:bottom w:val="single" w:sz="24" w:space="0" w:color="000000"/>
              <w:right w:val="single" w:sz="4" w:space="0" w:color="000000"/>
            </w:tcBorders>
          </w:tcPr>
          <w:p w:rsidR="00BB11D1" w:rsidRDefault="00BB11D1" w:rsidP="00451448">
            <w:pPr>
              <w:pStyle w:val="TableParagraph"/>
              <w:rPr>
                <w:rFonts w:ascii="Times New Roman"/>
                <w:sz w:val="16"/>
              </w:rPr>
            </w:pPr>
          </w:p>
        </w:tc>
      </w:tr>
      <w:tr w:rsidR="00BB11D1" w:rsidTr="00451448">
        <w:trPr>
          <w:trHeight w:val="342"/>
        </w:trPr>
        <w:tc>
          <w:tcPr>
            <w:tcW w:w="8612" w:type="dxa"/>
            <w:gridSpan w:val="5"/>
            <w:tcBorders>
              <w:top w:val="single" w:sz="24" w:space="0" w:color="000000"/>
              <w:left w:val="single" w:sz="34" w:space="0" w:color="000000"/>
              <w:bottom w:val="single" w:sz="4" w:space="0" w:color="000000"/>
              <w:right w:val="single" w:sz="24" w:space="0" w:color="000000"/>
            </w:tcBorders>
            <w:shd w:val="clear" w:color="auto" w:fill="FFFF00"/>
          </w:tcPr>
          <w:p w:rsidR="00BB11D1" w:rsidRDefault="00BB11D1" w:rsidP="00451448">
            <w:pPr>
              <w:pStyle w:val="TableParagraph"/>
              <w:spacing w:before="4"/>
              <w:ind w:left="3043" w:right="3000"/>
              <w:jc w:val="center"/>
              <w:rPr>
                <w:rFonts w:ascii="Trebuchet MS"/>
                <w:b/>
                <w:sz w:val="20"/>
              </w:rPr>
            </w:pPr>
            <w:r>
              <w:rPr>
                <w:rFonts w:ascii="Trebuchet MS"/>
                <w:b/>
                <w:sz w:val="20"/>
              </w:rPr>
              <w:t>Stable coin issuing vehicle</w:t>
            </w:r>
          </w:p>
        </w:tc>
      </w:tr>
      <w:tr w:rsidR="00BB11D1" w:rsidTr="00451448">
        <w:trPr>
          <w:trHeight w:val="244"/>
        </w:trPr>
        <w:tc>
          <w:tcPr>
            <w:tcW w:w="2344" w:type="dxa"/>
            <w:tcBorders>
              <w:top w:val="single" w:sz="4" w:space="0" w:color="000000"/>
              <w:left w:val="single" w:sz="34" w:space="0" w:color="000000"/>
              <w:bottom w:val="single" w:sz="24" w:space="0" w:color="000000"/>
            </w:tcBorders>
            <w:shd w:val="clear" w:color="auto" w:fill="FFFF00"/>
          </w:tcPr>
          <w:p w:rsidR="00BB11D1" w:rsidRDefault="00BB11D1" w:rsidP="00451448">
            <w:pPr>
              <w:pStyle w:val="TableParagraph"/>
              <w:spacing w:before="4" w:line="221" w:lineRule="exact"/>
              <w:ind w:left="95"/>
              <w:rPr>
                <w:rFonts w:ascii="Trebuchet MS"/>
                <w:b/>
                <w:sz w:val="20"/>
              </w:rPr>
            </w:pPr>
            <w:r>
              <w:rPr>
                <w:rFonts w:ascii="Trebuchet MS"/>
                <w:b/>
                <w:sz w:val="20"/>
              </w:rPr>
              <w:t>Deposits with CB</w:t>
            </w:r>
          </w:p>
        </w:tc>
        <w:tc>
          <w:tcPr>
            <w:tcW w:w="2271" w:type="dxa"/>
            <w:tcBorders>
              <w:top w:val="single" w:sz="4" w:space="0" w:color="000000"/>
              <w:bottom w:val="single" w:sz="24" w:space="0" w:color="000000"/>
              <w:right w:val="single" w:sz="4" w:space="0" w:color="000000"/>
            </w:tcBorders>
            <w:shd w:val="clear" w:color="auto" w:fill="FFFF00"/>
          </w:tcPr>
          <w:p w:rsidR="00BB11D1" w:rsidRDefault="00BB11D1" w:rsidP="00451448">
            <w:pPr>
              <w:pStyle w:val="TableParagraph"/>
              <w:spacing w:before="4" w:line="221" w:lineRule="exact"/>
              <w:ind w:left="374"/>
              <w:rPr>
                <w:rFonts w:ascii="Trebuchet MS"/>
                <w:b/>
                <w:sz w:val="20"/>
              </w:rPr>
            </w:pPr>
            <w:r>
              <w:rPr>
                <w:rFonts w:ascii="Trebuchet MS"/>
                <w:b/>
                <w:color w:val="FF0000"/>
                <w:w w:val="95"/>
                <w:sz w:val="20"/>
              </w:rPr>
              <w:t>STC2</w:t>
            </w:r>
            <w:r>
              <w:rPr>
                <w:rFonts w:ascii="Trebuchet MS"/>
                <w:b/>
                <w:color w:val="00AF50"/>
                <w:w w:val="95"/>
                <w:sz w:val="20"/>
              </w:rPr>
              <w:t>+STC1</w:t>
            </w:r>
          </w:p>
        </w:tc>
        <w:tc>
          <w:tcPr>
            <w:tcW w:w="2098" w:type="dxa"/>
            <w:tcBorders>
              <w:top w:val="single" w:sz="4" w:space="0" w:color="000000"/>
              <w:left w:val="single" w:sz="4" w:space="0" w:color="000000"/>
              <w:bottom w:val="single" w:sz="24" w:space="0" w:color="000000"/>
            </w:tcBorders>
            <w:shd w:val="clear" w:color="auto" w:fill="FFFF00"/>
          </w:tcPr>
          <w:p w:rsidR="00BB11D1" w:rsidRDefault="00BB11D1" w:rsidP="00451448">
            <w:pPr>
              <w:pStyle w:val="TableParagraph"/>
              <w:spacing w:before="4" w:line="221" w:lineRule="exact"/>
              <w:ind w:left="121"/>
              <w:rPr>
                <w:rFonts w:ascii="Trebuchet MS"/>
                <w:b/>
                <w:sz w:val="20"/>
              </w:rPr>
            </w:pPr>
            <w:r>
              <w:rPr>
                <w:rFonts w:ascii="Trebuchet MS"/>
                <w:b/>
                <w:sz w:val="20"/>
              </w:rPr>
              <w:t>STC issued</w:t>
            </w:r>
          </w:p>
        </w:tc>
        <w:tc>
          <w:tcPr>
            <w:tcW w:w="1899" w:type="dxa"/>
            <w:gridSpan w:val="2"/>
            <w:tcBorders>
              <w:top w:val="single" w:sz="4" w:space="0" w:color="000000"/>
              <w:bottom w:val="single" w:sz="24" w:space="0" w:color="000000"/>
              <w:right w:val="single" w:sz="24" w:space="0" w:color="000000"/>
            </w:tcBorders>
            <w:shd w:val="clear" w:color="auto" w:fill="FFFF00"/>
          </w:tcPr>
          <w:p w:rsidR="00BB11D1" w:rsidRDefault="00BB11D1" w:rsidP="00451448">
            <w:pPr>
              <w:pStyle w:val="TableParagraph"/>
              <w:spacing w:before="4" w:line="221" w:lineRule="exact"/>
              <w:ind w:left="392"/>
              <w:rPr>
                <w:rFonts w:ascii="Trebuchet MS"/>
                <w:b/>
                <w:sz w:val="20"/>
              </w:rPr>
            </w:pPr>
            <w:r>
              <w:rPr>
                <w:rFonts w:ascii="Trebuchet MS"/>
                <w:b/>
                <w:color w:val="FF0000"/>
                <w:w w:val="95"/>
                <w:sz w:val="20"/>
              </w:rPr>
              <w:t>STC2</w:t>
            </w:r>
            <w:r>
              <w:rPr>
                <w:rFonts w:ascii="Trebuchet MS"/>
                <w:b/>
                <w:color w:val="00AF50"/>
                <w:w w:val="95"/>
                <w:sz w:val="20"/>
              </w:rPr>
              <w:t>+STC1</w:t>
            </w:r>
          </w:p>
        </w:tc>
      </w:tr>
      <w:tr w:rsidR="00BB11D1" w:rsidTr="00451448">
        <w:trPr>
          <w:trHeight w:val="242"/>
        </w:trPr>
        <w:tc>
          <w:tcPr>
            <w:tcW w:w="8612" w:type="dxa"/>
            <w:gridSpan w:val="5"/>
            <w:tcBorders>
              <w:top w:val="single" w:sz="24" w:space="0" w:color="000000"/>
              <w:left w:val="single" w:sz="4" w:space="0" w:color="000000"/>
              <w:bottom w:val="single" w:sz="4" w:space="0" w:color="000000"/>
              <w:right w:val="single" w:sz="4" w:space="0" w:color="000000"/>
            </w:tcBorders>
          </w:tcPr>
          <w:p w:rsidR="00BB11D1" w:rsidRDefault="00BB11D1" w:rsidP="00451448">
            <w:pPr>
              <w:pStyle w:val="TableParagraph"/>
              <w:spacing w:before="2" w:line="220" w:lineRule="exact"/>
              <w:ind w:left="1261" w:right="1202"/>
              <w:jc w:val="center"/>
              <w:rPr>
                <w:rFonts w:ascii="Trebuchet MS"/>
                <w:b/>
                <w:sz w:val="20"/>
              </w:rPr>
            </w:pPr>
            <w:r>
              <w:rPr>
                <w:rFonts w:ascii="Trebuchet MS"/>
                <w:b/>
                <w:sz w:val="20"/>
              </w:rPr>
              <w:t>Commercial Banks</w:t>
            </w:r>
          </w:p>
        </w:tc>
      </w:tr>
      <w:tr w:rsidR="00BB11D1" w:rsidTr="00451448">
        <w:trPr>
          <w:trHeight w:val="264"/>
        </w:trPr>
        <w:tc>
          <w:tcPr>
            <w:tcW w:w="2344" w:type="dxa"/>
            <w:tcBorders>
              <w:top w:val="single" w:sz="4" w:space="0" w:color="000000"/>
              <w:left w:val="single" w:sz="4" w:space="0" w:color="000000"/>
            </w:tcBorders>
          </w:tcPr>
          <w:p w:rsidR="00BB11D1" w:rsidRDefault="00BB11D1" w:rsidP="00451448">
            <w:pPr>
              <w:pStyle w:val="TableParagraph"/>
              <w:spacing w:before="4"/>
              <w:ind w:left="133"/>
              <w:rPr>
                <w:sz w:val="20"/>
              </w:rPr>
            </w:pPr>
            <w:r>
              <w:rPr>
                <w:sz w:val="20"/>
              </w:rPr>
              <w:t>Loans to corporates</w:t>
            </w:r>
          </w:p>
        </w:tc>
        <w:tc>
          <w:tcPr>
            <w:tcW w:w="2271" w:type="dxa"/>
            <w:tcBorders>
              <w:top w:val="single" w:sz="4" w:space="0" w:color="000000"/>
              <w:right w:val="single" w:sz="4" w:space="0" w:color="000000"/>
            </w:tcBorders>
          </w:tcPr>
          <w:p w:rsidR="00BB11D1" w:rsidRDefault="00BB11D1" w:rsidP="00451448">
            <w:pPr>
              <w:pStyle w:val="TableParagraph"/>
              <w:spacing w:before="4"/>
              <w:ind w:right="359"/>
              <w:jc w:val="center"/>
              <w:rPr>
                <w:sz w:val="20"/>
              </w:rPr>
            </w:pPr>
            <w:r>
              <w:rPr>
                <w:w w:val="90"/>
                <w:sz w:val="20"/>
              </w:rPr>
              <w:t>8</w:t>
            </w:r>
          </w:p>
        </w:tc>
        <w:tc>
          <w:tcPr>
            <w:tcW w:w="2098" w:type="dxa"/>
            <w:tcBorders>
              <w:top w:val="single" w:sz="4" w:space="0" w:color="000000"/>
              <w:left w:val="single" w:sz="4" w:space="0" w:color="000000"/>
            </w:tcBorders>
          </w:tcPr>
          <w:p w:rsidR="00BB11D1" w:rsidRDefault="00BB11D1" w:rsidP="00451448">
            <w:pPr>
              <w:pStyle w:val="TableParagraph"/>
              <w:spacing w:before="4"/>
              <w:ind w:left="145"/>
              <w:rPr>
                <w:sz w:val="20"/>
              </w:rPr>
            </w:pPr>
            <w:r>
              <w:rPr>
                <w:sz w:val="20"/>
              </w:rPr>
              <w:t>Sight deposits</w:t>
            </w:r>
          </w:p>
        </w:tc>
        <w:tc>
          <w:tcPr>
            <w:tcW w:w="1899" w:type="dxa"/>
            <w:gridSpan w:val="2"/>
            <w:tcBorders>
              <w:top w:val="single" w:sz="4" w:space="0" w:color="000000"/>
              <w:right w:val="single" w:sz="4" w:space="0" w:color="000000"/>
            </w:tcBorders>
          </w:tcPr>
          <w:p w:rsidR="00BB11D1" w:rsidRDefault="00BB11D1" w:rsidP="00451448">
            <w:pPr>
              <w:pStyle w:val="TableParagraph"/>
              <w:spacing w:before="4"/>
              <w:ind w:left="92"/>
              <w:rPr>
                <w:rFonts w:ascii="Trebuchet MS" w:hAnsi="Trebuchet MS"/>
                <w:b/>
                <w:sz w:val="20"/>
              </w:rPr>
            </w:pPr>
            <w:r>
              <w:rPr>
                <w:sz w:val="20"/>
              </w:rPr>
              <w:t xml:space="preserve">7 </w:t>
            </w:r>
            <w:r>
              <w:rPr>
                <w:rFonts w:ascii="Trebuchet MS" w:hAnsi="Trebuchet MS"/>
                <w:b/>
                <w:color w:val="FF0000"/>
                <w:sz w:val="20"/>
              </w:rPr>
              <w:t>–STC2</w:t>
            </w:r>
          </w:p>
        </w:tc>
      </w:tr>
      <w:tr w:rsidR="00BB11D1" w:rsidTr="00451448">
        <w:trPr>
          <w:trHeight w:val="244"/>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Loans to government</w:t>
            </w:r>
          </w:p>
        </w:tc>
        <w:tc>
          <w:tcPr>
            <w:tcW w:w="2271" w:type="dxa"/>
            <w:tcBorders>
              <w:right w:val="single" w:sz="4" w:space="0" w:color="000000"/>
            </w:tcBorders>
          </w:tcPr>
          <w:p w:rsidR="00BB11D1" w:rsidRDefault="00BB11D1" w:rsidP="00451448">
            <w:pPr>
              <w:pStyle w:val="TableParagraph"/>
              <w:spacing w:line="215" w:lineRule="exact"/>
              <w:ind w:right="401"/>
              <w:jc w:val="center"/>
              <w:rPr>
                <w:sz w:val="20"/>
              </w:rPr>
            </w:pPr>
            <w:r>
              <w:rPr>
                <w:w w:val="90"/>
                <w:sz w:val="20"/>
              </w:rPr>
              <w:t>2</w:t>
            </w:r>
          </w:p>
        </w:tc>
        <w:tc>
          <w:tcPr>
            <w:tcW w:w="2098" w:type="dxa"/>
            <w:tcBorders>
              <w:left w:val="single" w:sz="4" w:space="0" w:color="000000"/>
            </w:tcBorders>
          </w:tcPr>
          <w:p w:rsidR="00BB11D1" w:rsidRDefault="00BB11D1" w:rsidP="00451448">
            <w:pPr>
              <w:pStyle w:val="TableParagraph"/>
              <w:spacing w:line="215" w:lineRule="exact"/>
              <w:ind w:left="145"/>
              <w:rPr>
                <w:sz w:val="20"/>
              </w:rPr>
            </w:pPr>
            <w:r>
              <w:rPr>
                <w:w w:val="95"/>
                <w:sz w:val="20"/>
              </w:rPr>
              <w:t>Savings</w:t>
            </w:r>
            <w:r>
              <w:rPr>
                <w:spacing w:val="-31"/>
                <w:w w:val="95"/>
                <w:sz w:val="20"/>
              </w:rPr>
              <w:t xml:space="preserve"> </w:t>
            </w:r>
            <w:r>
              <w:rPr>
                <w:w w:val="95"/>
                <w:sz w:val="20"/>
              </w:rPr>
              <w:t>+</w:t>
            </w:r>
            <w:r>
              <w:rPr>
                <w:spacing w:val="-32"/>
                <w:w w:val="95"/>
                <w:sz w:val="20"/>
              </w:rPr>
              <w:t xml:space="preserve"> </w:t>
            </w:r>
            <w:r>
              <w:rPr>
                <w:w w:val="95"/>
                <w:sz w:val="20"/>
              </w:rPr>
              <w:t>time</w:t>
            </w:r>
            <w:r>
              <w:rPr>
                <w:spacing w:val="-11"/>
                <w:w w:val="95"/>
                <w:sz w:val="20"/>
              </w:rPr>
              <w:t xml:space="preserve"> </w:t>
            </w:r>
            <w:r>
              <w:rPr>
                <w:w w:val="95"/>
                <w:sz w:val="20"/>
              </w:rPr>
              <w:t>deposits</w:t>
            </w:r>
          </w:p>
        </w:tc>
        <w:tc>
          <w:tcPr>
            <w:tcW w:w="1899" w:type="dxa"/>
            <w:gridSpan w:val="2"/>
            <w:tcBorders>
              <w:right w:val="single" w:sz="4" w:space="0" w:color="000000"/>
            </w:tcBorders>
          </w:tcPr>
          <w:p w:rsidR="00BB11D1" w:rsidRDefault="00BB11D1" w:rsidP="00451448">
            <w:pPr>
              <w:pStyle w:val="TableParagraph"/>
              <w:spacing w:line="215" w:lineRule="exact"/>
              <w:ind w:left="399"/>
              <w:rPr>
                <w:sz w:val="20"/>
              </w:rPr>
            </w:pPr>
            <w:r>
              <w:rPr>
                <w:w w:val="90"/>
                <w:sz w:val="20"/>
              </w:rPr>
              <w:t>5</w:t>
            </w: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Loans to HH</w:t>
            </w:r>
          </w:p>
        </w:tc>
        <w:tc>
          <w:tcPr>
            <w:tcW w:w="2271" w:type="dxa"/>
            <w:tcBorders>
              <w:right w:val="single" w:sz="4" w:space="0" w:color="000000"/>
            </w:tcBorders>
          </w:tcPr>
          <w:p w:rsidR="00BB11D1" w:rsidRDefault="00BB11D1" w:rsidP="00451448">
            <w:pPr>
              <w:pStyle w:val="TableParagraph"/>
              <w:spacing w:line="215" w:lineRule="exact"/>
              <w:ind w:right="354"/>
              <w:jc w:val="center"/>
              <w:rPr>
                <w:sz w:val="20"/>
              </w:rPr>
            </w:pPr>
            <w:r>
              <w:rPr>
                <w:w w:val="90"/>
                <w:sz w:val="20"/>
              </w:rPr>
              <w:t>5</w:t>
            </w:r>
          </w:p>
        </w:tc>
        <w:tc>
          <w:tcPr>
            <w:tcW w:w="2098" w:type="dxa"/>
            <w:tcBorders>
              <w:left w:val="single" w:sz="4" w:space="0" w:color="000000"/>
            </w:tcBorders>
          </w:tcPr>
          <w:p w:rsidR="00BB11D1" w:rsidRDefault="00BB11D1" w:rsidP="00451448">
            <w:pPr>
              <w:pStyle w:val="TableParagraph"/>
              <w:spacing w:line="215" w:lineRule="exact"/>
              <w:ind w:left="145"/>
              <w:rPr>
                <w:sz w:val="20"/>
              </w:rPr>
            </w:pPr>
            <w:r>
              <w:rPr>
                <w:sz w:val="20"/>
              </w:rPr>
              <w:t>Bonds issued</w:t>
            </w:r>
          </w:p>
        </w:tc>
        <w:tc>
          <w:tcPr>
            <w:tcW w:w="1899" w:type="dxa"/>
            <w:gridSpan w:val="2"/>
            <w:tcBorders>
              <w:right w:val="single" w:sz="4" w:space="0" w:color="000000"/>
            </w:tcBorders>
          </w:tcPr>
          <w:p w:rsidR="00BB11D1" w:rsidRDefault="00BB11D1" w:rsidP="00451448">
            <w:pPr>
              <w:pStyle w:val="TableParagraph"/>
              <w:spacing w:line="215" w:lineRule="exact"/>
              <w:ind w:left="380"/>
              <w:rPr>
                <w:sz w:val="20"/>
              </w:rPr>
            </w:pPr>
            <w:r>
              <w:rPr>
                <w:w w:val="90"/>
                <w:sz w:val="20"/>
              </w:rPr>
              <w:t>4</w:t>
            </w: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3" w:lineRule="exact"/>
              <w:ind w:left="133"/>
              <w:rPr>
                <w:sz w:val="20"/>
              </w:rPr>
            </w:pPr>
            <w:r>
              <w:rPr>
                <w:sz w:val="20"/>
              </w:rPr>
              <w:t>Corp/gvt bonds</w:t>
            </w:r>
          </w:p>
        </w:tc>
        <w:tc>
          <w:tcPr>
            <w:tcW w:w="2271" w:type="dxa"/>
            <w:tcBorders>
              <w:right w:val="single" w:sz="4" w:space="0" w:color="000000"/>
            </w:tcBorders>
          </w:tcPr>
          <w:p w:rsidR="00BB11D1" w:rsidRDefault="00BB11D1" w:rsidP="00451448">
            <w:pPr>
              <w:pStyle w:val="TableParagraph"/>
              <w:spacing w:line="213" w:lineRule="exact"/>
              <w:ind w:right="339"/>
              <w:jc w:val="center"/>
              <w:rPr>
                <w:sz w:val="20"/>
              </w:rPr>
            </w:pPr>
            <w:r>
              <w:rPr>
                <w:w w:val="90"/>
                <w:sz w:val="20"/>
              </w:rPr>
              <w:t>5</w:t>
            </w:r>
          </w:p>
        </w:tc>
        <w:tc>
          <w:tcPr>
            <w:tcW w:w="2098" w:type="dxa"/>
            <w:tcBorders>
              <w:left w:val="single" w:sz="4" w:space="0" w:color="000000"/>
            </w:tcBorders>
          </w:tcPr>
          <w:p w:rsidR="00BB11D1" w:rsidRDefault="00BB11D1" w:rsidP="00451448">
            <w:pPr>
              <w:pStyle w:val="TableParagraph"/>
              <w:spacing w:line="213" w:lineRule="exact"/>
              <w:ind w:left="145"/>
              <w:rPr>
                <w:sz w:val="20"/>
              </w:rPr>
            </w:pPr>
            <w:r>
              <w:rPr>
                <w:sz w:val="20"/>
              </w:rPr>
              <w:t>Equity</w:t>
            </w:r>
          </w:p>
        </w:tc>
        <w:tc>
          <w:tcPr>
            <w:tcW w:w="1899" w:type="dxa"/>
            <w:gridSpan w:val="2"/>
            <w:tcBorders>
              <w:right w:val="single" w:sz="4" w:space="0" w:color="000000"/>
            </w:tcBorders>
          </w:tcPr>
          <w:p w:rsidR="00BB11D1" w:rsidRDefault="00BB11D1" w:rsidP="00451448">
            <w:pPr>
              <w:pStyle w:val="TableParagraph"/>
              <w:spacing w:line="213" w:lineRule="exact"/>
              <w:ind w:left="376"/>
              <w:rPr>
                <w:sz w:val="20"/>
              </w:rPr>
            </w:pPr>
            <w:r>
              <w:rPr>
                <w:w w:val="90"/>
                <w:sz w:val="20"/>
              </w:rPr>
              <w:t>3</w:t>
            </w:r>
          </w:p>
        </w:tc>
      </w:tr>
      <w:tr w:rsidR="00BB11D1" w:rsidTr="00451448">
        <w:trPr>
          <w:trHeight w:val="224"/>
        </w:trPr>
        <w:tc>
          <w:tcPr>
            <w:tcW w:w="2344"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2271" w:type="dxa"/>
            <w:tcBorders>
              <w:bottom w:val="single" w:sz="4" w:space="0" w:color="000000"/>
              <w:right w:val="single" w:sz="4" w:space="0" w:color="000000"/>
            </w:tcBorders>
          </w:tcPr>
          <w:p w:rsidR="00BB11D1" w:rsidRDefault="00BB11D1" w:rsidP="00451448">
            <w:pPr>
              <w:pStyle w:val="TableParagraph"/>
              <w:rPr>
                <w:rFonts w:ascii="Times New Roman"/>
                <w:sz w:val="16"/>
              </w:rPr>
            </w:pPr>
          </w:p>
        </w:tc>
        <w:tc>
          <w:tcPr>
            <w:tcW w:w="2098" w:type="dxa"/>
            <w:tcBorders>
              <w:left w:val="single" w:sz="4" w:space="0" w:color="000000"/>
              <w:bottom w:val="single" w:sz="4" w:space="0" w:color="000000"/>
            </w:tcBorders>
          </w:tcPr>
          <w:p w:rsidR="00BB11D1" w:rsidRDefault="00BB11D1" w:rsidP="00451448">
            <w:pPr>
              <w:pStyle w:val="TableParagraph"/>
              <w:spacing w:line="205" w:lineRule="exact"/>
              <w:ind w:left="145"/>
              <w:rPr>
                <w:sz w:val="20"/>
              </w:rPr>
            </w:pPr>
            <w:r>
              <w:rPr>
                <w:sz w:val="20"/>
              </w:rPr>
              <w:t>Central bank credit</w:t>
            </w:r>
          </w:p>
        </w:tc>
        <w:tc>
          <w:tcPr>
            <w:tcW w:w="1899" w:type="dxa"/>
            <w:gridSpan w:val="2"/>
            <w:tcBorders>
              <w:bottom w:val="single" w:sz="4" w:space="0" w:color="000000"/>
              <w:right w:val="single" w:sz="4" w:space="0" w:color="000000"/>
            </w:tcBorders>
          </w:tcPr>
          <w:p w:rsidR="00BB11D1" w:rsidRDefault="00BB11D1" w:rsidP="00451448">
            <w:pPr>
              <w:pStyle w:val="TableParagraph"/>
              <w:spacing w:line="205" w:lineRule="exact"/>
              <w:ind w:left="281"/>
              <w:rPr>
                <w:rFonts w:ascii="Trebuchet MS"/>
                <w:b/>
                <w:sz w:val="20"/>
              </w:rPr>
            </w:pPr>
            <w:r>
              <w:rPr>
                <w:rFonts w:ascii="Trebuchet MS"/>
                <w:b/>
                <w:color w:val="FF0000"/>
                <w:w w:val="95"/>
                <w:sz w:val="20"/>
              </w:rPr>
              <w:t>STC2</w:t>
            </w:r>
          </w:p>
        </w:tc>
      </w:tr>
      <w:tr w:rsidR="00BB11D1" w:rsidTr="00451448">
        <w:trPr>
          <w:trHeight w:val="244"/>
        </w:trPr>
        <w:tc>
          <w:tcPr>
            <w:tcW w:w="8612"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2"/>
              <w:jc w:val="center"/>
              <w:rPr>
                <w:rFonts w:ascii="Trebuchet MS"/>
                <w:b/>
                <w:sz w:val="20"/>
              </w:rPr>
            </w:pPr>
            <w:r>
              <w:rPr>
                <w:rFonts w:ascii="Trebuchet MS"/>
                <w:b/>
                <w:sz w:val="20"/>
              </w:rPr>
              <w:t>Central Bank</w:t>
            </w:r>
          </w:p>
        </w:tc>
      </w:tr>
      <w:tr w:rsidR="00BB11D1" w:rsidTr="00451448">
        <w:trPr>
          <w:trHeight w:val="731"/>
        </w:trPr>
        <w:tc>
          <w:tcPr>
            <w:tcW w:w="2344" w:type="dxa"/>
            <w:tcBorders>
              <w:top w:val="single" w:sz="4" w:space="0" w:color="000000"/>
              <w:left w:val="single" w:sz="4" w:space="0" w:color="000000"/>
              <w:bottom w:val="single" w:sz="4" w:space="0" w:color="000000"/>
            </w:tcBorders>
          </w:tcPr>
          <w:p w:rsidR="00BB11D1" w:rsidRDefault="00BB11D1" w:rsidP="00451448">
            <w:pPr>
              <w:pStyle w:val="TableParagraph"/>
              <w:spacing w:before="4"/>
              <w:ind w:left="133"/>
              <w:rPr>
                <w:sz w:val="20"/>
              </w:rPr>
            </w:pPr>
            <w:r>
              <w:rPr>
                <w:sz w:val="20"/>
              </w:rPr>
              <w:t>Credit to banks</w:t>
            </w:r>
          </w:p>
        </w:tc>
        <w:tc>
          <w:tcPr>
            <w:tcW w:w="2271" w:type="dxa"/>
            <w:tcBorders>
              <w:top w:val="single" w:sz="4" w:space="0" w:color="000000"/>
              <w:bottom w:val="single" w:sz="4" w:space="0" w:color="000000"/>
              <w:right w:val="single" w:sz="4" w:space="0" w:color="000000"/>
            </w:tcBorders>
          </w:tcPr>
          <w:p w:rsidR="00BB11D1" w:rsidRDefault="00BB11D1" w:rsidP="00451448">
            <w:pPr>
              <w:pStyle w:val="TableParagraph"/>
              <w:spacing w:before="4"/>
              <w:ind w:left="928"/>
              <w:rPr>
                <w:rFonts w:ascii="Trebuchet MS"/>
                <w:b/>
                <w:sz w:val="20"/>
              </w:rPr>
            </w:pPr>
            <w:r>
              <w:rPr>
                <w:w w:val="95"/>
                <w:sz w:val="20"/>
              </w:rPr>
              <w:t>1</w:t>
            </w:r>
            <w:r>
              <w:rPr>
                <w:rFonts w:ascii="Trebuchet MS"/>
                <w:b/>
                <w:color w:val="FF0000"/>
                <w:w w:val="95"/>
                <w:sz w:val="20"/>
              </w:rPr>
              <w:t>+ STC2</w:t>
            </w:r>
          </w:p>
        </w:tc>
        <w:tc>
          <w:tcPr>
            <w:tcW w:w="2098" w:type="dxa"/>
            <w:tcBorders>
              <w:top w:val="single" w:sz="4" w:space="0" w:color="000000"/>
              <w:left w:val="single" w:sz="4" w:space="0" w:color="000000"/>
              <w:bottom w:val="single" w:sz="4" w:space="0" w:color="000000"/>
            </w:tcBorders>
          </w:tcPr>
          <w:p w:rsidR="00BB11D1" w:rsidRDefault="00BB11D1" w:rsidP="00451448">
            <w:pPr>
              <w:pStyle w:val="TableParagraph"/>
              <w:spacing w:before="4" w:line="254" w:lineRule="auto"/>
              <w:ind w:left="121" w:right="441"/>
              <w:rPr>
                <w:sz w:val="20"/>
              </w:rPr>
            </w:pPr>
            <w:r>
              <w:rPr>
                <w:w w:val="90"/>
                <w:sz w:val="20"/>
              </w:rPr>
              <w:t xml:space="preserve">Banknotes issued </w:t>
            </w:r>
            <w:r>
              <w:rPr>
                <w:w w:val="95"/>
                <w:sz w:val="20"/>
              </w:rPr>
              <w:t>Deposits of banks</w:t>
            </w:r>
          </w:p>
          <w:p w:rsidR="00BB11D1" w:rsidRDefault="00BB11D1" w:rsidP="00451448">
            <w:pPr>
              <w:pStyle w:val="TableParagraph"/>
              <w:spacing w:line="220" w:lineRule="exact"/>
              <w:ind w:left="121"/>
              <w:rPr>
                <w:rFonts w:ascii="Trebuchet MS"/>
                <w:b/>
                <w:sz w:val="20"/>
              </w:rPr>
            </w:pPr>
            <w:r>
              <w:rPr>
                <w:rFonts w:ascii="Trebuchet MS"/>
                <w:b/>
                <w:sz w:val="20"/>
              </w:rPr>
              <w:t>STC deposits</w:t>
            </w:r>
          </w:p>
        </w:tc>
        <w:tc>
          <w:tcPr>
            <w:tcW w:w="1899" w:type="dxa"/>
            <w:gridSpan w:val="2"/>
            <w:tcBorders>
              <w:top w:val="single" w:sz="4" w:space="0" w:color="000000"/>
              <w:bottom w:val="single" w:sz="4" w:space="0" w:color="000000"/>
              <w:right w:val="single" w:sz="4" w:space="0" w:color="000000"/>
            </w:tcBorders>
          </w:tcPr>
          <w:p w:rsidR="00BB11D1" w:rsidRDefault="00BB11D1" w:rsidP="00451448">
            <w:pPr>
              <w:pStyle w:val="TableParagraph"/>
              <w:spacing w:before="4"/>
              <w:ind w:left="257"/>
              <w:rPr>
                <w:rFonts w:ascii="Trebuchet MS"/>
                <w:b/>
                <w:sz w:val="20"/>
              </w:rPr>
            </w:pPr>
            <w:r>
              <w:rPr>
                <w:sz w:val="20"/>
              </w:rPr>
              <w:t xml:space="preserve">1 </w:t>
            </w:r>
            <w:r>
              <w:rPr>
                <w:rFonts w:ascii="Trebuchet MS"/>
                <w:b/>
                <w:color w:val="00AF50"/>
                <w:sz w:val="20"/>
              </w:rPr>
              <w:t>-STC1</w:t>
            </w:r>
          </w:p>
          <w:p w:rsidR="00BB11D1" w:rsidRDefault="00BB11D1" w:rsidP="00451448">
            <w:pPr>
              <w:pStyle w:val="TableParagraph"/>
              <w:spacing w:before="12"/>
              <w:ind w:left="234"/>
              <w:rPr>
                <w:sz w:val="20"/>
              </w:rPr>
            </w:pPr>
            <w:r>
              <w:rPr>
                <w:w w:val="90"/>
                <w:sz w:val="20"/>
              </w:rPr>
              <w:t>0</w:t>
            </w:r>
          </w:p>
          <w:p w:rsidR="00BB11D1" w:rsidRDefault="00BB11D1" w:rsidP="00451448">
            <w:pPr>
              <w:pStyle w:val="TableParagraph"/>
              <w:spacing w:before="13" w:line="220" w:lineRule="exact"/>
              <w:ind w:left="70"/>
              <w:rPr>
                <w:rFonts w:ascii="Trebuchet MS"/>
                <w:b/>
                <w:sz w:val="20"/>
              </w:rPr>
            </w:pPr>
            <w:r>
              <w:rPr>
                <w:rFonts w:ascii="Trebuchet MS"/>
                <w:b/>
                <w:color w:val="FF0000"/>
                <w:w w:val="95"/>
                <w:sz w:val="20"/>
              </w:rPr>
              <w:t>STC2</w:t>
            </w:r>
            <w:r>
              <w:rPr>
                <w:rFonts w:ascii="Trebuchet MS"/>
                <w:b/>
                <w:color w:val="00AF50"/>
                <w:w w:val="95"/>
                <w:sz w:val="20"/>
              </w:rPr>
              <w:t>+STC1</w:t>
            </w:r>
          </w:p>
        </w:tc>
      </w:tr>
    </w:tbl>
    <w:p w:rsidR="000255A4" w:rsidRDefault="000255A4" w:rsidP="006A2441">
      <w:pPr>
        <w:pStyle w:val="BodyText"/>
        <w:bidi/>
        <w:rPr>
          <w:rFonts w:asciiTheme="majorBidi" w:hAnsiTheme="majorBidi" w:cstheme="majorBidi"/>
          <w:i/>
          <w:sz w:val="30"/>
          <w:rtl/>
          <w:lang w:bidi="ar-LB"/>
        </w:rPr>
      </w:pPr>
    </w:p>
    <w:p w:rsidR="00BB11D1" w:rsidRPr="00BB11D1" w:rsidRDefault="00BB11D1" w:rsidP="00BB11D1">
      <w:pPr>
        <w:pStyle w:val="BodyText"/>
        <w:bidi/>
        <w:rPr>
          <w:rFonts w:asciiTheme="majorBidi" w:hAnsiTheme="majorBidi" w:cstheme="majorBidi"/>
          <w:i/>
          <w:sz w:val="30"/>
        </w:rPr>
      </w:pPr>
    </w:p>
    <w:p w:rsidR="000255A4" w:rsidRPr="00BB11D1" w:rsidRDefault="00BB11D1" w:rsidP="00BB11D1">
      <w:pPr>
        <w:pStyle w:val="Heading3"/>
        <w:bidi/>
        <w:spacing w:before="1" w:line="480" w:lineRule="auto"/>
        <w:jc w:val="both"/>
        <w:rPr>
          <w:rFonts w:asciiTheme="majorBidi" w:hAnsiTheme="majorBidi" w:cstheme="majorBidi"/>
        </w:rPr>
      </w:pPr>
      <w:r w:rsidRPr="00BB11D1">
        <w:rPr>
          <w:rFonts w:asciiTheme="majorBidi" w:hAnsiTheme="majorBidi" w:cstheme="majorBidi"/>
          <w:rtl/>
          <w:lang w:bidi="ar-SA"/>
        </w:rPr>
        <w:t>البنك الضيق</w:t>
      </w:r>
    </w:p>
    <w:p w:rsidR="000255A4" w:rsidRPr="00BB11D1" w:rsidRDefault="00BB11D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rtl/>
          <w:lang w:bidi="ar-SA"/>
        </w:rPr>
        <w:t xml:space="preserve">يُعرَّف البنك الضيق هنا بأنه البنك الذي سيكون لديه جميع الودائع التي يصدرها على جانب الأصول مع ودائع البنك المركزي (انظر أيضًا </w:t>
      </w:r>
      <w:r w:rsidRPr="00BB11D1">
        <w:rPr>
          <w:rFonts w:asciiTheme="majorBidi" w:hAnsiTheme="majorBidi" w:cstheme="majorBidi"/>
        </w:rPr>
        <w:t>Mancini-Griffoli et al</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w:t>
      </w:r>
      <w:r w:rsidRPr="00BB11D1">
        <w:rPr>
          <w:rFonts w:asciiTheme="majorBidi" w:hAnsiTheme="majorBidi" w:cstheme="majorBidi"/>
        </w:rPr>
        <w:t>13</w:t>
      </w:r>
      <w:r w:rsidRPr="00BB11D1">
        <w:rPr>
          <w:rFonts w:asciiTheme="majorBidi" w:hAnsiTheme="majorBidi" w:cstheme="majorBidi"/>
          <w:rtl/>
          <w:lang w:bidi="ar-SA"/>
        </w:rPr>
        <w:t>). سيتم تمويل الأصول الأخرى (الأصول المادية) مع حقوق الملكية. سيتم تغطية التكاليف الجارية ومكافأة رأس المال بفارق بين معدلات الودائع المصرفية الضيقة وأسعار الفائدة التي يتقاضاها البنك المركزي لاحتياطيات البنوك. حاول مثل هذا البنك الضيق تأسيس نفسه في الولايات المتحدة (</w:t>
      </w:r>
      <w:r w:rsidRPr="00BB11D1">
        <w:rPr>
          <w:rFonts w:asciiTheme="majorBidi" w:hAnsiTheme="majorBidi" w:cstheme="majorBidi"/>
        </w:rPr>
        <w:t>www.tnbusa.com</w:t>
      </w:r>
      <w:r w:rsidRPr="00BB11D1">
        <w:rPr>
          <w:rFonts w:asciiTheme="majorBidi" w:hAnsiTheme="majorBidi" w:cstheme="majorBidi"/>
          <w:rtl/>
          <w:lang w:bidi="ar-SA"/>
        </w:rPr>
        <w:t>). لنفترض أن البنوك الضيقة ستصدر "العملة الرقمية الضيقة للبنك" (</w:t>
      </w:r>
      <w:r w:rsidRPr="00BB11D1">
        <w:rPr>
          <w:rFonts w:asciiTheme="majorBidi" w:hAnsiTheme="majorBidi" w:cstheme="majorBidi"/>
        </w:rPr>
        <w:t>NBDC</w:t>
      </w:r>
      <w:r w:rsidRPr="00BB11D1">
        <w:rPr>
          <w:rFonts w:asciiTheme="majorBidi" w:hAnsiTheme="majorBidi" w:cstheme="majorBidi"/>
          <w:rtl/>
          <w:lang w:bidi="ar-SA"/>
        </w:rPr>
        <w:t xml:space="preserve">) - كيف يمكنهم تغيير النظام المالي؟ تتشابه الحسابات المالية مع عملة </w:t>
      </w:r>
      <w:r w:rsidRPr="00BB11D1">
        <w:rPr>
          <w:rFonts w:asciiTheme="majorBidi" w:hAnsiTheme="majorBidi" w:cstheme="majorBidi"/>
        </w:rPr>
        <w:t>Stablecoin</w:t>
      </w:r>
      <w:r w:rsidRPr="00BB11D1">
        <w:rPr>
          <w:rFonts w:asciiTheme="majorBidi" w:hAnsiTheme="majorBidi" w:cstheme="majorBidi"/>
          <w:rtl/>
          <w:lang w:bidi="ar-SA"/>
        </w:rPr>
        <w:t xml:space="preserve"> المدعومة من ودائع البنك المركزي (انظر أعلاه) ، حيث يتولى البنك الضيق دور العملة المستقرة (أي استبدالها في حسابات "مركبة إصدار العملة المستقرة" بواسطة "بنك ضيق" ؛ "</w:t>
      </w:r>
      <w:r w:rsidRPr="00BB11D1">
        <w:rPr>
          <w:rFonts w:asciiTheme="majorBidi" w:hAnsiTheme="majorBidi" w:cstheme="majorBidi"/>
        </w:rPr>
        <w:t>STC1</w:t>
      </w:r>
      <w:r w:rsidRPr="00BB11D1">
        <w:rPr>
          <w:rFonts w:asciiTheme="majorBidi" w:hAnsiTheme="majorBidi" w:cstheme="majorBidi"/>
          <w:rtl/>
          <w:lang w:bidi="ar-SA"/>
        </w:rPr>
        <w:t>" بواسطة "</w:t>
      </w:r>
      <w:r w:rsidRPr="00BB11D1">
        <w:rPr>
          <w:rFonts w:asciiTheme="majorBidi" w:hAnsiTheme="majorBidi" w:cstheme="majorBidi"/>
        </w:rPr>
        <w:t>NBDC1</w:t>
      </w:r>
      <w:r w:rsidRPr="00BB11D1">
        <w:rPr>
          <w:rFonts w:asciiTheme="majorBidi" w:hAnsiTheme="majorBidi" w:cstheme="majorBidi"/>
          <w:rtl/>
          <w:lang w:bidi="ar-SA"/>
        </w:rPr>
        <w:t>" ؛ "</w:t>
      </w:r>
      <w:r w:rsidRPr="00BB11D1">
        <w:rPr>
          <w:rFonts w:asciiTheme="majorBidi" w:hAnsiTheme="majorBidi" w:cstheme="majorBidi"/>
        </w:rPr>
        <w:t>STC2</w:t>
      </w:r>
      <w:r w:rsidRPr="00BB11D1">
        <w:rPr>
          <w:rFonts w:asciiTheme="majorBidi" w:hAnsiTheme="majorBidi" w:cstheme="majorBidi"/>
          <w:rtl/>
          <w:lang w:bidi="ar-SA"/>
        </w:rPr>
        <w:t>" بواسطة "</w:t>
      </w:r>
      <w:r w:rsidRPr="00BB11D1">
        <w:rPr>
          <w:rFonts w:asciiTheme="majorBidi" w:hAnsiTheme="majorBidi" w:cstheme="majorBidi"/>
        </w:rPr>
        <w:t>NBDC2</w:t>
      </w:r>
      <w:r w:rsidRPr="00BB11D1">
        <w:rPr>
          <w:rFonts w:asciiTheme="majorBidi" w:hAnsiTheme="majorBidi" w:cstheme="majorBidi"/>
          <w:rtl/>
          <w:lang w:bidi="ar-SA"/>
        </w:rPr>
        <w:t>").</w:t>
      </w:r>
    </w:p>
    <w:p w:rsidR="00BB11D1" w:rsidRPr="00BB11D1" w:rsidRDefault="00BB11D1" w:rsidP="00BB11D1">
      <w:pPr>
        <w:pStyle w:val="BodyText"/>
        <w:bidi/>
        <w:spacing w:before="14" w:line="480" w:lineRule="auto"/>
        <w:ind w:left="249" w:right="766"/>
        <w:jc w:val="both"/>
        <w:rPr>
          <w:rFonts w:asciiTheme="majorBidi" w:eastAsia="Trebuchet MS" w:hAnsiTheme="majorBidi" w:cstheme="majorBidi"/>
          <w:b/>
          <w:bCs/>
          <w:sz w:val="24"/>
          <w:szCs w:val="24"/>
          <w:rtl/>
          <w:lang w:bidi="ar-LB"/>
        </w:rPr>
      </w:pPr>
      <w:r w:rsidRPr="00BB11D1">
        <w:rPr>
          <w:rFonts w:asciiTheme="majorBidi" w:eastAsia="Trebuchet MS" w:hAnsiTheme="majorBidi" w:cstheme="majorBidi"/>
          <w:b/>
          <w:bCs/>
          <w:sz w:val="24"/>
          <w:szCs w:val="24"/>
          <w:rtl/>
          <w:lang w:bidi="ar-SA"/>
        </w:rPr>
        <w:t xml:space="preserve">مقارنة ابتكارات العملة الرقمية الخاصة مع </w:t>
      </w:r>
      <w:r w:rsidRPr="00BB11D1">
        <w:rPr>
          <w:rFonts w:asciiTheme="majorBidi" w:eastAsia="Trebuchet MS" w:hAnsiTheme="majorBidi" w:cstheme="majorBidi"/>
          <w:b/>
          <w:bCs/>
          <w:sz w:val="24"/>
          <w:szCs w:val="24"/>
        </w:rPr>
        <w:t>CBDC</w:t>
      </w:r>
    </w:p>
    <w:p w:rsidR="00BB11D1" w:rsidRPr="00BB11D1" w:rsidRDefault="00BB11D1" w:rsidP="0010677D">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يقارن الجدول التالي الآثار المترتبة في الميزانية المختلفة للمخططات المختلفة على النظام المصرفي ، أي البنوك التجارية والبنك المركزي. نحن نسمي </w:t>
      </w:r>
      <w:r w:rsidRPr="00BB11D1">
        <w:rPr>
          <w:rFonts w:asciiTheme="majorBidi" w:hAnsiTheme="majorBidi" w:cstheme="majorBidi"/>
          <w:b/>
          <w:color w:val="00AF50"/>
        </w:rPr>
        <w:t>X1</w:t>
      </w:r>
      <w:r w:rsidRPr="00BB11D1">
        <w:rPr>
          <w:rFonts w:asciiTheme="majorBidi" w:hAnsiTheme="majorBidi" w:cstheme="majorBidi"/>
          <w:rtl/>
          <w:lang w:bidi="ar-SA"/>
        </w:rPr>
        <w:t xml:space="preserve"> مقدار وسائل الدفع الجديدة التي تحل محل الأوراق النقدية و </w:t>
      </w:r>
      <w:r w:rsidRPr="00BB11D1">
        <w:rPr>
          <w:rFonts w:asciiTheme="majorBidi" w:hAnsiTheme="majorBidi" w:cstheme="majorBidi"/>
          <w:b/>
          <w:color w:val="FF0000"/>
          <w:w w:val="85"/>
        </w:rPr>
        <w:t>X2</w:t>
      </w:r>
      <w:r w:rsidRPr="00BB11D1">
        <w:rPr>
          <w:rFonts w:asciiTheme="majorBidi" w:hAnsiTheme="majorBidi" w:cstheme="majorBidi"/>
          <w:b/>
          <w:color w:val="FF0000"/>
          <w:w w:val="85"/>
          <w:rtl/>
          <w:lang w:bidi="ar-LB"/>
        </w:rPr>
        <w:t xml:space="preserve"> </w:t>
      </w:r>
      <w:r w:rsidRPr="00BB11D1">
        <w:rPr>
          <w:rFonts w:asciiTheme="majorBidi" w:hAnsiTheme="majorBidi" w:cstheme="majorBidi"/>
          <w:b/>
          <w:color w:val="FF0000"/>
          <w:w w:val="85"/>
          <w:rtl/>
          <w:lang w:bidi="ar-SA"/>
        </w:rPr>
        <w:t xml:space="preserve"> </w:t>
      </w:r>
      <w:r w:rsidRPr="00BB11D1">
        <w:rPr>
          <w:rFonts w:asciiTheme="majorBidi" w:hAnsiTheme="majorBidi" w:cstheme="majorBidi"/>
          <w:rtl/>
          <w:lang w:bidi="ar-SA"/>
        </w:rPr>
        <w:t xml:space="preserve">مقدار وسائل الدفع الجديدة التي تحل محل الودائع لدى البنوك. لا يعني التشابه في هذا الجدول بالضرورة التشابه في الممارسة العملية ، لأن نجاح المخططات المختلفة قد يكون مختلفًا تمامًا ، وبالتالي الحجم الفعلي لـ </w:t>
      </w:r>
      <w:r w:rsidRPr="00BB11D1">
        <w:rPr>
          <w:rFonts w:asciiTheme="majorBidi" w:hAnsiTheme="majorBidi" w:cstheme="majorBidi"/>
        </w:rPr>
        <w:t>X1</w:t>
      </w:r>
      <w:r w:rsidRPr="00BB11D1">
        <w:rPr>
          <w:rFonts w:asciiTheme="majorBidi" w:hAnsiTheme="majorBidi" w:cstheme="majorBidi"/>
          <w:rtl/>
          <w:lang w:bidi="ar-SA"/>
        </w:rPr>
        <w:t xml:space="preserve"> و </w:t>
      </w:r>
      <w:r w:rsidRPr="00BB11D1">
        <w:rPr>
          <w:rFonts w:asciiTheme="majorBidi" w:hAnsiTheme="majorBidi" w:cstheme="majorBidi"/>
        </w:rPr>
        <w:t>X2</w:t>
      </w:r>
      <w:r w:rsidRPr="00BB11D1">
        <w:rPr>
          <w:rFonts w:asciiTheme="majorBidi" w:hAnsiTheme="majorBidi" w:cstheme="majorBidi"/>
          <w:rtl/>
          <w:lang w:bidi="ar-SA"/>
        </w:rPr>
        <w:t xml:space="preserve">. كما ذكرنا ، في حالة </w:t>
      </w:r>
      <w:r>
        <w:rPr>
          <w:rFonts w:asciiTheme="majorBidi" w:hAnsiTheme="majorBidi" w:cstheme="majorBidi"/>
          <w:lang w:bidi="ar-SA"/>
        </w:rPr>
        <w:t>CBDC</w:t>
      </w:r>
      <w:r w:rsidRPr="00BB11D1">
        <w:rPr>
          <w:rFonts w:asciiTheme="majorBidi" w:hAnsiTheme="majorBidi" w:cstheme="majorBidi"/>
          <w:rtl/>
          <w:lang w:bidi="ar-SA"/>
        </w:rPr>
        <w:t xml:space="preserve"> ، يمكن التحكم عن كثب في المبالغ الصادرة من خلال نظام المكافآت ذي المستويين.</w:t>
      </w:r>
    </w:p>
    <w:p w:rsidR="00BB11D1" w:rsidRPr="00BB11D1" w:rsidRDefault="00BB11D1" w:rsidP="00BB11D1">
      <w:pPr>
        <w:pStyle w:val="BodyText"/>
        <w:bidi/>
        <w:rPr>
          <w:rFonts w:asciiTheme="majorBidi" w:hAnsiTheme="majorBidi" w:cstheme="majorBidi"/>
          <w:sz w:val="23"/>
        </w:rPr>
      </w:pPr>
    </w:p>
    <w:p w:rsidR="000255A4" w:rsidRPr="00BB11D1" w:rsidRDefault="00BB11D1" w:rsidP="006A2441">
      <w:pPr>
        <w:bidi/>
        <w:spacing w:after="15"/>
        <w:ind w:left="250"/>
        <w:jc w:val="both"/>
        <w:rPr>
          <w:rFonts w:asciiTheme="majorBidi" w:hAnsiTheme="majorBidi" w:cstheme="majorBidi"/>
          <w:i/>
        </w:rPr>
      </w:pPr>
      <w:r w:rsidRPr="00BB11D1">
        <w:rPr>
          <w:rFonts w:asciiTheme="majorBidi" w:hAnsiTheme="majorBidi" w:cs="Times New Roman"/>
          <w:i/>
          <w:iCs/>
          <w:rtl/>
          <w:lang w:bidi="ar-SA"/>
        </w:rPr>
        <w:t>الجدول 5: ملخص للتدفقات المحددة للأموال لبلد واحد عبر مختلف العملات الرقمية الجديدة</w:t>
      </w:r>
    </w:p>
    <w:tbl>
      <w:tblPr>
        <w:tblW w:w="0" w:type="auto"/>
        <w:jc w:val="center"/>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8"/>
        <w:gridCol w:w="850"/>
        <w:gridCol w:w="994"/>
        <w:gridCol w:w="1841"/>
        <w:gridCol w:w="1419"/>
        <w:gridCol w:w="1292"/>
      </w:tblGrid>
      <w:tr w:rsidR="00BB11D1" w:rsidTr="00BB11D1">
        <w:trPr>
          <w:trHeight w:val="734"/>
          <w:jc w:val="center"/>
        </w:trPr>
        <w:tc>
          <w:tcPr>
            <w:tcW w:w="3228" w:type="dxa"/>
          </w:tcPr>
          <w:p w:rsidR="00BB11D1" w:rsidRDefault="00BB11D1" w:rsidP="00451448">
            <w:pPr>
              <w:pStyle w:val="TableParagraph"/>
              <w:rPr>
                <w:rFonts w:ascii="Times New Roman"/>
                <w:sz w:val="20"/>
              </w:rPr>
            </w:pPr>
          </w:p>
        </w:tc>
        <w:tc>
          <w:tcPr>
            <w:tcW w:w="850" w:type="dxa"/>
          </w:tcPr>
          <w:p w:rsidR="00BB11D1" w:rsidRDefault="00BB11D1" w:rsidP="00451448">
            <w:pPr>
              <w:pStyle w:val="TableParagraph"/>
              <w:spacing w:before="4"/>
              <w:ind w:right="288"/>
              <w:jc w:val="right"/>
              <w:rPr>
                <w:sz w:val="20"/>
              </w:rPr>
            </w:pPr>
            <w:r>
              <w:rPr>
                <w:w w:val="75"/>
                <w:sz w:val="20"/>
              </w:rPr>
              <w:t>CBDC</w:t>
            </w:r>
          </w:p>
        </w:tc>
        <w:tc>
          <w:tcPr>
            <w:tcW w:w="994" w:type="dxa"/>
          </w:tcPr>
          <w:p w:rsidR="00BB11D1" w:rsidRDefault="00BB11D1" w:rsidP="00451448">
            <w:pPr>
              <w:pStyle w:val="TableParagraph"/>
              <w:spacing w:before="4" w:line="254" w:lineRule="auto"/>
              <w:ind w:left="107" w:right="326"/>
              <w:rPr>
                <w:sz w:val="20"/>
              </w:rPr>
            </w:pPr>
            <w:r>
              <w:rPr>
                <w:w w:val="90"/>
                <w:sz w:val="20"/>
              </w:rPr>
              <w:t>Crypto assets</w:t>
            </w:r>
          </w:p>
        </w:tc>
        <w:tc>
          <w:tcPr>
            <w:tcW w:w="1841" w:type="dxa"/>
          </w:tcPr>
          <w:p w:rsidR="00BB11D1" w:rsidRDefault="00BB11D1" w:rsidP="00451448">
            <w:pPr>
              <w:pStyle w:val="TableParagraph"/>
              <w:tabs>
                <w:tab w:val="left" w:pos="678"/>
                <w:tab w:val="left" w:pos="1429"/>
                <w:tab w:val="left" w:pos="1534"/>
              </w:tabs>
              <w:spacing w:before="4" w:line="254" w:lineRule="auto"/>
              <w:ind w:left="107" w:right="92"/>
              <w:rPr>
                <w:sz w:val="20"/>
              </w:rPr>
            </w:pPr>
            <w:r>
              <w:rPr>
                <w:w w:val="90"/>
                <w:sz w:val="20"/>
              </w:rPr>
              <w:t>STC</w:t>
            </w:r>
            <w:r>
              <w:rPr>
                <w:w w:val="90"/>
                <w:sz w:val="20"/>
              </w:rPr>
              <w:tab/>
            </w:r>
            <w:r>
              <w:rPr>
                <w:sz w:val="20"/>
              </w:rPr>
              <w:t>backed</w:t>
            </w:r>
            <w:r>
              <w:rPr>
                <w:sz w:val="20"/>
              </w:rPr>
              <w:tab/>
            </w:r>
            <w:r>
              <w:rPr>
                <w:sz w:val="20"/>
              </w:rPr>
              <w:tab/>
            </w:r>
            <w:r>
              <w:rPr>
                <w:w w:val="95"/>
                <w:sz w:val="20"/>
              </w:rPr>
              <w:t xml:space="preserve">by </w:t>
            </w:r>
            <w:r>
              <w:rPr>
                <w:sz w:val="20"/>
              </w:rPr>
              <w:t>deposits</w:t>
            </w:r>
            <w:r>
              <w:rPr>
                <w:sz w:val="20"/>
              </w:rPr>
              <w:tab/>
            </w:r>
            <w:r>
              <w:rPr>
                <w:spacing w:val="-5"/>
                <w:w w:val="95"/>
                <w:sz w:val="20"/>
              </w:rPr>
              <w:t>and</w:t>
            </w:r>
          </w:p>
          <w:p w:rsidR="00BB11D1" w:rsidRDefault="00BB11D1" w:rsidP="00451448">
            <w:pPr>
              <w:pStyle w:val="TableParagraph"/>
              <w:spacing w:before="2" w:line="220" w:lineRule="exact"/>
              <w:ind w:left="107"/>
              <w:rPr>
                <w:sz w:val="20"/>
              </w:rPr>
            </w:pPr>
            <w:r>
              <w:rPr>
                <w:w w:val="90"/>
                <w:sz w:val="20"/>
              </w:rPr>
              <w:t>government</w:t>
            </w:r>
            <w:r>
              <w:rPr>
                <w:spacing w:val="40"/>
                <w:w w:val="90"/>
                <w:sz w:val="20"/>
              </w:rPr>
              <w:t xml:space="preserve"> </w:t>
            </w:r>
            <w:r>
              <w:rPr>
                <w:w w:val="90"/>
                <w:sz w:val="20"/>
              </w:rPr>
              <w:t>bonds</w:t>
            </w:r>
          </w:p>
        </w:tc>
        <w:tc>
          <w:tcPr>
            <w:tcW w:w="1419" w:type="dxa"/>
          </w:tcPr>
          <w:p w:rsidR="00BB11D1" w:rsidRDefault="00BB11D1" w:rsidP="00451448">
            <w:pPr>
              <w:pStyle w:val="TableParagraph"/>
              <w:tabs>
                <w:tab w:val="left" w:pos="910"/>
              </w:tabs>
              <w:spacing w:before="4" w:line="254" w:lineRule="auto"/>
              <w:ind w:left="106" w:right="98"/>
              <w:rPr>
                <w:sz w:val="20"/>
              </w:rPr>
            </w:pPr>
            <w:r>
              <w:rPr>
                <w:w w:val="90"/>
                <w:sz w:val="20"/>
              </w:rPr>
              <w:t>STC backed</w:t>
            </w:r>
            <w:r>
              <w:rPr>
                <w:spacing w:val="-26"/>
                <w:w w:val="90"/>
                <w:sz w:val="20"/>
              </w:rPr>
              <w:t xml:space="preserve"> </w:t>
            </w:r>
            <w:r>
              <w:rPr>
                <w:spacing w:val="-6"/>
                <w:w w:val="90"/>
                <w:sz w:val="20"/>
              </w:rPr>
              <w:t xml:space="preserve">by </w:t>
            </w:r>
            <w:r>
              <w:rPr>
                <w:sz w:val="20"/>
              </w:rPr>
              <w:t>central</w:t>
            </w:r>
            <w:r>
              <w:rPr>
                <w:sz w:val="20"/>
              </w:rPr>
              <w:tab/>
            </w:r>
            <w:r>
              <w:rPr>
                <w:spacing w:val="-4"/>
                <w:w w:val="90"/>
                <w:sz w:val="20"/>
              </w:rPr>
              <w:t>bank</w:t>
            </w:r>
          </w:p>
          <w:p w:rsidR="00BB11D1" w:rsidRDefault="00BB11D1" w:rsidP="00451448">
            <w:pPr>
              <w:pStyle w:val="TableParagraph"/>
              <w:spacing w:before="2" w:line="220" w:lineRule="exact"/>
              <w:ind w:left="106"/>
              <w:rPr>
                <w:sz w:val="20"/>
              </w:rPr>
            </w:pPr>
            <w:r>
              <w:rPr>
                <w:sz w:val="20"/>
              </w:rPr>
              <w:t>deposits</w:t>
            </w:r>
          </w:p>
        </w:tc>
        <w:tc>
          <w:tcPr>
            <w:tcW w:w="1292" w:type="dxa"/>
          </w:tcPr>
          <w:p w:rsidR="00BB11D1" w:rsidRDefault="00BB11D1" w:rsidP="00451448">
            <w:pPr>
              <w:pStyle w:val="TableParagraph"/>
              <w:spacing w:before="4"/>
              <w:ind w:left="48" w:right="60"/>
              <w:jc w:val="center"/>
              <w:rPr>
                <w:sz w:val="20"/>
              </w:rPr>
            </w:pPr>
            <w:r>
              <w:rPr>
                <w:sz w:val="20"/>
              </w:rPr>
              <w:t>Narrow bank</w:t>
            </w:r>
          </w:p>
        </w:tc>
      </w:tr>
      <w:tr w:rsidR="00BB11D1" w:rsidTr="00BB11D1">
        <w:trPr>
          <w:trHeight w:val="268"/>
          <w:jc w:val="center"/>
        </w:trPr>
        <w:tc>
          <w:tcPr>
            <w:tcW w:w="3228" w:type="dxa"/>
          </w:tcPr>
          <w:p w:rsidR="00BB11D1" w:rsidRDefault="00BB11D1" w:rsidP="00451448">
            <w:pPr>
              <w:pStyle w:val="TableParagraph"/>
              <w:spacing w:before="1"/>
              <w:ind w:left="107"/>
              <w:rPr>
                <w:sz w:val="18"/>
              </w:rPr>
            </w:pPr>
            <w:r>
              <w:rPr>
                <w:sz w:val="18"/>
              </w:rPr>
              <w:t>Sight</w:t>
            </w:r>
            <w:r>
              <w:rPr>
                <w:spacing w:val="-34"/>
                <w:sz w:val="18"/>
              </w:rPr>
              <w:t xml:space="preserve"> </w:t>
            </w:r>
            <w:r>
              <w:rPr>
                <w:sz w:val="18"/>
              </w:rPr>
              <w:t>deposits</w:t>
            </w:r>
            <w:r>
              <w:rPr>
                <w:spacing w:val="-34"/>
                <w:sz w:val="18"/>
              </w:rPr>
              <w:t xml:space="preserve"> </w:t>
            </w:r>
            <w:r>
              <w:rPr>
                <w:sz w:val="18"/>
              </w:rPr>
              <w:t>of</w:t>
            </w:r>
            <w:r>
              <w:rPr>
                <w:spacing w:val="-34"/>
                <w:sz w:val="18"/>
              </w:rPr>
              <w:t xml:space="preserve"> </w:t>
            </w:r>
            <w:r>
              <w:rPr>
                <w:sz w:val="18"/>
              </w:rPr>
              <w:t>households</w:t>
            </w:r>
            <w:r>
              <w:rPr>
                <w:spacing w:val="-34"/>
                <w:sz w:val="18"/>
              </w:rPr>
              <w:t xml:space="preserve"> </w:t>
            </w:r>
            <w:r>
              <w:rPr>
                <w:sz w:val="18"/>
              </w:rPr>
              <w:t>with</w:t>
            </w:r>
            <w:r>
              <w:rPr>
                <w:spacing w:val="-34"/>
                <w:sz w:val="18"/>
              </w:rPr>
              <w:t xml:space="preserve"> </w:t>
            </w:r>
            <w:r>
              <w:rPr>
                <w:sz w:val="18"/>
              </w:rPr>
              <w:t>banks</w:t>
            </w:r>
          </w:p>
        </w:tc>
        <w:tc>
          <w:tcPr>
            <w:tcW w:w="850" w:type="dxa"/>
          </w:tcPr>
          <w:p w:rsidR="00BB11D1" w:rsidRDefault="00BB11D1" w:rsidP="00451448">
            <w:pPr>
              <w:pStyle w:val="TableParagraph"/>
              <w:spacing w:before="2" w:line="246" w:lineRule="exact"/>
              <w:ind w:right="263"/>
              <w:jc w:val="right"/>
              <w:rPr>
                <w:rFonts w:ascii="Trebuchet MS"/>
                <w:b/>
              </w:rPr>
            </w:pPr>
            <w:r>
              <w:rPr>
                <w:rFonts w:ascii="Trebuchet MS"/>
                <w:b/>
                <w:color w:val="FF0000"/>
                <w:w w:val="85"/>
              </w:rPr>
              <w:t>-X2</w:t>
            </w:r>
          </w:p>
        </w:tc>
        <w:tc>
          <w:tcPr>
            <w:tcW w:w="994" w:type="dxa"/>
          </w:tcPr>
          <w:p w:rsidR="00BB11D1" w:rsidRDefault="00BB11D1" w:rsidP="00451448">
            <w:pPr>
              <w:pStyle w:val="TableParagraph"/>
              <w:spacing w:before="2" w:line="246" w:lineRule="exact"/>
              <w:ind w:right="429"/>
              <w:jc w:val="right"/>
            </w:pPr>
            <w:r>
              <w:rPr>
                <w:w w:val="91"/>
              </w:rPr>
              <w:t>0</w:t>
            </w:r>
          </w:p>
        </w:tc>
        <w:tc>
          <w:tcPr>
            <w:tcW w:w="1841" w:type="dxa"/>
          </w:tcPr>
          <w:p w:rsidR="00BB11D1" w:rsidRDefault="00BB11D1" w:rsidP="00451448">
            <w:pPr>
              <w:pStyle w:val="TableParagraph"/>
              <w:spacing w:before="2" w:line="246" w:lineRule="exact"/>
              <w:ind w:left="729" w:right="720"/>
              <w:jc w:val="center"/>
              <w:rPr>
                <w:rFonts w:ascii="Trebuchet MS"/>
                <w:b/>
              </w:rPr>
            </w:pPr>
            <w:r>
              <w:rPr>
                <w:rFonts w:ascii="Trebuchet MS"/>
                <w:b/>
                <w:color w:val="FF0000"/>
              </w:rPr>
              <w:t>-X2</w:t>
            </w:r>
          </w:p>
        </w:tc>
        <w:tc>
          <w:tcPr>
            <w:tcW w:w="1419" w:type="dxa"/>
          </w:tcPr>
          <w:p w:rsidR="00BB11D1" w:rsidRDefault="00BB11D1" w:rsidP="00451448">
            <w:pPr>
              <w:pStyle w:val="TableParagraph"/>
              <w:spacing w:before="2" w:line="246" w:lineRule="exact"/>
              <w:ind w:left="558"/>
              <w:rPr>
                <w:rFonts w:ascii="Trebuchet MS"/>
                <w:b/>
              </w:rPr>
            </w:pPr>
            <w:r>
              <w:rPr>
                <w:rFonts w:ascii="Trebuchet MS"/>
                <w:b/>
                <w:color w:val="FF0000"/>
              </w:rPr>
              <w:t>-X2</w:t>
            </w:r>
          </w:p>
        </w:tc>
        <w:tc>
          <w:tcPr>
            <w:tcW w:w="1292" w:type="dxa"/>
          </w:tcPr>
          <w:p w:rsidR="00BB11D1" w:rsidRDefault="00BB11D1" w:rsidP="00451448">
            <w:pPr>
              <w:pStyle w:val="TableParagraph"/>
              <w:spacing w:before="2" w:line="246" w:lineRule="exact"/>
              <w:ind w:left="48" w:right="44"/>
              <w:jc w:val="center"/>
              <w:rPr>
                <w:rFonts w:ascii="Trebuchet MS"/>
                <w:b/>
              </w:rPr>
            </w:pPr>
            <w:r>
              <w:rPr>
                <w:rFonts w:ascii="Trebuchet MS"/>
                <w:b/>
                <w:color w:val="FF0000"/>
              </w:rPr>
              <w:t>-X2</w:t>
            </w:r>
          </w:p>
        </w:tc>
      </w:tr>
      <w:tr w:rsidR="00BB11D1" w:rsidTr="00BB11D1">
        <w:trPr>
          <w:trHeight w:val="268"/>
          <w:jc w:val="center"/>
        </w:trPr>
        <w:tc>
          <w:tcPr>
            <w:tcW w:w="3228" w:type="dxa"/>
          </w:tcPr>
          <w:p w:rsidR="00BB11D1" w:rsidRDefault="00BB11D1" w:rsidP="00451448">
            <w:pPr>
              <w:pStyle w:val="TableParagraph"/>
              <w:spacing w:before="1"/>
              <w:ind w:left="107"/>
              <w:rPr>
                <w:sz w:val="18"/>
              </w:rPr>
            </w:pPr>
            <w:r>
              <w:rPr>
                <w:sz w:val="18"/>
              </w:rPr>
              <w:t>Length of central bank balance sheet</w:t>
            </w:r>
          </w:p>
        </w:tc>
        <w:tc>
          <w:tcPr>
            <w:tcW w:w="850" w:type="dxa"/>
          </w:tcPr>
          <w:p w:rsidR="00BB11D1" w:rsidRDefault="00BB11D1" w:rsidP="00451448">
            <w:pPr>
              <w:pStyle w:val="TableParagraph"/>
              <w:spacing w:before="2" w:line="246" w:lineRule="exact"/>
              <w:ind w:right="241"/>
              <w:jc w:val="right"/>
              <w:rPr>
                <w:rFonts w:ascii="Trebuchet MS"/>
                <w:b/>
              </w:rPr>
            </w:pPr>
            <w:r>
              <w:rPr>
                <w:rFonts w:ascii="Trebuchet MS"/>
                <w:b/>
                <w:color w:val="FF0000"/>
                <w:w w:val="85"/>
              </w:rPr>
              <w:t>+X2</w:t>
            </w:r>
          </w:p>
        </w:tc>
        <w:tc>
          <w:tcPr>
            <w:tcW w:w="994" w:type="dxa"/>
          </w:tcPr>
          <w:p w:rsidR="00BB11D1" w:rsidRDefault="00BB11D1" w:rsidP="00451448">
            <w:pPr>
              <w:pStyle w:val="TableParagraph"/>
              <w:spacing w:before="2" w:line="246" w:lineRule="exact"/>
              <w:ind w:right="429"/>
              <w:jc w:val="right"/>
            </w:pPr>
            <w:r>
              <w:rPr>
                <w:w w:val="91"/>
              </w:rPr>
              <w:t>0</w:t>
            </w:r>
          </w:p>
        </w:tc>
        <w:tc>
          <w:tcPr>
            <w:tcW w:w="1841" w:type="dxa"/>
          </w:tcPr>
          <w:p w:rsidR="00BB11D1" w:rsidRDefault="00BB11D1" w:rsidP="00451448">
            <w:pPr>
              <w:pStyle w:val="TableParagraph"/>
              <w:spacing w:before="2" w:line="246" w:lineRule="exact"/>
              <w:ind w:left="729" w:right="720"/>
              <w:jc w:val="center"/>
              <w:rPr>
                <w:rFonts w:ascii="Trebuchet MS"/>
                <w:b/>
              </w:rPr>
            </w:pPr>
            <w:r>
              <w:rPr>
                <w:rFonts w:ascii="Trebuchet MS"/>
                <w:b/>
                <w:color w:val="00AF50"/>
              </w:rPr>
              <w:t>-X1</w:t>
            </w:r>
          </w:p>
        </w:tc>
        <w:tc>
          <w:tcPr>
            <w:tcW w:w="1419" w:type="dxa"/>
          </w:tcPr>
          <w:p w:rsidR="00BB11D1" w:rsidRDefault="00BB11D1" w:rsidP="00451448">
            <w:pPr>
              <w:pStyle w:val="TableParagraph"/>
              <w:spacing w:before="2" w:line="246" w:lineRule="exact"/>
              <w:ind w:left="536"/>
              <w:rPr>
                <w:rFonts w:ascii="Trebuchet MS"/>
                <w:b/>
              </w:rPr>
            </w:pPr>
            <w:r>
              <w:rPr>
                <w:rFonts w:ascii="Trebuchet MS"/>
                <w:b/>
                <w:color w:val="FF0000"/>
              </w:rPr>
              <w:t>+X2</w:t>
            </w:r>
          </w:p>
        </w:tc>
        <w:tc>
          <w:tcPr>
            <w:tcW w:w="1292" w:type="dxa"/>
          </w:tcPr>
          <w:p w:rsidR="00BB11D1" w:rsidRDefault="00BB11D1" w:rsidP="00451448">
            <w:pPr>
              <w:pStyle w:val="TableParagraph"/>
              <w:spacing w:before="2" w:line="246" w:lineRule="exact"/>
              <w:ind w:left="48" w:right="44"/>
              <w:jc w:val="center"/>
              <w:rPr>
                <w:rFonts w:ascii="Trebuchet MS"/>
                <w:b/>
              </w:rPr>
            </w:pPr>
            <w:r>
              <w:rPr>
                <w:rFonts w:ascii="Trebuchet MS"/>
                <w:b/>
                <w:color w:val="FF0000"/>
              </w:rPr>
              <w:t>+X2</w:t>
            </w:r>
          </w:p>
        </w:tc>
      </w:tr>
      <w:tr w:rsidR="00BB11D1" w:rsidTr="00BB11D1">
        <w:trPr>
          <w:trHeight w:val="268"/>
          <w:jc w:val="center"/>
        </w:trPr>
        <w:tc>
          <w:tcPr>
            <w:tcW w:w="3228" w:type="dxa"/>
          </w:tcPr>
          <w:p w:rsidR="00BB11D1" w:rsidRDefault="00BB11D1" w:rsidP="00451448">
            <w:pPr>
              <w:pStyle w:val="TableParagraph"/>
              <w:spacing w:before="1"/>
              <w:ind w:left="107"/>
              <w:rPr>
                <w:sz w:val="18"/>
              </w:rPr>
            </w:pPr>
            <w:r>
              <w:rPr>
                <w:sz w:val="18"/>
              </w:rPr>
              <w:t>Central bank credit to banks</w:t>
            </w:r>
          </w:p>
        </w:tc>
        <w:tc>
          <w:tcPr>
            <w:tcW w:w="850" w:type="dxa"/>
          </w:tcPr>
          <w:p w:rsidR="00BB11D1" w:rsidRDefault="00BB11D1" w:rsidP="00451448">
            <w:pPr>
              <w:pStyle w:val="TableParagraph"/>
              <w:spacing w:before="2" w:line="246" w:lineRule="exact"/>
              <w:ind w:right="241"/>
              <w:jc w:val="right"/>
              <w:rPr>
                <w:rFonts w:ascii="Trebuchet MS"/>
                <w:b/>
              </w:rPr>
            </w:pPr>
            <w:r>
              <w:rPr>
                <w:rFonts w:ascii="Trebuchet MS"/>
                <w:b/>
                <w:color w:val="FF0000"/>
                <w:w w:val="85"/>
              </w:rPr>
              <w:t>+X2</w:t>
            </w:r>
          </w:p>
        </w:tc>
        <w:tc>
          <w:tcPr>
            <w:tcW w:w="994" w:type="dxa"/>
          </w:tcPr>
          <w:p w:rsidR="00BB11D1" w:rsidRDefault="00BB11D1" w:rsidP="00451448">
            <w:pPr>
              <w:pStyle w:val="TableParagraph"/>
              <w:spacing w:before="2" w:line="246" w:lineRule="exact"/>
              <w:ind w:right="429"/>
              <w:jc w:val="right"/>
            </w:pPr>
            <w:r>
              <w:rPr>
                <w:w w:val="91"/>
              </w:rPr>
              <w:t>0</w:t>
            </w:r>
          </w:p>
        </w:tc>
        <w:tc>
          <w:tcPr>
            <w:tcW w:w="1841" w:type="dxa"/>
          </w:tcPr>
          <w:p w:rsidR="00BB11D1" w:rsidRDefault="00BB11D1" w:rsidP="00451448">
            <w:pPr>
              <w:pStyle w:val="TableParagraph"/>
              <w:spacing w:before="2" w:line="246" w:lineRule="exact"/>
              <w:ind w:left="729" w:right="720"/>
              <w:jc w:val="center"/>
              <w:rPr>
                <w:rFonts w:ascii="Trebuchet MS"/>
                <w:b/>
              </w:rPr>
            </w:pPr>
            <w:r>
              <w:rPr>
                <w:rFonts w:ascii="Trebuchet MS"/>
                <w:b/>
                <w:color w:val="00AF50"/>
              </w:rPr>
              <w:t>-X1</w:t>
            </w:r>
          </w:p>
        </w:tc>
        <w:tc>
          <w:tcPr>
            <w:tcW w:w="1419" w:type="dxa"/>
          </w:tcPr>
          <w:p w:rsidR="00BB11D1" w:rsidRDefault="00BB11D1" w:rsidP="00451448">
            <w:pPr>
              <w:pStyle w:val="TableParagraph"/>
              <w:spacing w:before="2" w:line="246" w:lineRule="exact"/>
              <w:ind w:left="536"/>
              <w:rPr>
                <w:rFonts w:ascii="Trebuchet MS"/>
                <w:b/>
              </w:rPr>
            </w:pPr>
            <w:r>
              <w:rPr>
                <w:rFonts w:ascii="Trebuchet MS"/>
                <w:b/>
                <w:color w:val="FF0000"/>
              </w:rPr>
              <w:t>+X2</w:t>
            </w:r>
          </w:p>
        </w:tc>
        <w:tc>
          <w:tcPr>
            <w:tcW w:w="1292" w:type="dxa"/>
          </w:tcPr>
          <w:p w:rsidR="00BB11D1" w:rsidRDefault="00BB11D1" w:rsidP="00451448">
            <w:pPr>
              <w:pStyle w:val="TableParagraph"/>
              <w:spacing w:before="2" w:line="246" w:lineRule="exact"/>
              <w:ind w:left="48" w:right="44"/>
              <w:jc w:val="center"/>
              <w:rPr>
                <w:rFonts w:ascii="Trebuchet MS"/>
                <w:b/>
              </w:rPr>
            </w:pPr>
            <w:r>
              <w:rPr>
                <w:rFonts w:ascii="Trebuchet MS"/>
                <w:b/>
                <w:color w:val="FF0000"/>
              </w:rPr>
              <w:t>+X2</w:t>
            </w:r>
          </w:p>
        </w:tc>
      </w:tr>
    </w:tbl>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spacing w:before="10"/>
        <w:rPr>
          <w:rFonts w:asciiTheme="majorBidi" w:hAnsiTheme="majorBidi" w:cstheme="majorBidi"/>
          <w:i/>
          <w:sz w:val="25"/>
        </w:rPr>
      </w:pP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xml:space="preserve">في الواقع ، فإن الآثار المترتبة على الحسابات المالية لها أوجه تشابه بين أشكال العملات الرقمية ، وعلى وجه الخصوص ، يبدو أن </w:t>
      </w:r>
      <w:r w:rsidRPr="00BB11D1">
        <w:rPr>
          <w:rFonts w:asciiTheme="majorBidi" w:hAnsiTheme="majorBidi" w:cstheme="majorBidi"/>
        </w:rPr>
        <w:t>Stablecoins</w:t>
      </w:r>
      <w:r w:rsidRPr="00BB11D1">
        <w:rPr>
          <w:rFonts w:asciiTheme="majorBidi" w:hAnsiTheme="majorBidi" w:cstheme="majorBidi"/>
          <w:rtl/>
          <w:lang w:bidi="ar-SA"/>
        </w:rPr>
        <w:t xml:space="preserve"> المدعومة من ودائع البنك المركزي ("</w:t>
      </w:r>
      <w:r w:rsidRPr="00BB11D1">
        <w:rPr>
          <w:rFonts w:asciiTheme="majorBidi" w:hAnsiTheme="majorBidi" w:cstheme="majorBidi"/>
        </w:rPr>
        <w:t xml:space="preserve">STCCB") </w:t>
      </w:r>
      <w:r w:rsidRPr="00BB11D1">
        <w:rPr>
          <w:rFonts w:asciiTheme="majorBidi" w:hAnsiTheme="majorBidi" w:cstheme="majorBidi"/>
          <w:rtl/>
          <w:lang w:bidi="ar-SA"/>
        </w:rPr>
        <w:t xml:space="preserve">، </w:t>
      </w:r>
      <w:r w:rsidRPr="00BB11D1">
        <w:rPr>
          <w:rFonts w:asciiTheme="majorBidi" w:hAnsiTheme="majorBidi" w:cstheme="majorBidi"/>
        </w:rPr>
        <w:t>NBDC</w:t>
      </w:r>
      <w:r w:rsidRPr="00BB11D1">
        <w:rPr>
          <w:rFonts w:asciiTheme="majorBidi" w:hAnsiTheme="majorBidi" w:cstheme="majorBidi"/>
          <w:rtl/>
          <w:lang w:bidi="ar-SA"/>
        </w:rPr>
        <w:t xml:space="preserve"> و </w:t>
      </w:r>
      <w:r w:rsidRPr="00BB11D1">
        <w:rPr>
          <w:rFonts w:asciiTheme="majorBidi" w:hAnsiTheme="majorBidi" w:cstheme="majorBidi"/>
        </w:rPr>
        <w:t>CBDC</w:t>
      </w:r>
      <w:r w:rsidRPr="00BB11D1">
        <w:rPr>
          <w:rFonts w:asciiTheme="majorBidi" w:hAnsiTheme="majorBidi" w:cstheme="majorBidi"/>
          <w:rtl/>
          <w:lang w:bidi="ar-SA"/>
        </w:rPr>
        <w:t xml:space="preserve"> لها آثار مماثلة على الحساب المالي. بطبيعة الحال ، في الممارسة العملية ، لن يكونوا متطابقين بالضرورة لأن نجاح كل منها قد يختلف حجم الحسابات المالية وخلعها.</w:t>
      </w:r>
    </w:p>
    <w:p w:rsidR="00BB11D1" w:rsidRPr="00BB11D1" w:rsidRDefault="00BB11D1" w:rsidP="00BB11D1">
      <w:pPr>
        <w:pStyle w:val="ListParagraph"/>
        <w:numPr>
          <w:ilvl w:val="0"/>
          <w:numId w:val="19"/>
        </w:numPr>
        <w:bidi/>
        <w:spacing w:line="480" w:lineRule="auto"/>
        <w:rPr>
          <w:rFonts w:asciiTheme="majorBidi" w:hAnsiTheme="majorBidi" w:cstheme="majorBidi"/>
        </w:rPr>
      </w:pPr>
      <w:r w:rsidRPr="00BB11D1">
        <w:rPr>
          <w:rFonts w:asciiTheme="majorBidi" w:hAnsiTheme="majorBidi" w:cstheme="majorBidi"/>
          <w:rtl/>
          <w:lang w:bidi="ar-SA"/>
        </w:rPr>
        <w:t xml:space="preserve">أولاً ، إن ثقة الأسر في مخططات </w:t>
      </w:r>
      <w:r w:rsidRPr="00BB11D1">
        <w:rPr>
          <w:rFonts w:asciiTheme="majorBidi" w:hAnsiTheme="majorBidi" w:cstheme="majorBidi"/>
        </w:rPr>
        <w:t>STCCB / NBDC</w:t>
      </w:r>
      <w:r w:rsidRPr="00BB11D1">
        <w:rPr>
          <w:rFonts w:asciiTheme="majorBidi" w:hAnsiTheme="majorBidi" w:cstheme="majorBidi"/>
          <w:rtl/>
          <w:lang w:bidi="ar-SA"/>
        </w:rPr>
        <w:t xml:space="preserve"> لن تكون بالضرورة هي نفس الثقة في </w:t>
      </w:r>
      <w:r w:rsidRPr="00BB11D1">
        <w:rPr>
          <w:rFonts w:asciiTheme="majorBidi" w:hAnsiTheme="majorBidi" w:cstheme="majorBidi"/>
        </w:rPr>
        <w:t>CBDC</w:t>
      </w:r>
      <w:r w:rsidRPr="00BB11D1">
        <w:rPr>
          <w:rFonts w:asciiTheme="majorBidi" w:hAnsiTheme="majorBidi" w:cstheme="majorBidi"/>
          <w:rtl/>
          <w:lang w:bidi="ar-SA"/>
        </w:rPr>
        <w:t xml:space="preserve">. من الناحية النظرية ، قد يكون من الممكن أن تستفيد </w:t>
      </w:r>
      <w:r w:rsidRPr="00BB11D1">
        <w:rPr>
          <w:rFonts w:asciiTheme="majorBidi" w:hAnsiTheme="majorBidi" w:cstheme="majorBidi"/>
        </w:rPr>
        <w:t>STCCB / NBDC</w:t>
      </w:r>
      <w:r w:rsidRPr="00BB11D1">
        <w:rPr>
          <w:rFonts w:asciiTheme="majorBidi" w:hAnsiTheme="majorBidi" w:cstheme="majorBidi"/>
          <w:rtl/>
          <w:lang w:bidi="ar-SA"/>
        </w:rPr>
        <w:t xml:space="preserve"> من مستويات عالية من الثقة ، لأن المخططات تهدف إلى تجنب أي مخاطر ائتمانية وسيولة. قد تكون مخاطر الغش منخفضة ، حيث يمكن أن تعمل المركبات بسهولة في شفافية كاملة وتؤكد وتسعى إلى تعاون أوثق مع السلطات التنظيمية.</w:t>
      </w:r>
    </w:p>
    <w:p w:rsidR="00BB11D1" w:rsidRPr="00BB11D1" w:rsidRDefault="00BB11D1" w:rsidP="00BB11D1">
      <w:pPr>
        <w:pStyle w:val="ListParagraph"/>
        <w:numPr>
          <w:ilvl w:val="0"/>
          <w:numId w:val="19"/>
        </w:numPr>
        <w:bidi/>
        <w:spacing w:line="480" w:lineRule="auto"/>
        <w:rPr>
          <w:rFonts w:asciiTheme="majorBidi" w:hAnsiTheme="majorBidi" w:cstheme="majorBidi"/>
        </w:rPr>
      </w:pPr>
      <w:r w:rsidRPr="00BB11D1">
        <w:rPr>
          <w:rFonts w:asciiTheme="majorBidi" w:hAnsiTheme="majorBidi" w:cstheme="majorBidi"/>
          <w:rtl/>
          <w:lang w:bidi="ar-SA"/>
        </w:rPr>
        <w:t xml:space="preserve">ثانياً ، قد تكون كفاءة </w:t>
      </w:r>
      <w:r w:rsidRPr="00BB11D1">
        <w:rPr>
          <w:rFonts w:asciiTheme="majorBidi" w:hAnsiTheme="majorBidi" w:cstheme="majorBidi"/>
        </w:rPr>
        <w:t>STCCB / NBDC</w:t>
      </w:r>
      <w:r w:rsidRPr="00BB11D1">
        <w:rPr>
          <w:rFonts w:asciiTheme="majorBidi" w:hAnsiTheme="majorBidi" w:cstheme="majorBidi"/>
          <w:rtl/>
          <w:lang w:bidi="ar-SA"/>
        </w:rPr>
        <w:t xml:space="preserve"> أعلى أو أقل من </w:t>
      </w:r>
      <w:r w:rsidRPr="00BB11D1">
        <w:rPr>
          <w:rFonts w:asciiTheme="majorBidi" w:hAnsiTheme="majorBidi" w:cstheme="majorBidi"/>
        </w:rPr>
        <w:t>CBDC</w:t>
      </w:r>
      <w:r w:rsidRPr="00BB11D1">
        <w:rPr>
          <w:rFonts w:asciiTheme="majorBidi" w:hAnsiTheme="majorBidi" w:cstheme="majorBidi"/>
          <w:rtl/>
          <w:lang w:bidi="ar-SA"/>
        </w:rPr>
        <w:t xml:space="preserve">. يمكن أن يكون أعلى لأن </w:t>
      </w:r>
      <w:r w:rsidRPr="00BB11D1">
        <w:rPr>
          <w:rFonts w:asciiTheme="majorBidi" w:hAnsiTheme="majorBidi" w:cstheme="majorBidi"/>
        </w:rPr>
        <w:t>STCCB / NBDC</w:t>
      </w:r>
      <w:r w:rsidRPr="00BB11D1">
        <w:rPr>
          <w:rFonts w:asciiTheme="majorBidi" w:hAnsiTheme="majorBidi" w:cstheme="majorBidi"/>
          <w:rtl/>
          <w:lang w:bidi="ar-SA"/>
        </w:rPr>
        <w:t xml:space="preserve"> يمكن أن تتخذ شكل كيانات منافسة ، أي أن آلية السوق يمكن أن تستمر في تطبيقها ، ويمكن أن تكون المركبات مبتكرة للغاية في تقديم حلول دفع البيع بالتجزئة ، أو الاعتماد على أساس عالمي أولي واسع للعملاء ، مثل الميزان. على الجانب الآخر ، يمكن أن يستفيد البنك المركزي من مخصصات مباشرة من وفورات الحجم الكبير ، ويقلل من التكاليف المتعلقة بآليات توفير المصداقية (كلاين وليفلر ، 1981) ، والامتثال التنظيمي ، والأسهم ، وما إلى ذلك.</w:t>
      </w:r>
    </w:p>
    <w:p w:rsidR="00BB11D1" w:rsidRPr="00BB11D1" w:rsidRDefault="00BB11D1" w:rsidP="00BB11D1">
      <w:pPr>
        <w:pStyle w:val="ListParagraph"/>
        <w:numPr>
          <w:ilvl w:val="0"/>
          <w:numId w:val="20"/>
        </w:numPr>
        <w:bidi/>
        <w:spacing w:line="480" w:lineRule="auto"/>
        <w:rPr>
          <w:rFonts w:asciiTheme="majorBidi" w:hAnsiTheme="majorBidi" w:cstheme="majorBidi"/>
        </w:rPr>
      </w:pPr>
      <w:r w:rsidRPr="00BB11D1">
        <w:rPr>
          <w:rFonts w:asciiTheme="majorBidi" w:hAnsiTheme="majorBidi" w:cstheme="majorBidi"/>
          <w:rtl/>
          <w:lang w:bidi="ar-SA"/>
        </w:rPr>
        <w:t xml:space="preserve">ثالثًا ، يتم تحديد معدل الأجور للعملات الرقمية الخاصة من خلال كفاءة الكيانات المصدرة المتنافسة ومعدل المكافآت الاحتياطية (سواء كانت ودائع لدى البنك المركزي أو مزيجًا من الأصول عالية الجودة الأخرى). على سبيل المثال ، لن يتم المكافأة على الميزان ، وفقًا للورقة البيضاء لليبرا ، مما يعني ضمناً أن هناك حملًا إيجابيًا (رهنًا) ، ولكن من المحتمل أيضًا أن يكون حملًا سلبيًا إذا كانت أسعار الفائدة العالمية منخفضة جدًا وسلبية جزئيًا. يجوز للبنك المركزي أن يختار من حيث المبدأ </w:t>
      </w:r>
      <w:r w:rsidRPr="00BB11D1">
        <w:rPr>
          <w:rFonts w:asciiTheme="majorBidi" w:hAnsiTheme="majorBidi" w:cstheme="majorBidi"/>
        </w:rPr>
        <w:t>CBDC</w:t>
      </w:r>
      <w:r w:rsidRPr="00BB11D1">
        <w:rPr>
          <w:rFonts w:asciiTheme="majorBidi" w:hAnsiTheme="majorBidi" w:cstheme="majorBidi"/>
          <w:rtl/>
          <w:lang w:bidi="ar-SA"/>
        </w:rPr>
        <w:t xml:space="preserve"> أي معادلة للأجور ، بما في ذلك أنظمة التدرج. حتى الآن ، يسمح </w:t>
      </w:r>
      <w:r w:rsidRPr="00BB11D1">
        <w:rPr>
          <w:rFonts w:asciiTheme="majorBidi" w:hAnsiTheme="majorBidi" w:cstheme="majorBidi"/>
        </w:rPr>
        <w:t>CBDC</w:t>
      </w:r>
      <w:r w:rsidRPr="00BB11D1">
        <w:rPr>
          <w:rFonts w:asciiTheme="majorBidi" w:hAnsiTheme="majorBidi" w:cstheme="majorBidi"/>
          <w:rtl/>
          <w:lang w:bidi="ar-SA"/>
        </w:rPr>
        <w:t xml:space="preserve"> بتحكم أفضل. تعتمد القدرة التنافسية لـ </w:t>
      </w:r>
      <w:r w:rsidRPr="00BB11D1">
        <w:rPr>
          <w:rFonts w:asciiTheme="majorBidi" w:hAnsiTheme="majorBidi" w:cstheme="majorBidi"/>
        </w:rPr>
        <w:t>STCCB / NBDC</w:t>
      </w:r>
      <w:r w:rsidRPr="00BB11D1">
        <w:rPr>
          <w:rFonts w:asciiTheme="majorBidi" w:hAnsiTheme="majorBidi" w:cstheme="majorBidi"/>
          <w:rtl/>
          <w:lang w:bidi="ar-SA"/>
        </w:rPr>
        <w:t xml:space="preserve"> أيضًا على الإطار التشغيلي المطبق من قبل البنك المركزي ، وخاصة ما إذا كان يعمل في ممر أو نظام أرضي ، مع كون الأخير أكثر ملاءمة لـ </w:t>
      </w:r>
      <w:r w:rsidRPr="00BB11D1">
        <w:rPr>
          <w:rFonts w:asciiTheme="majorBidi" w:hAnsiTheme="majorBidi" w:cstheme="majorBidi"/>
        </w:rPr>
        <w:t>NBDC</w:t>
      </w:r>
      <w:r w:rsidRPr="00BB11D1">
        <w:rPr>
          <w:rFonts w:asciiTheme="majorBidi" w:hAnsiTheme="majorBidi" w:cstheme="majorBidi"/>
          <w:rtl/>
          <w:lang w:bidi="ar-SA"/>
        </w:rPr>
        <w:t xml:space="preserve">. إن وجود نظام ممر به فرق كاف (على سبيل المثال 100 نقطة أساس) بين السعر المستهدف بين عشية وضحاها في السوق ومعدل الأجور من الاحتياطيات من شأنه أن يقلل من القدرة التنافسية لمخططات </w:t>
      </w:r>
      <w:r w:rsidRPr="00BB11D1">
        <w:rPr>
          <w:rFonts w:asciiTheme="majorBidi" w:hAnsiTheme="majorBidi" w:cstheme="majorBidi"/>
        </w:rPr>
        <w:t>STCCB / NBDC</w:t>
      </w:r>
      <w:r w:rsidRPr="00BB11D1">
        <w:rPr>
          <w:rFonts w:asciiTheme="majorBidi" w:hAnsiTheme="majorBidi" w:cstheme="majorBidi"/>
          <w:rtl/>
          <w:lang w:bidi="ar-SA"/>
        </w:rPr>
        <w:t xml:space="preserve"> بالنسبة لحالة نظام الحد الأدنى الذي تكون فيه أسعار السوق بين عشية وضحاها قريبة إلى معدل الأجور الاحتياطيات.</w:t>
      </w:r>
    </w:p>
    <w:p w:rsidR="00BB11D1" w:rsidRPr="00BB11D1" w:rsidRDefault="00BB11D1" w:rsidP="00BB11D1">
      <w:pPr>
        <w:pStyle w:val="ListParagraph"/>
        <w:numPr>
          <w:ilvl w:val="0"/>
          <w:numId w:val="21"/>
        </w:numPr>
        <w:bidi/>
        <w:spacing w:line="480" w:lineRule="auto"/>
        <w:rPr>
          <w:rFonts w:asciiTheme="majorBidi" w:hAnsiTheme="majorBidi" w:cstheme="majorBidi"/>
        </w:rPr>
      </w:pPr>
      <w:r w:rsidRPr="00BB11D1">
        <w:rPr>
          <w:rFonts w:asciiTheme="majorBidi" w:hAnsiTheme="majorBidi" w:cstheme="majorBidi"/>
          <w:rtl/>
          <w:lang w:bidi="ar-SA"/>
        </w:rPr>
        <w:lastRenderedPageBreak/>
        <w:t>رابعا ، إن المعالجة التنظيمية للعملات الرقمية الخاصة مهمة ، لأنها قد تقيد عملياتها أو تجعلها أكثر تكلفة.</w:t>
      </w:r>
    </w:p>
    <w:p w:rsidR="00BB11D1" w:rsidRPr="00BB11D1" w:rsidRDefault="00BB11D1" w:rsidP="00BB11D1">
      <w:pPr>
        <w:pStyle w:val="ListParagraph"/>
        <w:numPr>
          <w:ilvl w:val="0"/>
          <w:numId w:val="21"/>
        </w:numPr>
        <w:bidi/>
        <w:spacing w:line="480" w:lineRule="auto"/>
        <w:rPr>
          <w:rFonts w:ascii="Times New Roman" w:hAnsiTheme="majorBidi" w:cstheme="majorBidi"/>
          <w:rtl/>
        </w:rPr>
      </w:pPr>
      <w:r w:rsidRPr="00BB11D1">
        <w:rPr>
          <w:rFonts w:asciiTheme="majorBidi" w:hAnsiTheme="majorBidi" w:cstheme="majorBidi"/>
          <w:rtl/>
          <w:lang w:bidi="ar-SA"/>
        </w:rPr>
        <w:t xml:space="preserve">أخيرًا ، تعتمد مخططات </w:t>
      </w:r>
      <w:r w:rsidRPr="00BB11D1">
        <w:rPr>
          <w:rFonts w:asciiTheme="majorBidi" w:hAnsiTheme="majorBidi" w:cstheme="majorBidi"/>
        </w:rPr>
        <w:t>STCCB / NBDC</w:t>
      </w:r>
      <w:r w:rsidRPr="00BB11D1">
        <w:rPr>
          <w:rFonts w:asciiTheme="majorBidi" w:hAnsiTheme="majorBidi" w:cstheme="majorBidi"/>
          <w:rtl/>
          <w:lang w:bidi="ar-SA"/>
        </w:rPr>
        <w:t xml:space="preserve"> على استعداد البنك المركزي لمنح المصدر إمكانية الوصول إلى ودائع البنك المركزي. فقط إذا جاء المصدر مع ترخيص مصرفي عادي ، فقد يكون البنك المركزي مضطرًا على أي حال للسماح له بالإيداع وفقًا للشروط القياسية.</w:t>
      </w:r>
    </w:p>
    <w:p w:rsidR="00BB11D1" w:rsidRDefault="00BB11D1" w:rsidP="0010677D">
      <w:pPr>
        <w:bidi/>
        <w:spacing w:line="480" w:lineRule="auto"/>
        <w:jc w:val="mediumKashida"/>
        <w:rPr>
          <w:rFonts w:asciiTheme="majorBidi" w:hAnsiTheme="majorBidi" w:cstheme="majorBidi"/>
          <w:lang w:bidi="ar-LB"/>
        </w:rPr>
      </w:pPr>
      <w:r w:rsidRPr="00BB11D1">
        <w:rPr>
          <w:rFonts w:asciiTheme="majorBidi" w:hAnsiTheme="majorBidi" w:cstheme="majorBidi"/>
          <w:rtl/>
          <w:lang w:bidi="ar-LB"/>
        </w:rPr>
        <w:t xml:space="preserve">يمكن تعميم التأثير على الحسابات المالية على حالة بلدين (أو ن) ، حيث تكون الحالات غير المتماثلة ذات أهمية خاصة. على سبيل المثال ، يمكن أيضًا استخدام </w:t>
      </w:r>
      <w:r>
        <w:rPr>
          <w:rFonts w:asciiTheme="majorBidi" w:hAnsiTheme="majorBidi" w:cstheme="majorBidi"/>
          <w:lang w:bidi="ar-LB"/>
        </w:rPr>
        <w:t>CBDC</w:t>
      </w:r>
      <w:r w:rsidRPr="00BB11D1">
        <w:rPr>
          <w:rFonts w:asciiTheme="majorBidi" w:hAnsiTheme="majorBidi" w:cstheme="majorBidi"/>
          <w:rtl/>
          <w:lang w:bidi="ar-LB"/>
        </w:rPr>
        <w:t xml:space="preserve"> الصادرة في بلد ما على نطاق واسع في بلد آخر. أو ، يتم استثمار عملة معدنية مستقرة ("الميزان") فقط في الاحتياطيات في مجموعة فرعية من البلدان التي يتم استخدامها كوسيلة للدفع. يوضح الملحق هاتين الحالتين في الحسابات المالية ، حيث سيتم التركيز على حالة </w:t>
      </w:r>
      <w:r w:rsidRPr="00BB11D1">
        <w:rPr>
          <w:rFonts w:asciiTheme="majorBidi" w:hAnsiTheme="majorBidi" w:cstheme="majorBidi"/>
          <w:lang w:bidi="ar-LB"/>
        </w:rPr>
        <w:t>Stablecoins</w:t>
      </w:r>
      <w:r w:rsidRPr="00BB11D1">
        <w:rPr>
          <w:rFonts w:asciiTheme="majorBidi" w:hAnsiTheme="majorBidi" w:cstheme="majorBidi"/>
          <w:rtl/>
          <w:lang w:bidi="ar-LB"/>
        </w:rPr>
        <w:t xml:space="preserve"> التي يحتفظ فيها بالاحتياطيات في شكل ودائع لدى البنوك والأوراق المالية الحكومية (على النحو المتوخى للبره). من الواضح أن تدفقات الأموال في سياق دولي تعتمد أيضًا على نظام الصرف الأجنبي. علاوة على ذلك ، سيعتمدون على الأشكال التي ستتخذها عمليات التعرض عبر الحدود ، مثل الاحتياطيات الأجنبية من البنك المركزي (يمكن أن تتخذ شكل الدين الحكومي أو الودائع المصرفية أو الودائع لدى البنك المركزي). يعتبر الملحق نظامًا مرنًا وثابتًا لسعر الصرف. في الحالة الأولى ، من المفترض أن يدخل النظام المصرفي في صافي التعرضات الأجنبية لموازنة تدفقات رأس المال المرتبطة بمقتنيات الأموال الإلكترونية عبر الحدود. في نظام معدل ثابت ، فإن التغيرات في احتياطيات البنك المركزي من شأنها أن تعوض تدفقات رأس المال في القطاع الخاص ، حيث نفترض أن الاحتياطيات محتجزة في شكل الودائع المصرفية. هذه مجرد افتراضين محددين ، لكنها كافية لتوضيح المشكلات ومنطق تسجيل التدفقات في أنظمة الحسابات المالية. بالطبع ، يمكن تحسين تحليل تدفق الأموال ومعايرته ، على سبيل المثال نحو تكوين الاحتياطيات الأجنبية كما لوحظ بالفعل. يلخص الجدول 7 التدفق الرئيسي لآثار الأموال المحددة في أنظمة الحسابات الموضحة في الملحق. التدفقات "</w:t>
      </w:r>
      <w:r w:rsidRPr="00BB11D1">
        <w:rPr>
          <w:rFonts w:asciiTheme="majorBidi" w:hAnsiTheme="majorBidi" w:cstheme="majorBidi"/>
          <w:lang w:bidi="ar-LB"/>
        </w:rPr>
        <w:t>X1</w:t>
      </w:r>
      <w:r w:rsidRPr="00BB11D1">
        <w:rPr>
          <w:rFonts w:asciiTheme="majorBidi" w:hAnsiTheme="majorBidi" w:cstheme="majorBidi"/>
          <w:rtl/>
          <w:lang w:bidi="ar-LB"/>
        </w:rPr>
        <w:t>" هي مرة أخرى تلك المتعلقة باستبدال الأوراق النقدية بالعملة الرقمية الجديدة ، في حين أن "</w:t>
      </w:r>
      <w:r w:rsidRPr="00BB11D1">
        <w:rPr>
          <w:rFonts w:asciiTheme="majorBidi" w:hAnsiTheme="majorBidi" w:cstheme="majorBidi"/>
          <w:lang w:bidi="ar-LB"/>
        </w:rPr>
        <w:t>X2</w:t>
      </w:r>
      <w:r w:rsidRPr="00BB11D1">
        <w:rPr>
          <w:rFonts w:asciiTheme="majorBidi" w:hAnsiTheme="majorBidi" w:cstheme="majorBidi"/>
          <w:rtl/>
          <w:lang w:bidi="ar-LB"/>
        </w:rPr>
        <w:t>" هي تلك المتعلقة باستبدال الودائع لدى البنوك. يشير الملحق ".</w:t>
      </w:r>
      <w:r w:rsidRPr="00BB11D1">
        <w:rPr>
          <w:rFonts w:asciiTheme="majorBidi" w:hAnsiTheme="majorBidi" w:cstheme="majorBidi"/>
          <w:lang w:bidi="ar-LB"/>
        </w:rPr>
        <w:t>A</w:t>
      </w:r>
      <w:r w:rsidRPr="00BB11D1">
        <w:rPr>
          <w:rFonts w:asciiTheme="majorBidi" w:hAnsiTheme="majorBidi" w:cstheme="majorBidi"/>
          <w:rtl/>
          <w:lang w:bidi="ar-LB"/>
        </w:rPr>
        <w:t xml:space="preserve">" إلى أن هذه هي التدفقات الناشئة عن إعادة توزيع الأصول المالية للأسرة في بلد </w:t>
      </w:r>
      <w:r w:rsidRPr="00BB11D1">
        <w:rPr>
          <w:rFonts w:asciiTheme="majorBidi" w:hAnsiTheme="majorBidi" w:cstheme="majorBidi"/>
          <w:lang w:bidi="ar-LB"/>
        </w:rPr>
        <w:t>A</w:t>
      </w:r>
      <w:r w:rsidRPr="00BB11D1">
        <w:rPr>
          <w:rFonts w:asciiTheme="majorBidi" w:hAnsiTheme="majorBidi" w:cstheme="majorBidi"/>
          <w:rtl/>
          <w:lang w:bidi="ar-LB"/>
        </w:rPr>
        <w:t xml:space="preserve"> ، في حين أن ".</w:t>
      </w:r>
      <w:r w:rsidRPr="00BB11D1">
        <w:rPr>
          <w:rFonts w:asciiTheme="majorBidi" w:hAnsiTheme="majorBidi" w:cstheme="majorBidi"/>
          <w:lang w:bidi="ar-LB"/>
        </w:rPr>
        <w:t>B</w:t>
      </w:r>
      <w:r w:rsidRPr="00BB11D1">
        <w:rPr>
          <w:rFonts w:asciiTheme="majorBidi" w:hAnsiTheme="majorBidi" w:cstheme="majorBidi"/>
          <w:rtl/>
          <w:lang w:bidi="ar-LB"/>
        </w:rPr>
        <w:t xml:space="preserve">" هي التدفقات الناشئة من الأسرة في البلد </w:t>
      </w:r>
      <w:r w:rsidRPr="00BB11D1">
        <w:rPr>
          <w:rFonts w:asciiTheme="majorBidi" w:hAnsiTheme="majorBidi" w:cstheme="majorBidi"/>
          <w:lang w:bidi="ar-LB"/>
        </w:rPr>
        <w:t>B</w:t>
      </w:r>
      <w:r w:rsidRPr="00BB11D1">
        <w:rPr>
          <w:rFonts w:asciiTheme="majorBidi" w:hAnsiTheme="majorBidi" w:cstheme="majorBidi"/>
          <w:rtl/>
          <w:lang w:bidi="ar-LB"/>
        </w:rPr>
        <w:t xml:space="preserve">. يغطي الجزء العلوي والأزرق من الجدول عناصر الحسابات المالية لبلد </w:t>
      </w:r>
      <w:r w:rsidRPr="00BB11D1">
        <w:rPr>
          <w:rFonts w:asciiTheme="majorBidi" w:hAnsiTheme="majorBidi" w:cstheme="majorBidi"/>
          <w:lang w:bidi="ar-LB"/>
        </w:rPr>
        <w:t>A</w:t>
      </w:r>
      <w:r w:rsidRPr="00BB11D1">
        <w:rPr>
          <w:rFonts w:asciiTheme="majorBidi" w:hAnsiTheme="majorBidi" w:cstheme="majorBidi"/>
          <w:rtl/>
          <w:lang w:bidi="ar-LB"/>
        </w:rPr>
        <w:t xml:space="preserve"> ، بينما يغطي الجزء السفلي الوردي اللون </w:t>
      </w:r>
      <w:r w:rsidRPr="00BB11D1">
        <w:rPr>
          <w:rFonts w:asciiTheme="majorBidi" w:hAnsiTheme="majorBidi" w:cstheme="majorBidi"/>
          <w:lang w:bidi="ar-LB"/>
        </w:rPr>
        <w:t>B</w:t>
      </w:r>
      <w:r w:rsidRPr="00BB11D1">
        <w:rPr>
          <w:rFonts w:asciiTheme="majorBidi" w:hAnsiTheme="majorBidi" w:cstheme="majorBidi"/>
          <w:rtl/>
          <w:lang w:bidi="ar-LB"/>
        </w:rPr>
        <w:t xml:space="preserve">- البلد. إن تغيير الاحتياطيات الأجنبية للبنك المركزي مناسب فقط للبلد </w:t>
      </w:r>
      <w:r w:rsidRPr="00BB11D1">
        <w:rPr>
          <w:rFonts w:asciiTheme="majorBidi" w:hAnsiTheme="majorBidi" w:cstheme="majorBidi"/>
          <w:lang w:bidi="ar-LB"/>
        </w:rPr>
        <w:t>B</w:t>
      </w:r>
      <w:r w:rsidRPr="00BB11D1">
        <w:rPr>
          <w:rFonts w:asciiTheme="majorBidi" w:hAnsiTheme="majorBidi" w:cstheme="majorBidi"/>
          <w:rtl/>
          <w:lang w:bidi="ar-LB"/>
        </w:rPr>
        <w:t xml:space="preserve"> ، وفقط في حالة وجود نظام سعر صرف ثابت. يغطي الصف الأخير تأثيرات سعر الصرف.</w:t>
      </w:r>
    </w:p>
    <w:p w:rsidR="0010677D" w:rsidRDefault="0010677D" w:rsidP="0010677D">
      <w:pPr>
        <w:bidi/>
        <w:spacing w:line="480" w:lineRule="auto"/>
        <w:jc w:val="mediumKashida"/>
        <w:rPr>
          <w:rFonts w:asciiTheme="majorBidi" w:hAnsiTheme="majorBidi" w:cstheme="majorBidi"/>
          <w:lang w:bidi="ar-LB"/>
        </w:rPr>
      </w:pPr>
    </w:p>
    <w:p w:rsidR="0010677D" w:rsidRDefault="0010677D" w:rsidP="0010677D">
      <w:pPr>
        <w:bidi/>
        <w:spacing w:line="480" w:lineRule="auto"/>
        <w:jc w:val="mediumKashida"/>
        <w:rPr>
          <w:rFonts w:asciiTheme="majorBidi" w:hAnsiTheme="majorBidi" w:cstheme="majorBidi"/>
          <w:lang w:bidi="ar-LB"/>
        </w:rPr>
      </w:pPr>
    </w:p>
    <w:p w:rsidR="0010677D" w:rsidRDefault="0010677D" w:rsidP="0010677D">
      <w:pPr>
        <w:bidi/>
        <w:spacing w:line="480" w:lineRule="auto"/>
        <w:jc w:val="mediumKashida"/>
        <w:rPr>
          <w:rFonts w:asciiTheme="majorBidi" w:hAnsiTheme="majorBidi" w:cstheme="majorBidi"/>
          <w:lang w:bidi="ar-LB"/>
        </w:rPr>
      </w:pPr>
    </w:p>
    <w:p w:rsidR="0010677D" w:rsidRPr="00BB11D1" w:rsidRDefault="0010677D" w:rsidP="0010677D">
      <w:pPr>
        <w:bidi/>
        <w:spacing w:line="480" w:lineRule="auto"/>
        <w:jc w:val="mediumKashida"/>
        <w:rPr>
          <w:rFonts w:asciiTheme="majorBidi" w:hAnsiTheme="majorBidi" w:cstheme="majorBidi"/>
          <w:sz w:val="23"/>
        </w:rPr>
      </w:pPr>
      <w:bookmarkStart w:id="14" w:name="_GoBack"/>
      <w:bookmarkEnd w:id="14"/>
    </w:p>
    <w:p w:rsidR="000255A4" w:rsidRPr="00BB11D1" w:rsidRDefault="00BB11D1" w:rsidP="006A2441">
      <w:pPr>
        <w:bidi/>
        <w:spacing w:after="15"/>
        <w:ind w:left="249"/>
        <w:jc w:val="both"/>
        <w:rPr>
          <w:rFonts w:asciiTheme="majorBidi" w:hAnsiTheme="majorBidi" w:cstheme="majorBidi"/>
          <w:i/>
        </w:rPr>
      </w:pPr>
      <w:r w:rsidRPr="00BB11D1">
        <w:rPr>
          <w:rFonts w:asciiTheme="majorBidi" w:hAnsiTheme="majorBidi" w:cs="Times New Roman"/>
          <w:i/>
          <w:iCs/>
          <w:rtl/>
          <w:lang w:bidi="ar-SA"/>
        </w:rPr>
        <w:lastRenderedPageBreak/>
        <w:t>الجدول 6: ملخص للتدفقات المحددة للأموال لبلد واحد عبر مختلف العملات الرقمية الجديدة</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9"/>
        <w:gridCol w:w="1701"/>
        <w:gridCol w:w="1843"/>
        <w:gridCol w:w="1701"/>
        <w:gridCol w:w="1557"/>
      </w:tblGrid>
      <w:tr w:rsidR="00BB11D1" w:rsidTr="00451448">
        <w:trPr>
          <w:trHeight w:val="731"/>
        </w:trPr>
        <w:tc>
          <w:tcPr>
            <w:tcW w:w="2659" w:type="dxa"/>
          </w:tcPr>
          <w:p w:rsidR="00BB11D1" w:rsidRDefault="00BB11D1" w:rsidP="00451448">
            <w:pPr>
              <w:pStyle w:val="TableParagraph"/>
              <w:rPr>
                <w:rFonts w:ascii="Times New Roman"/>
                <w:sz w:val="20"/>
              </w:rPr>
            </w:pPr>
          </w:p>
        </w:tc>
        <w:tc>
          <w:tcPr>
            <w:tcW w:w="1701" w:type="dxa"/>
          </w:tcPr>
          <w:p w:rsidR="00BB11D1" w:rsidRDefault="00BB11D1" w:rsidP="00451448">
            <w:pPr>
              <w:pStyle w:val="TableParagraph"/>
              <w:spacing w:before="4"/>
              <w:ind w:left="110"/>
              <w:rPr>
                <w:sz w:val="20"/>
              </w:rPr>
            </w:pPr>
            <w:r>
              <w:rPr>
                <w:w w:val="90"/>
                <w:sz w:val="20"/>
              </w:rPr>
              <w:t>CBDC</w:t>
            </w:r>
          </w:p>
          <w:p w:rsidR="00BB11D1" w:rsidRDefault="00BB11D1" w:rsidP="00451448">
            <w:pPr>
              <w:pStyle w:val="TableParagraph"/>
              <w:spacing w:before="5" w:line="240" w:lineRule="atLeast"/>
              <w:ind w:left="110"/>
              <w:rPr>
                <w:sz w:val="20"/>
              </w:rPr>
            </w:pPr>
            <w:r>
              <w:rPr>
                <w:w w:val="90"/>
                <w:sz w:val="20"/>
              </w:rPr>
              <w:t xml:space="preserve">Flexible exchange </w:t>
            </w:r>
            <w:r>
              <w:rPr>
                <w:sz w:val="20"/>
              </w:rPr>
              <w:t>rates</w:t>
            </w:r>
          </w:p>
        </w:tc>
        <w:tc>
          <w:tcPr>
            <w:tcW w:w="1843" w:type="dxa"/>
          </w:tcPr>
          <w:p w:rsidR="00BB11D1" w:rsidRDefault="00BB11D1" w:rsidP="00451448">
            <w:pPr>
              <w:pStyle w:val="TableParagraph"/>
              <w:spacing w:before="4"/>
              <w:ind w:left="108"/>
              <w:rPr>
                <w:sz w:val="20"/>
              </w:rPr>
            </w:pPr>
            <w:r>
              <w:rPr>
                <w:w w:val="90"/>
                <w:sz w:val="20"/>
              </w:rPr>
              <w:t>CBDC</w:t>
            </w:r>
          </w:p>
          <w:p w:rsidR="00BB11D1" w:rsidRDefault="00BB11D1" w:rsidP="00451448">
            <w:pPr>
              <w:pStyle w:val="TableParagraph"/>
              <w:tabs>
                <w:tab w:val="left" w:pos="963"/>
              </w:tabs>
              <w:spacing w:before="5" w:line="240" w:lineRule="atLeast"/>
              <w:ind w:left="108" w:right="96"/>
              <w:rPr>
                <w:sz w:val="20"/>
              </w:rPr>
            </w:pPr>
            <w:r>
              <w:rPr>
                <w:sz w:val="20"/>
              </w:rPr>
              <w:t>Fixed</w:t>
            </w:r>
            <w:r>
              <w:rPr>
                <w:sz w:val="20"/>
              </w:rPr>
              <w:tab/>
            </w:r>
            <w:r>
              <w:rPr>
                <w:spacing w:val="-3"/>
                <w:w w:val="90"/>
                <w:sz w:val="20"/>
              </w:rPr>
              <w:t xml:space="preserve">exchange </w:t>
            </w:r>
            <w:r>
              <w:rPr>
                <w:sz w:val="20"/>
              </w:rPr>
              <w:t>rates</w:t>
            </w:r>
          </w:p>
        </w:tc>
        <w:tc>
          <w:tcPr>
            <w:tcW w:w="1701" w:type="dxa"/>
          </w:tcPr>
          <w:p w:rsidR="00BB11D1" w:rsidRDefault="00BB11D1" w:rsidP="00451448">
            <w:pPr>
              <w:pStyle w:val="TableParagraph"/>
              <w:spacing w:before="4"/>
              <w:ind w:left="108"/>
              <w:rPr>
                <w:sz w:val="20"/>
              </w:rPr>
            </w:pPr>
            <w:r>
              <w:rPr>
                <w:w w:val="95"/>
                <w:sz w:val="20"/>
              </w:rPr>
              <w:t>Libra-style STC</w:t>
            </w:r>
          </w:p>
          <w:p w:rsidR="00BB11D1" w:rsidRDefault="00BB11D1" w:rsidP="00451448">
            <w:pPr>
              <w:pStyle w:val="TableParagraph"/>
              <w:spacing w:before="5" w:line="240" w:lineRule="atLeast"/>
              <w:ind w:left="108"/>
              <w:rPr>
                <w:sz w:val="20"/>
              </w:rPr>
            </w:pPr>
            <w:r>
              <w:rPr>
                <w:w w:val="90"/>
                <w:sz w:val="20"/>
              </w:rPr>
              <w:t xml:space="preserve">Flexible exchange </w:t>
            </w:r>
            <w:r>
              <w:rPr>
                <w:sz w:val="20"/>
              </w:rPr>
              <w:t>rates</w:t>
            </w:r>
          </w:p>
        </w:tc>
        <w:tc>
          <w:tcPr>
            <w:tcW w:w="1557" w:type="dxa"/>
          </w:tcPr>
          <w:p w:rsidR="00BB11D1" w:rsidRDefault="00BB11D1" w:rsidP="00451448">
            <w:pPr>
              <w:pStyle w:val="TableParagraph"/>
              <w:spacing w:before="4"/>
              <w:ind w:left="109"/>
              <w:rPr>
                <w:sz w:val="20"/>
              </w:rPr>
            </w:pPr>
            <w:r>
              <w:rPr>
                <w:w w:val="95"/>
                <w:sz w:val="20"/>
              </w:rPr>
              <w:t>Libra-style STC</w:t>
            </w:r>
          </w:p>
          <w:p w:rsidR="00BB11D1" w:rsidRDefault="00BB11D1" w:rsidP="00451448">
            <w:pPr>
              <w:pStyle w:val="TableParagraph"/>
              <w:spacing w:before="5" w:line="240" w:lineRule="atLeast"/>
              <w:ind w:left="109" w:right="76"/>
              <w:rPr>
                <w:sz w:val="20"/>
              </w:rPr>
            </w:pPr>
            <w:r>
              <w:rPr>
                <w:w w:val="95"/>
                <w:sz w:val="20"/>
              </w:rPr>
              <w:t xml:space="preserve">Fixed exchange </w:t>
            </w:r>
            <w:r>
              <w:rPr>
                <w:sz w:val="20"/>
              </w:rPr>
              <w:t>rates</w:t>
            </w:r>
          </w:p>
        </w:tc>
      </w:tr>
      <w:tr w:rsidR="00BB11D1" w:rsidTr="00451448">
        <w:trPr>
          <w:trHeight w:val="220"/>
        </w:trPr>
        <w:tc>
          <w:tcPr>
            <w:tcW w:w="2659" w:type="dxa"/>
            <w:shd w:val="clear" w:color="auto" w:fill="DBE4F0"/>
          </w:tcPr>
          <w:p w:rsidR="00BB11D1" w:rsidRDefault="00BB11D1" w:rsidP="00451448">
            <w:pPr>
              <w:pStyle w:val="TableParagraph"/>
              <w:spacing w:before="3" w:line="197" w:lineRule="exact"/>
              <w:ind w:left="107"/>
              <w:rPr>
                <w:sz w:val="18"/>
              </w:rPr>
            </w:pPr>
            <w:r>
              <w:rPr>
                <w:sz w:val="18"/>
              </w:rPr>
              <w:t>A -Banks change of deposits</w:t>
            </w:r>
          </w:p>
        </w:tc>
        <w:tc>
          <w:tcPr>
            <w:tcW w:w="1701" w:type="dxa"/>
            <w:shd w:val="clear" w:color="auto" w:fill="DBE4F0"/>
          </w:tcPr>
          <w:p w:rsidR="00BB11D1" w:rsidRDefault="00BB11D1" w:rsidP="00451448">
            <w:pPr>
              <w:pStyle w:val="TableParagraph"/>
              <w:spacing w:before="3" w:line="197" w:lineRule="exact"/>
              <w:ind w:left="74" w:right="58"/>
              <w:jc w:val="center"/>
              <w:rPr>
                <w:rFonts w:ascii="Trebuchet MS"/>
                <w:b/>
                <w:sz w:val="18"/>
              </w:rPr>
            </w:pPr>
            <w:r>
              <w:rPr>
                <w:rFonts w:ascii="Trebuchet MS"/>
                <w:b/>
                <w:color w:val="FF0000"/>
                <w:w w:val="95"/>
                <w:sz w:val="18"/>
              </w:rPr>
              <w:t>-X2.A</w:t>
            </w:r>
          </w:p>
        </w:tc>
        <w:tc>
          <w:tcPr>
            <w:tcW w:w="1843" w:type="dxa"/>
            <w:shd w:val="clear" w:color="auto" w:fill="DBE4F0"/>
          </w:tcPr>
          <w:p w:rsidR="00BB11D1" w:rsidRDefault="00BB11D1" w:rsidP="00451448">
            <w:pPr>
              <w:pStyle w:val="TableParagraph"/>
              <w:spacing w:before="3" w:line="197" w:lineRule="exact"/>
              <w:ind w:left="144" w:right="135"/>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w w:val="95"/>
                <w:sz w:val="18"/>
              </w:rPr>
              <w:t>-</w:t>
            </w:r>
            <w:r>
              <w:rPr>
                <w:rFonts w:ascii="Trebuchet MS"/>
                <w:b/>
                <w:color w:val="FF0000"/>
                <w:w w:val="95"/>
                <w:sz w:val="18"/>
              </w:rPr>
              <w:t>X2.B</w:t>
            </w:r>
          </w:p>
        </w:tc>
        <w:tc>
          <w:tcPr>
            <w:tcW w:w="1701" w:type="dxa"/>
            <w:shd w:val="clear" w:color="auto" w:fill="DBE4F0"/>
          </w:tcPr>
          <w:p w:rsidR="00BB11D1" w:rsidRDefault="00BB11D1" w:rsidP="00451448">
            <w:pPr>
              <w:pStyle w:val="TableParagraph"/>
              <w:spacing w:before="3" w:line="197" w:lineRule="exact"/>
              <w:ind w:left="74" w:right="61"/>
              <w:jc w:val="center"/>
              <w:rPr>
                <w:rFonts w:ascii="Trebuchet MS"/>
                <w:b/>
                <w:sz w:val="18"/>
              </w:rPr>
            </w:pPr>
            <w:r>
              <w:rPr>
                <w:rFonts w:ascii="Trebuchet MS"/>
                <w:b/>
                <w:color w:val="FF0000"/>
                <w:w w:val="95"/>
                <w:sz w:val="18"/>
              </w:rPr>
              <w:t>-X2.A</w:t>
            </w:r>
          </w:p>
        </w:tc>
        <w:tc>
          <w:tcPr>
            <w:tcW w:w="1557" w:type="dxa"/>
            <w:shd w:val="clear" w:color="auto" w:fill="DBE4F0"/>
          </w:tcPr>
          <w:p w:rsidR="00BB11D1" w:rsidRDefault="00BB11D1" w:rsidP="00451448">
            <w:pPr>
              <w:pStyle w:val="TableParagraph"/>
              <w:spacing w:before="3" w:line="197" w:lineRule="exact"/>
              <w:ind w:left="279" w:right="265"/>
              <w:jc w:val="center"/>
              <w:rPr>
                <w:rFonts w:ascii="Trebuchet MS"/>
                <w:b/>
                <w:sz w:val="18"/>
              </w:rPr>
            </w:pPr>
            <w:r>
              <w:rPr>
                <w:rFonts w:ascii="Trebuchet MS"/>
                <w:b/>
                <w:color w:val="FF0000"/>
                <w:w w:val="95"/>
                <w:sz w:val="18"/>
              </w:rPr>
              <w:t>-X2.A</w:t>
            </w:r>
          </w:p>
        </w:tc>
      </w:tr>
      <w:tr w:rsidR="00BB11D1" w:rsidTr="00451448">
        <w:trPr>
          <w:trHeight w:val="220"/>
        </w:trPr>
        <w:tc>
          <w:tcPr>
            <w:tcW w:w="2659" w:type="dxa"/>
            <w:shd w:val="clear" w:color="auto" w:fill="DBE4F0"/>
          </w:tcPr>
          <w:p w:rsidR="00BB11D1" w:rsidRDefault="00BB11D1" w:rsidP="00451448">
            <w:pPr>
              <w:pStyle w:val="TableParagraph"/>
              <w:spacing w:before="3" w:line="197" w:lineRule="exact"/>
              <w:ind w:left="107"/>
              <w:rPr>
                <w:sz w:val="18"/>
              </w:rPr>
            </w:pPr>
            <w:r>
              <w:rPr>
                <w:sz w:val="18"/>
              </w:rPr>
              <w:t>A - Length of CB balance sheet</w:t>
            </w:r>
          </w:p>
        </w:tc>
        <w:tc>
          <w:tcPr>
            <w:tcW w:w="1701" w:type="dxa"/>
            <w:shd w:val="clear" w:color="auto" w:fill="DBE4F0"/>
          </w:tcPr>
          <w:p w:rsidR="00BB11D1" w:rsidRDefault="00BB11D1" w:rsidP="00451448">
            <w:pPr>
              <w:pStyle w:val="TableParagraph"/>
              <w:spacing w:before="3" w:line="197" w:lineRule="exact"/>
              <w:ind w:left="74" w:right="64"/>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843" w:type="dxa"/>
            <w:shd w:val="clear" w:color="auto" w:fill="DBE4F0"/>
          </w:tcPr>
          <w:p w:rsidR="00BB11D1" w:rsidRDefault="00BB11D1" w:rsidP="00451448">
            <w:pPr>
              <w:pStyle w:val="TableParagraph"/>
              <w:spacing w:before="3" w:line="197" w:lineRule="exact"/>
              <w:ind w:left="144" w:right="135"/>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701" w:type="dxa"/>
            <w:shd w:val="clear" w:color="auto" w:fill="DBE4F0"/>
          </w:tcPr>
          <w:p w:rsidR="00BB11D1" w:rsidRDefault="00BB11D1" w:rsidP="00451448">
            <w:pPr>
              <w:pStyle w:val="TableParagraph"/>
              <w:spacing w:before="3" w:line="197" w:lineRule="exact"/>
              <w:ind w:left="72" w:right="64"/>
              <w:jc w:val="center"/>
              <w:rPr>
                <w:rFonts w:ascii="Trebuchet MS"/>
                <w:b/>
                <w:sz w:val="18"/>
              </w:rPr>
            </w:pPr>
            <w:r>
              <w:rPr>
                <w:rFonts w:ascii="Trebuchet MS"/>
                <w:b/>
                <w:color w:val="00AF50"/>
                <w:w w:val="95"/>
                <w:sz w:val="18"/>
              </w:rPr>
              <w:t>-X1.A</w:t>
            </w:r>
          </w:p>
        </w:tc>
        <w:tc>
          <w:tcPr>
            <w:tcW w:w="1557" w:type="dxa"/>
            <w:shd w:val="clear" w:color="auto" w:fill="DBE4F0"/>
          </w:tcPr>
          <w:p w:rsidR="00BB11D1" w:rsidRDefault="00BB11D1" w:rsidP="00451448">
            <w:pPr>
              <w:pStyle w:val="TableParagraph"/>
              <w:spacing w:before="3" w:line="197" w:lineRule="exact"/>
              <w:ind w:left="279" w:right="265"/>
              <w:jc w:val="center"/>
              <w:rPr>
                <w:rFonts w:ascii="Trebuchet MS"/>
                <w:b/>
                <w:sz w:val="18"/>
              </w:rPr>
            </w:pPr>
            <w:r>
              <w:rPr>
                <w:rFonts w:ascii="Trebuchet MS"/>
                <w:b/>
                <w:color w:val="00AF50"/>
                <w:w w:val="95"/>
                <w:sz w:val="18"/>
              </w:rPr>
              <w:t>-X1.A</w:t>
            </w:r>
          </w:p>
        </w:tc>
      </w:tr>
      <w:tr w:rsidR="00BB11D1" w:rsidTr="00451448">
        <w:trPr>
          <w:trHeight w:val="220"/>
        </w:trPr>
        <w:tc>
          <w:tcPr>
            <w:tcW w:w="2659" w:type="dxa"/>
            <w:shd w:val="clear" w:color="auto" w:fill="DBE4F0"/>
          </w:tcPr>
          <w:p w:rsidR="00BB11D1" w:rsidRDefault="00BB11D1" w:rsidP="00451448">
            <w:pPr>
              <w:pStyle w:val="TableParagraph"/>
              <w:spacing w:before="3" w:line="197" w:lineRule="exact"/>
              <w:ind w:left="107"/>
              <w:rPr>
                <w:sz w:val="18"/>
              </w:rPr>
            </w:pPr>
            <w:r>
              <w:rPr>
                <w:sz w:val="18"/>
              </w:rPr>
              <w:t>A - CB credit to banks</w:t>
            </w:r>
          </w:p>
        </w:tc>
        <w:tc>
          <w:tcPr>
            <w:tcW w:w="1701" w:type="dxa"/>
            <w:shd w:val="clear" w:color="auto" w:fill="DBE4F0"/>
          </w:tcPr>
          <w:p w:rsidR="00BB11D1" w:rsidRDefault="00BB11D1" w:rsidP="00451448">
            <w:pPr>
              <w:pStyle w:val="TableParagraph"/>
              <w:spacing w:before="3" w:line="197" w:lineRule="exact"/>
              <w:ind w:left="74" w:right="64"/>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843" w:type="dxa"/>
            <w:shd w:val="clear" w:color="auto" w:fill="DBE4F0"/>
          </w:tcPr>
          <w:p w:rsidR="00BB11D1" w:rsidRDefault="00BB11D1" w:rsidP="00451448">
            <w:pPr>
              <w:pStyle w:val="TableParagraph"/>
              <w:spacing w:before="3" w:line="197" w:lineRule="exact"/>
              <w:ind w:left="144" w:right="135"/>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701" w:type="dxa"/>
            <w:shd w:val="clear" w:color="auto" w:fill="DBE4F0"/>
          </w:tcPr>
          <w:p w:rsidR="00BB11D1" w:rsidRDefault="00BB11D1" w:rsidP="00451448">
            <w:pPr>
              <w:pStyle w:val="TableParagraph"/>
              <w:spacing w:before="3" w:line="197" w:lineRule="exact"/>
              <w:ind w:left="72" w:right="64"/>
              <w:jc w:val="center"/>
              <w:rPr>
                <w:rFonts w:ascii="Trebuchet MS"/>
                <w:b/>
                <w:sz w:val="18"/>
              </w:rPr>
            </w:pPr>
            <w:r>
              <w:rPr>
                <w:rFonts w:ascii="Trebuchet MS"/>
                <w:b/>
                <w:color w:val="00AF50"/>
                <w:w w:val="95"/>
                <w:sz w:val="18"/>
              </w:rPr>
              <w:t>-X1.A</w:t>
            </w:r>
          </w:p>
        </w:tc>
        <w:tc>
          <w:tcPr>
            <w:tcW w:w="1557" w:type="dxa"/>
            <w:shd w:val="clear" w:color="auto" w:fill="DBE4F0"/>
          </w:tcPr>
          <w:p w:rsidR="00BB11D1" w:rsidRDefault="00BB11D1" w:rsidP="00451448">
            <w:pPr>
              <w:pStyle w:val="TableParagraph"/>
              <w:spacing w:before="3" w:line="197" w:lineRule="exact"/>
              <w:ind w:left="279" w:right="265"/>
              <w:jc w:val="center"/>
              <w:rPr>
                <w:rFonts w:ascii="Trebuchet MS"/>
                <w:b/>
                <w:sz w:val="18"/>
              </w:rPr>
            </w:pPr>
            <w:r>
              <w:rPr>
                <w:rFonts w:ascii="Trebuchet MS"/>
                <w:b/>
                <w:color w:val="00AF50"/>
                <w:w w:val="95"/>
                <w:sz w:val="18"/>
              </w:rPr>
              <w:t>-X1.A</w:t>
            </w:r>
          </w:p>
        </w:tc>
      </w:tr>
      <w:tr w:rsidR="00BB11D1" w:rsidTr="00451448">
        <w:trPr>
          <w:trHeight w:val="217"/>
        </w:trPr>
        <w:tc>
          <w:tcPr>
            <w:tcW w:w="2659" w:type="dxa"/>
            <w:shd w:val="clear" w:color="auto" w:fill="F1DBDB"/>
          </w:tcPr>
          <w:p w:rsidR="00BB11D1" w:rsidRDefault="00BB11D1" w:rsidP="00451448">
            <w:pPr>
              <w:pStyle w:val="TableParagraph"/>
              <w:spacing w:before="1" w:line="197" w:lineRule="exact"/>
              <w:ind w:left="107"/>
              <w:rPr>
                <w:sz w:val="18"/>
              </w:rPr>
            </w:pPr>
            <w:r>
              <w:rPr>
                <w:sz w:val="18"/>
              </w:rPr>
              <w:t>B - Banks change of deposits</w:t>
            </w:r>
          </w:p>
        </w:tc>
        <w:tc>
          <w:tcPr>
            <w:tcW w:w="1701" w:type="dxa"/>
            <w:shd w:val="clear" w:color="auto" w:fill="F1DBDB"/>
          </w:tcPr>
          <w:p w:rsidR="00BB11D1" w:rsidRDefault="00BB11D1" w:rsidP="00451448">
            <w:pPr>
              <w:pStyle w:val="TableParagraph"/>
              <w:spacing w:before="1" w:line="197" w:lineRule="exact"/>
              <w:ind w:left="74" w:right="61"/>
              <w:jc w:val="center"/>
              <w:rPr>
                <w:rFonts w:ascii="Trebuchet MS"/>
                <w:b/>
                <w:sz w:val="18"/>
              </w:rPr>
            </w:pPr>
            <w:r>
              <w:rPr>
                <w:rFonts w:ascii="Trebuchet MS"/>
                <w:b/>
                <w:color w:val="FF0000"/>
                <w:w w:val="95"/>
                <w:sz w:val="18"/>
              </w:rPr>
              <w:t>-X2.B</w:t>
            </w:r>
          </w:p>
        </w:tc>
        <w:tc>
          <w:tcPr>
            <w:tcW w:w="1843" w:type="dxa"/>
            <w:shd w:val="clear" w:color="auto" w:fill="F1DBDB"/>
          </w:tcPr>
          <w:p w:rsidR="00BB11D1" w:rsidRDefault="00BB11D1" w:rsidP="00451448">
            <w:pPr>
              <w:pStyle w:val="TableParagraph"/>
              <w:spacing w:before="1" w:line="197" w:lineRule="exact"/>
              <w:ind w:left="144" w:right="133"/>
              <w:jc w:val="center"/>
              <w:rPr>
                <w:rFonts w:ascii="Trebuchet MS"/>
                <w:b/>
                <w:sz w:val="18"/>
              </w:rPr>
            </w:pPr>
            <w:r>
              <w:rPr>
                <w:rFonts w:ascii="Trebuchet MS"/>
                <w:b/>
                <w:color w:val="FF0000"/>
                <w:w w:val="95"/>
                <w:sz w:val="18"/>
              </w:rPr>
              <w:t>-X2.B</w:t>
            </w:r>
          </w:p>
        </w:tc>
        <w:tc>
          <w:tcPr>
            <w:tcW w:w="1701" w:type="dxa"/>
            <w:shd w:val="clear" w:color="auto" w:fill="F1DBDB"/>
          </w:tcPr>
          <w:p w:rsidR="00BB11D1" w:rsidRDefault="00BB11D1" w:rsidP="00451448">
            <w:pPr>
              <w:pStyle w:val="TableParagraph"/>
              <w:spacing w:before="1" w:line="197" w:lineRule="exact"/>
              <w:ind w:left="74" w:right="64"/>
              <w:jc w:val="center"/>
              <w:rPr>
                <w:rFonts w:ascii="Trebuchet MS"/>
                <w:b/>
                <w:sz w:val="18"/>
              </w:rPr>
            </w:pPr>
            <w:r>
              <w:rPr>
                <w:rFonts w:ascii="Trebuchet MS"/>
                <w:b/>
                <w:color w:val="FF0000"/>
                <w:w w:val="95"/>
                <w:sz w:val="18"/>
              </w:rPr>
              <w:t>-X2.B</w:t>
            </w:r>
          </w:p>
        </w:tc>
        <w:tc>
          <w:tcPr>
            <w:tcW w:w="1557" w:type="dxa"/>
            <w:shd w:val="clear" w:color="auto" w:fill="F1DBDB"/>
          </w:tcPr>
          <w:p w:rsidR="00BB11D1" w:rsidRDefault="00BB11D1" w:rsidP="00451448">
            <w:pPr>
              <w:pStyle w:val="TableParagraph"/>
              <w:spacing w:before="1" w:line="197" w:lineRule="exact"/>
              <w:ind w:left="279" w:right="263"/>
              <w:jc w:val="center"/>
              <w:rPr>
                <w:rFonts w:ascii="Trebuchet MS"/>
                <w:b/>
                <w:sz w:val="18"/>
              </w:rPr>
            </w:pPr>
            <w:r>
              <w:rPr>
                <w:rFonts w:ascii="Trebuchet MS"/>
                <w:b/>
                <w:color w:val="FF0000"/>
                <w:w w:val="95"/>
                <w:sz w:val="18"/>
              </w:rPr>
              <w:t>-X2.B</w:t>
            </w:r>
          </w:p>
        </w:tc>
      </w:tr>
      <w:tr w:rsidR="00BB11D1" w:rsidTr="00451448">
        <w:trPr>
          <w:trHeight w:val="220"/>
        </w:trPr>
        <w:tc>
          <w:tcPr>
            <w:tcW w:w="2659" w:type="dxa"/>
            <w:shd w:val="clear" w:color="auto" w:fill="F1DBDB"/>
          </w:tcPr>
          <w:p w:rsidR="00BB11D1" w:rsidRDefault="00BB11D1" w:rsidP="00451448">
            <w:pPr>
              <w:pStyle w:val="TableParagraph"/>
              <w:spacing w:before="3" w:line="197" w:lineRule="exact"/>
              <w:ind w:left="107"/>
              <w:rPr>
                <w:sz w:val="18"/>
              </w:rPr>
            </w:pPr>
            <w:r>
              <w:rPr>
                <w:sz w:val="18"/>
              </w:rPr>
              <w:t>B - Length of CB balance sheet</w:t>
            </w:r>
          </w:p>
        </w:tc>
        <w:tc>
          <w:tcPr>
            <w:tcW w:w="1701" w:type="dxa"/>
            <w:shd w:val="clear" w:color="auto" w:fill="F1DBDB"/>
          </w:tcPr>
          <w:p w:rsidR="00BB11D1" w:rsidRDefault="00BB11D1" w:rsidP="00451448">
            <w:pPr>
              <w:pStyle w:val="TableParagraph"/>
              <w:spacing w:before="3" w:line="197" w:lineRule="exact"/>
              <w:ind w:left="74" w:right="61"/>
              <w:jc w:val="center"/>
              <w:rPr>
                <w:rFonts w:ascii="Trebuchet MS"/>
                <w:b/>
                <w:sz w:val="18"/>
              </w:rPr>
            </w:pPr>
            <w:r>
              <w:rPr>
                <w:rFonts w:ascii="Trebuchet MS"/>
                <w:b/>
                <w:color w:val="00AF50"/>
                <w:w w:val="95"/>
                <w:sz w:val="18"/>
              </w:rPr>
              <w:t>-X1.B</w:t>
            </w:r>
          </w:p>
        </w:tc>
        <w:tc>
          <w:tcPr>
            <w:tcW w:w="1843" w:type="dxa"/>
            <w:shd w:val="clear" w:color="auto" w:fill="F1DBDB"/>
          </w:tcPr>
          <w:p w:rsidR="00BB11D1" w:rsidRDefault="00BB11D1" w:rsidP="00451448">
            <w:pPr>
              <w:pStyle w:val="TableParagraph"/>
              <w:spacing w:before="3" w:line="197" w:lineRule="exact"/>
              <w:ind w:left="144" w:right="133"/>
              <w:jc w:val="center"/>
              <w:rPr>
                <w:rFonts w:ascii="Trebuchet MS"/>
                <w:b/>
                <w:sz w:val="18"/>
              </w:rPr>
            </w:pPr>
            <w:r>
              <w:rPr>
                <w:rFonts w:ascii="Trebuchet MS"/>
                <w:b/>
                <w:color w:val="00AF50"/>
                <w:w w:val="95"/>
                <w:sz w:val="18"/>
              </w:rPr>
              <w:t>-X1.B</w:t>
            </w:r>
          </w:p>
        </w:tc>
        <w:tc>
          <w:tcPr>
            <w:tcW w:w="1701" w:type="dxa"/>
            <w:shd w:val="clear" w:color="auto" w:fill="F1DBDB"/>
          </w:tcPr>
          <w:p w:rsidR="00BB11D1" w:rsidRDefault="00BB11D1" w:rsidP="00451448">
            <w:pPr>
              <w:pStyle w:val="TableParagraph"/>
              <w:spacing w:before="3" w:line="197" w:lineRule="exact"/>
              <w:ind w:left="74" w:right="64"/>
              <w:jc w:val="center"/>
              <w:rPr>
                <w:rFonts w:ascii="Trebuchet MS"/>
                <w:b/>
                <w:sz w:val="18"/>
              </w:rPr>
            </w:pPr>
            <w:r>
              <w:rPr>
                <w:rFonts w:ascii="Trebuchet MS"/>
                <w:b/>
                <w:color w:val="00AF50"/>
                <w:w w:val="95"/>
                <w:sz w:val="18"/>
              </w:rPr>
              <w:t>-X1.B</w:t>
            </w:r>
          </w:p>
        </w:tc>
        <w:tc>
          <w:tcPr>
            <w:tcW w:w="1557" w:type="dxa"/>
            <w:shd w:val="clear" w:color="auto" w:fill="F1DBDB"/>
          </w:tcPr>
          <w:p w:rsidR="00BB11D1" w:rsidRDefault="00BB11D1" w:rsidP="00451448">
            <w:pPr>
              <w:pStyle w:val="TableParagraph"/>
              <w:spacing w:before="3" w:line="197" w:lineRule="exact"/>
              <w:ind w:left="279" w:right="263"/>
              <w:jc w:val="center"/>
              <w:rPr>
                <w:rFonts w:ascii="Trebuchet MS"/>
                <w:b/>
                <w:sz w:val="18"/>
              </w:rPr>
            </w:pPr>
            <w:r>
              <w:rPr>
                <w:rFonts w:ascii="Trebuchet MS"/>
                <w:b/>
                <w:color w:val="00AF50"/>
                <w:w w:val="95"/>
                <w:sz w:val="18"/>
              </w:rPr>
              <w:t>-X1.B</w:t>
            </w:r>
          </w:p>
        </w:tc>
      </w:tr>
      <w:tr w:rsidR="00BB11D1" w:rsidTr="00451448">
        <w:trPr>
          <w:trHeight w:val="244"/>
        </w:trPr>
        <w:tc>
          <w:tcPr>
            <w:tcW w:w="2659" w:type="dxa"/>
            <w:shd w:val="clear" w:color="auto" w:fill="F1DBDB"/>
          </w:tcPr>
          <w:p w:rsidR="00BB11D1" w:rsidRDefault="00BB11D1" w:rsidP="00451448">
            <w:pPr>
              <w:pStyle w:val="TableParagraph"/>
              <w:spacing w:before="3"/>
              <w:ind w:left="107"/>
              <w:rPr>
                <w:sz w:val="18"/>
              </w:rPr>
            </w:pPr>
            <w:r>
              <w:rPr>
                <w:sz w:val="18"/>
              </w:rPr>
              <w:t>B - CB credit to banks</w:t>
            </w:r>
          </w:p>
        </w:tc>
        <w:tc>
          <w:tcPr>
            <w:tcW w:w="1701" w:type="dxa"/>
            <w:shd w:val="clear" w:color="auto" w:fill="F1DBDB"/>
          </w:tcPr>
          <w:p w:rsidR="00BB11D1" w:rsidRDefault="00BB11D1" w:rsidP="00451448">
            <w:pPr>
              <w:pStyle w:val="TableParagraph"/>
              <w:spacing w:before="3"/>
              <w:ind w:left="74" w:right="61"/>
              <w:jc w:val="center"/>
              <w:rPr>
                <w:rFonts w:ascii="Trebuchet MS"/>
                <w:b/>
                <w:sz w:val="18"/>
              </w:rPr>
            </w:pPr>
            <w:r>
              <w:rPr>
                <w:rFonts w:ascii="Trebuchet MS"/>
                <w:b/>
                <w:color w:val="00AF50"/>
                <w:w w:val="95"/>
                <w:sz w:val="18"/>
              </w:rPr>
              <w:t>-X1.B</w:t>
            </w:r>
          </w:p>
        </w:tc>
        <w:tc>
          <w:tcPr>
            <w:tcW w:w="1843" w:type="dxa"/>
            <w:shd w:val="clear" w:color="auto" w:fill="F1DBDB"/>
          </w:tcPr>
          <w:p w:rsidR="00BB11D1" w:rsidRDefault="00BB11D1" w:rsidP="00451448">
            <w:pPr>
              <w:pStyle w:val="TableParagraph"/>
              <w:spacing w:before="3"/>
              <w:ind w:left="144" w:right="133"/>
              <w:jc w:val="center"/>
              <w:rPr>
                <w:rFonts w:ascii="Trebuchet MS"/>
                <w:b/>
                <w:sz w:val="18"/>
              </w:rPr>
            </w:pPr>
            <w:r>
              <w:rPr>
                <w:rFonts w:ascii="Trebuchet MS"/>
                <w:b/>
                <w:color w:val="FF0000"/>
                <w:w w:val="95"/>
                <w:sz w:val="18"/>
              </w:rPr>
              <w:t>+X2.B</w:t>
            </w:r>
          </w:p>
        </w:tc>
        <w:tc>
          <w:tcPr>
            <w:tcW w:w="1701" w:type="dxa"/>
            <w:shd w:val="clear" w:color="auto" w:fill="F1DBDB"/>
          </w:tcPr>
          <w:p w:rsidR="00BB11D1" w:rsidRDefault="00BB11D1" w:rsidP="00451448">
            <w:pPr>
              <w:pStyle w:val="TableParagraph"/>
              <w:spacing w:before="3"/>
              <w:ind w:left="74" w:right="64"/>
              <w:jc w:val="center"/>
              <w:rPr>
                <w:rFonts w:ascii="Trebuchet MS"/>
                <w:b/>
                <w:sz w:val="18"/>
              </w:rPr>
            </w:pPr>
            <w:r>
              <w:rPr>
                <w:rFonts w:ascii="Trebuchet MS"/>
                <w:b/>
                <w:color w:val="00AF50"/>
                <w:w w:val="95"/>
                <w:sz w:val="18"/>
              </w:rPr>
              <w:t>-X1.B</w:t>
            </w:r>
          </w:p>
        </w:tc>
        <w:tc>
          <w:tcPr>
            <w:tcW w:w="1557" w:type="dxa"/>
            <w:shd w:val="clear" w:color="auto" w:fill="F1DBDB"/>
          </w:tcPr>
          <w:p w:rsidR="00BB11D1" w:rsidRDefault="00BB11D1" w:rsidP="00451448">
            <w:pPr>
              <w:pStyle w:val="TableParagraph"/>
              <w:spacing w:before="4" w:line="220" w:lineRule="exact"/>
              <w:ind w:left="279" w:right="265"/>
              <w:jc w:val="center"/>
              <w:rPr>
                <w:rFonts w:ascii="Trebuchet MS"/>
                <w:b/>
                <w:sz w:val="20"/>
              </w:rPr>
            </w:pPr>
            <w:r>
              <w:rPr>
                <w:rFonts w:ascii="Trebuchet MS"/>
                <w:b/>
                <w:color w:val="FF0000"/>
                <w:w w:val="95"/>
                <w:sz w:val="20"/>
              </w:rPr>
              <w:t>+X2.B</w:t>
            </w:r>
          </w:p>
        </w:tc>
      </w:tr>
      <w:tr w:rsidR="00BB11D1" w:rsidTr="00451448">
        <w:trPr>
          <w:trHeight w:val="244"/>
        </w:trPr>
        <w:tc>
          <w:tcPr>
            <w:tcW w:w="2659" w:type="dxa"/>
            <w:shd w:val="clear" w:color="auto" w:fill="F1DBDB"/>
          </w:tcPr>
          <w:p w:rsidR="00BB11D1" w:rsidRDefault="00BB11D1" w:rsidP="00451448">
            <w:pPr>
              <w:pStyle w:val="TableParagraph"/>
              <w:spacing w:before="3"/>
              <w:ind w:left="107"/>
              <w:rPr>
                <w:sz w:val="18"/>
              </w:rPr>
            </w:pPr>
            <w:r>
              <w:rPr>
                <w:sz w:val="18"/>
              </w:rPr>
              <w:t>B</w:t>
            </w:r>
            <w:r>
              <w:rPr>
                <w:spacing w:val="-37"/>
                <w:sz w:val="18"/>
              </w:rPr>
              <w:t xml:space="preserve"> </w:t>
            </w:r>
            <w:r>
              <w:rPr>
                <w:sz w:val="18"/>
              </w:rPr>
              <w:t>-</w:t>
            </w:r>
            <w:r>
              <w:rPr>
                <w:spacing w:val="-36"/>
                <w:sz w:val="18"/>
              </w:rPr>
              <w:t xml:space="preserve"> </w:t>
            </w:r>
            <w:r>
              <w:rPr>
                <w:sz w:val="18"/>
              </w:rPr>
              <w:t>CB</w:t>
            </w:r>
            <w:r>
              <w:rPr>
                <w:spacing w:val="-37"/>
                <w:sz w:val="18"/>
              </w:rPr>
              <w:t xml:space="preserve"> </w:t>
            </w:r>
            <w:r>
              <w:rPr>
                <w:sz w:val="18"/>
              </w:rPr>
              <w:t>change</w:t>
            </w:r>
            <w:r>
              <w:rPr>
                <w:spacing w:val="-36"/>
                <w:sz w:val="18"/>
              </w:rPr>
              <w:t xml:space="preserve"> </w:t>
            </w:r>
            <w:r>
              <w:rPr>
                <w:sz w:val="18"/>
              </w:rPr>
              <w:t>of</w:t>
            </w:r>
            <w:r>
              <w:rPr>
                <w:spacing w:val="-36"/>
                <w:sz w:val="18"/>
              </w:rPr>
              <w:t xml:space="preserve"> </w:t>
            </w:r>
            <w:r>
              <w:rPr>
                <w:sz w:val="18"/>
              </w:rPr>
              <w:t>foreign</w:t>
            </w:r>
            <w:r>
              <w:rPr>
                <w:spacing w:val="-37"/>
                <w:sz w:val="18"/>
              </w:rPr>
              <w:t xml:space="preserve"> </w:t>
            </w:r>
            <w:r>
              <w:rPr>
                <w:sz w:val="18"/>
              </w:rPr>
              <w:t>reserves</w:t>
            </w:r>
          </w:p>
        </w:tc>
        <w:tc>
          <w:tcPr>
            <w:tcW w:w="1701" w:type="dxa"/>
            <w:shd w:val="clear" w:color="auto" w:fill="F1DBDB"/>
          </w:tcPr>
          <w:p w:rsidR="00BB11D1" w:rsidRDefault="00BB11D1" w:rsidP="00451448">
            <w:pPr>
              <w:pStyle w:val="TableParagraph"/>
              <w:rPr>
                <w:rFonts w:ascii="Times New Roman"/>
                <w:sz w:val="16"/>
              </w:rPr>
            </w:pPr>
          </w:p>
        </w:tc>
        <w:tc>
          <w:tcPr>
            <w:tcW w:w="1843" w:type="dxa"/>
            <w:shd w:val="clear" w:color="auto" w:fill="F1DBDB"/>
          </w:tcPr>
          <w:p w:rsidR="00BB11D1" w:rsidRDefault="00BB11D1" w:rsidP="00451448">
            <w:pPr>
              <w:pStyle w:val="TableParagraph"/>
              <w:spacing w:before="3"/>
              <w:ind w:left="144" w:right="135"/>
              <w:jc w:val="center"/>
              <w:rPr>
                <w:rFonts w:ascii="Trebuchet MS"/>
                <w:b/>
                <w:sz w:val="18"/>
              </w:rPr>
            </w:pPr>
            <w:r>
              <w:rPr>
                <w:rFonts w:ascii="Trebuchet MS"/>
                <w:b/>
                <w:color w:val="00AF50"/>
                <w:w w:val="95"/>
                <w:sz w:val="18"/>
              </w:rPr>
              <w:t xml:space="preserve">-X1.B </w:t>
            </w:r>
            <w:r>
              <w:rPr>
                <w:rFonts w:ascii="Trebuchet MS"/>
                <w:b/>
                <w:color w:val="FF0000"/>
                <w:w w:val="95"/>
                <w:sz w:val="18"/>
              </w:rPr>
              <w:t>-X2.B</w:t>
            </w:r>
          </w:p>
        </w:tc>
        <w:tc>
          <w:tcPr>
            <w:tcW w:w="1701" w:type="dxa"/>
            <w:shd w:val="clear" w:color="auto" w:fill="F1DBDB"/>
          </w:tcPr>
          <w:p w:rsidR="00BB11D1" w:rsidRDefault="00BB11D1" w:rsidP="00451448">
            <w:pPr>
              <w:pStyle w:val="TableParagraph"/>
              <w:rPr>
                <w:rFonts w:ascii="Times New Roman"/>
                <w:sz w:val="16"/>
              </w:rPr>
            </w:pPr>
          </w:p>
        </w:tc>
        <w:tc>
          <w:tcPr>
            <w:tcW w:w="1557" w:type="dxa"/>
            <w:shd w:val="clear" w:color="auto" w:fill="F1DBDB"/>
          </w:tcPr>
          <w:p w:rsidR="00BB11D1" w:rsidRDefault="00BB11D1" w:rsidP="00451448">
            <w:pPr>
              <w:pStyle w:val="TableParagraph"/>
              <w:spacing w:before="4" w:line="220" w:lineRule="exact"/>
              <w:ind w:left="279" w:right="268"/>
              <w:jc w:val="center"/>
              <w:rPr>
                <w:rFonts w:ascii="Trebuchet MS"/>
                <w:b/>
                <w:sz w:val="20"/>
              </w:rPr>
            </w:pPr>
            <w:r>
              <w:rPr>
                <w:rFonts w:ascii="Trebuchet MS"/>
                <w:b/>
                <w:color w:val="00AF50"/>
                <w:w w:val="95"/>
                <w:sz w:val="18"/>
              </w:rPr>
              <w:t xml:space="preserve">-X1.B </w:t>
            </w:r>
            <w:r>
              <w:rPr>
                <w:rFonts w:ascii="Trebuchet MS"/>
                <w:b/>
                <w:color w:val="FF0000"/>
                <w:w w:val="95"/>
                <w:sz w:val="20"/>
              </w:rPr>
              <w:t>-X2.B</w:t>
            </w:r>
          </w:p>
        </w:tc>
      </w:tr>
      <w:tr w:rsidR="00BB11D1" w:rsidTr="00451448">
        <w:trPr>
          <w:trHeight w:val="438"/>
        </w:trPr>
        <w:tc>
          <w:tcPr>
            <w:tcW w:w="2659" w:type="dxa"/>
          </w:tcPr>
          <w:p w:rsidR="00BB11D1" w:rsidRDefault="00BB11D1" w:rsidP="00451448">
            <w:pPr>
              <w:pStyle w:val="TableParagraph"/>
              <w:spacing w:before="3"/>
              <w:ind w:left="107"/>
              <w:rPr>
                <w:sz w:val="18"/>
              </w:rPr>
            </w:pPr>
            <w:r>
              <w:rPr>
                <w:sz w:val="18"/>
              </w:rPr>
              <w:t>Impact on exchange rate</w:t>
            </w:r>
          </w:p>
        </w:tc>
        <w:tc>
          <w:tcPr>
            <w:tcW w:w="1701" w:type="dxa"/>
          </w:tcPr>
          <w:p w:rsidR="00BB11D1" w:rsidRDefault="00BB11D1" w:rsidP="00451448">
            <w:pPr>
              <w:pStyle w:val="TableParagraph"/>
              <w:spacing w:before="3"/>
              <w:ind w:left="458"/>
              <w:rPr>
                <w:sz w:val="18"/>
              </w:rPr>
            </w:pPr>
            <w:r>
              <w:rPr>
                <w:sz w:val="18"/>
              </w:rPr>
              <w:t>B-currency</w:t>
            </w:r>
          </w:p>
          <w:p w:rsidR="00BB11D1" w:rsidRDefault="00BB11D1" w:rsidP="00451448">
            <w:pPr>
              <w:pStyle w:val="TableParagraph"/>
              <w:spacing w:before="12" w:line="197" w:lineRule="exact"/>
              <w:ind w:left="424"/>
              <w:rPr>
                <w:sz w:val="18"/>
              </w:rPr>
            </w:pPr>
            <w:r>
              <w:rPr>
                <w:sz w:val="18"/>
              </w:rPr>
              <w:t>depreciates</w:t>
            </w:r>
          </w:p>
        </w:tc>
        <w:tc>
          <w:tcPr>
            <w:tcW w:w="1843" w:type="dxa"/>
          </w:tcPr>
          <w:p w:rsidR="00BB11D1" w:rsidRDefault="00BB11D1" w:rsidP="00451448">
            <w:pPr>
              <w:pStyle w:val="TableParagraph"/>
              <w:rPr>
                <w:rFonts w:ascii="Times New Roman"/>
                <w:sz w:val="20"/>
              </w:rPr>
            </w:pPr>
          </w:p>
        </w:tc>
        <w:tc>
          <w:tcPr>
            <w:tcW w:w="1701" w:type="dxa"/>
          </w:tcPr>
          <w:p w:rsidR="00BB11D1" w:rsidRDefault="00BB11D1" w:rsidP="00451448">
            <w:pPr>
              <w:pStyle w:val="TableParagraph"/>
              <w:spacing w:before="3"/>
              <w:ind w:left="456"/>
              <w:rPr>
                <w:sz w:val="18"/>
              </w:rPr>
            </w:pPr>
            <w:r>
              <w:rPr>
                <w:sz w:val="18"/>
              </w:rPr>
              <w:t>B-currency</w:t>
            </w:r>
          </w:p>
          <w:p w:rsidR="00BB11D1" w:rsidRDefault="00BB11D1" w:rsidP="00451448">
            <w:pPr>
              <w:pStyle w:val="TableParagraph"/>
              <w:spacing w:before="12" w:line="197" w:lineRule="exact"/>
              <w:ind w:left="423"/>
              <w:rPr>
                <w:sz w:val="18"/>
              </w:rPr>
            </w:pPr>
            <w:r>
              <w:rPr>
                <w:sz w:val="18"/>
              </w:rPr>
              <w:t>depreciates</w:t>
            </w:r>
          </w:p>
        </w:tc>
        <w:tc>
          <w:tcPr>
            <w:tcW w:w="1557" w:type="dxa"/>
          </w:tcPr>
          <w:p w:rsidR="00BB11D1" w:rsidRDefault="00BB11D1" w:rsidP="00451448">
            <w:pPr>
              <w:pStyle w:val="TableParagraph"/>
              <w:rPr>
                <w:rFonts w:ascii="Times New Roman"/>
                <w:sz w:val="20"/>
              </w:rPr>
            </w:pPr>
          </w:p>
        </w:tc>
      </w:tr>
    </w:tbl>
    <w:p w:rsidR="000255A4" w:rsidRPr="00BB11D1" w:rsidRDefault="000255A4" w:rsidP="006A2441">
      <w:pPr>
        <w:pStyle w:val="BodyText"/>
        <w:bidi/>
        <w:rPr>
          <w:rFonts w:asciiTheme="majorBidi" w:hAnsiTheme="majorBidi" w:cstheme="majorBidi"/>
          <w:i/>
        </w:rPr>
      </w:pPr>
    </w:p>
    <w:p w:rsidR="000255A4" w:rsidRPr="00BB11D1" w:rsidRDefault="000255A4" w:rsidP="006A2441">
      <w:pPr>
        <w:pStyle w:val="BodyText"/>
        <w:bidi/>
        <w:spacing w:before="10"/>
        <w:rPr>
          <w:rFonts w:asciiTheme="majorBidi" w:hAnsiTheme="majorBidi" w:cstheme="majorBidi"/>
          <w:i/>
          <w:sz w:val="24"/>
        </w:rPr>
      </w:pPr>
    </w:p>
    <w:p w:rsidR="00BB11D1" w:rsidRPr="00BB11D1" w:rsidRDefault="00BB11D1" w:rsidP="00BB11D1">
      <w:pPr>
        <w:bidi/>
        <w:spacing w:line="480" w:lineRule="auto"/>
        <w:jc w:val="mediumKashida"/>
        <w:rPr>
          <w:rFonts w:asciiTheme="majorBidi" w:hAnsiTheme="majorBidi" w:cstheme="majorBidi"/>
        </w:rPr>
      </w:pPr>
      <w:r w:rsidRPr="00BB11D1">
        <w:rPr>
          <w:rFonts w:asciiTheme="majorBidi" w:hAnsiTheme="majorBidi" w:cstheme="majorBidi"/>
          <w:rtl/>
          <w:lang w:bidi="ar-SA"/>
        </w:rPr>
        <w:t>يمكن تسليط الضوء على الملاحظات التالية من هذا التحليل للاستخدام الدولي غير المتماثل لأشكال النقود الرقمية الجديدة:</w:t>
      </w:r>
    </w:p>
    <w:p w:rsidR="00BB11D1" w:rsidRPr="00BB11D1" w:rsidRDefault="00BB11D1" w:rsidP="00BB11D1">
      <w:pPr>
        <w:pStyle w:val="ListParagraph"/>
        <w:numPr>
          <w:ilvl w:val="0"/>
          <w:numId w:val="17"/>
        </w:numPr>
        <w:bidi/>
        <w:spacing w:line="480" w:lineRule="auto"/>
        <w:jc w:val="mediumKashida"/>
        <w:rPr>
          <w:rFonts w:asciiTheme="majorBidi" w:hAnsiTheme="majorBidi" w:cstheme="majorBidi"/>
        </w:rPr>
      </w:pPr>
      <w:r w:rsidRPr="00BB11D1">
        <w:rPr>
          <w:rFonts w:asciiTheme="majorBidi" w:hAnsiTheme="majorBidi" w:cstheme="majorBidi"/>
          <w:rtl/>
          <w:lang w:bidi="ar-SA"/>
        </w:rPr>
        <w:t xml:space="preserve">تفقد البنوك جزءًا من ودائع أسرتها في كلا البلدين وبشكل مستقل عن نظام سعر الصرف. تتوافق الخسارة مع الودائع التي تحل محلها الأسر في شكل جديد من النقود الرقمية. تنشأ خسارة إضافية للبنوك في البلد أ (البلد الذي يصدر البنك المركزي للتداول المستخدم دوليا): هناك بالإضافة إلى ذلك تدفقات خارجية من ودائع البنك المركزي الأجنبي تحدث حيث يرى البنك ب المركزي احتياطياته الأجنبية تنخفض بمقدار الدولة المصدرة حيازات </w:t>
      </w:r>
      <w:r w:rsidRPr="00BB11D1">
        <w:rPr>
          <w:rFonts w:asciiTheme="majorBidi" w:hAnsiTheme="majorBidi" w:cstheme="majorBidi"/>
        </w:rPr>
        <w:t>CBDC</w:t>
      </w:r>
      <w:r w:rsidRPr="00BB11D1">
        <w:rPr>
          <w:rFonts w:asciiTheme="majorBidi" w:hAnsiTheme="majorBidi" w:cstheme="majorBidi"/>
          <w:rtl/>
          <w:lang w:bidi="ar-SA"/>
        </w:rPr>
        <w:t xml:space="preserve"> للأسر </w:t>
      </w:r>
      <w:r w:rsidRPr="00BB11D1">
        <w:rPr>
          <w:rFonts w:asciiTheme="majorBidi" w:hAnsiTheme="majorBidi" w:cstheme="majorBidi"/>
        </w:rPr>
        <w:t>B</w:t>
      </w:r>
      <w:r w:rsidRPr="00BB11D1">
        <w:rPr>
          <w:rFonts w:asciiTheme="majorBidi" w:hAnsiTheme="majorBidi" w:cstheme="majorBidi"/>
          <w:rtl/>
          <w:lang w:bidi="ar-SA"/>
        </w:rPr>
        <w:t xml:space="preserve"> (افتراض أن جميع الاحتياطيات الأجنبية في شكل ودائع هو تبسيط قوي).</w:t>
      </w:r>
    </w:p>
    <w:p w:rsidR="00BB11D1" w:rsidRPr="00BB11D1" w:rsidRDefault="00BB11D1" w:rsidP="00BB11D1">
      <w:pPr>
        <w:pStyle w:val="ListParagraph"/>
        <w:numPr>
          <w:ilvl w:val="0"/>
          <w:numId w:val="17"/>
        </w:numPr>
        <w:bidi/>
        <w:spacing w:line="480" w:lineRule="auto"/>
        <w:jc w:val="mediumKashida"/>
        <w:rPr>
          <w:rFonts w:asciiTheme="majorBidi" w:hAnsiTheme="majorBidi" w:cstheme="majorBidi"/>
        </w:rPr>
      </w:pPr>
      <w:r w:rsidRPr="00BB11D1">
        <w:rPr>
          <w:rFonts w:asciiTheme="majorBidi" w:hAnsiTheme="majorBidi" w:cstheme="majorBidi"/>
          <w:rtl/>
          <w:lang w:bidi="ar-SA"/>
        </w:rPr>
        <w:t xml:space="preserve"> يتراجع طول ميزانيات البنك المركزي في جميع الحالات حسب قيمة الأوراق النقدية التي تحل محلها العملة الرقمية الجديدة - باستثناء البنك المركزي الذي يصدر </w:t>
      </w:r>
      <w:r w:rsidRPr="00BB11D1">
        <w:rPr>
          <w:rFonts w:asciiTheme="majorBidi" w:hAnsiTheme="majorBidi" w:cstheme="majorBidi"/>
        </w:rPr>
        <w:t>CBDC</w:t>
      </w:r>
      <w:r w:rsidRPr="00BB11D1">
        <w:rPr>
          <w:rFonts w:asciiTheme="majorBidi" w:hAnsiTheme="majorBidi" w:cstheme="majorBidi"/>
          <w:rtl/>
          <w:lang w:bidi="ar-SA"/>
        </w:rPr>
        <w:t xml:space="preserve"> (المستخدم دوليا). تتوسع الميزانية العمومية لهذا البنك المركزي ، بشكل مستقل عن نظام العملات الأجنبية.</w:t>
      </w:r>
    </w:p>
    <w:p w:rsidR="00BB11D1" w:rsidRPr="00BB11D1" w:rsidRDefault="00BB11D1" w:rsidP="00BB11D1">
      <w:pPr>
        <w:pStyle w:val="ListParagraph"/>
        <w:numPr>
          <w:ilvl w:val="0"/>
          <w:numId w:val="17"/>
        </w:numPr>
        <w:bidi/>
        <w:spacing w:line="480" w:lineRule="auto"/>
        <w:jc w:val="mediumKashida"/>
        <w:rPr>
          <w:rFonts w:asciiTheme="majorBidi" w:hAnsiTheme="majorBidi" w:cstheme="majorBidi"/>
        </w:rPr>
      </w:pPr>
      <w:r w:rsidRPr="00BB11D1">
        <w:rPr>
          <w:rFonts w:asciiTheme="majorBidi" w:hAnsiTheme="majorBidi" w:cstheme="majorBidi"/>
          <w:rtl/>
          <w:lang w:bidi="ar-SA"/>
        </w:rPr>
        <w:t xml:space="preserve">يمكن أن يزيد الاعتماد المطلوب من البنوك على ائتمان البنك المركزي أو ينقص. إنها تزداد قوة بالنسبة للبنوك في الدولة التي يتم فيها استخدام </w:t>
      </w:r>
      <w:r w:rsidRPr="00BB11D1">
        <w:rPr>
          <w:rFonts w:asciiTheme="majorBidi" w:hAnsiTheme="majorBidi" w:cstheme="majorBidi"/>
        </w:rPr>
        <w:t>CBDC</w:t>
      </w:r>
      <w:r w:rsidRPr="00BB11D1">
        <w:rPr>
          <w:rFonts w:asciiTheme="majorBidi" w:hAnsiTheme="majorBidi" w:cstheme="majorBidi"/>
          <w:rtl/>
          <w:lang w:bidi="ar-SA"/>
        </w:rPr>
        <w:t xml:space="preserve"> المستخدم دولياً (بغض النظر عن نظام العملات الأجنبية). كما أنه يزداد ، على الرغم من ذلك بدرجة أقل ، في الدولة </w:t>
      </w:r>
      <w:r w:rsidRPr="00BB11D1">
        <w:rPr>
          <w:rFonts w:asciiTheme="majorBidi" w:hAnsiTheme="majorBidi" w:cstheme="majorBidi"/>
        </w:rPr>
        <w:t>B</w:t>
      </w:r>
      <w:r w:rsidRPr="00BB11D1">
        <w:rPr>
          <w:rFonts w:asciiTheme="majorBidi" w:hAnsiTheme="majorBidi" w:cstheme="majorBidi"/>
          <w:rtl/>
          <w:lang w:bidi="ar-SA"/>
        </w:rPr>
        <w:t xml:space="preserve"> وفقًا لنظام سعر الصرف الثابت ، حيث أن فقدان الاحتياطيات الأجنبية يسيطر على انخفاض كمية الأوراق النقدية المحلية. يتناقص بمقدار مبلغ استبدال الأوراق النقدية المحلية في حالة البلد </w:t>
      </w:r>
      <w:r w:rsidRPr="00BB11D1">
        <w:rPr>
          <w:rFonts w:asciiTheme="majorBidi" w:hAnsiTheme="majorBidi" w:cstheme="majorBidi"/>
        </w:rPr>
        <w:t>B</w:t>
      </w:r>
      <w:r w:rsidRPr="00BB11D1">
        <w:rPr>
          <w:rFonts w:asciiTheme="majorBidi" w:hAnsiTheme="majorBidi" w:cstheme="majorBidi"/>
          <w:rtl/>
          <w:lang w:bidi="ar-SA"/>
        </w:rPr>
        <w:t xml:space="preserve"> من أجل </w:t>
      </w:r>
      <w:r w:rsidRPr="00BB11D1">
        <w:rPr>
          <w:rFonts w:asciiTheme="majorBidi" w:hAnsiTheme="majorBidi" w:cstheme="majorBidi"/>
        </w:rPr>
        <w:t>CBDC</w:t>
      </w:r>
      <w:r w:rsidRPr="00BB11D1">
        <w:rPr>
          <w:rFonts w:asciiTheme="majorBidi" w:hAnsiTheme="majorBidi" w:cstheme="majorBidi"/>
          <w:rtl/>
          <w:lang w:bidi="ar-SA"/>
        </w:rPr>
        <w:t xml:space="preserve"> وتحت أسعار صرف مرنة ، في حالة كل من الدولتين </w:t>
      </w:r>
      <w:r w:rsidRPr="00BB11D1">
        <w:rPr>
          <w:rFonts w:asciiTheme="majorBidi" w:hAnsiTheme="majorBidi" w:cstheme="majorBidi"/>
        </w:rPr>
        <w:t>A</w:t>
      </w:r>
      <w:r w:rsidRPr="00BB11D1">
        <w:rPr>
          <w:rFonts w:asciiTheme="majorBidi" w:hAnsiTheme="majorBidi" w:cstheme="majorBidi"/>
          <w:rtl/>
          <w:lang w:bidi="ar-SA"/>
        </w:rPr>
        <w:t xml:space="preserve"> و </w:t>
      </w:r>
      <w:r w:rsidRPr="00BB11D1">
        <w:rPr>
          <w:rFonts w:asciiTheme="majorBidi" w:hAnsiTheme="majorBidi" w:cstheme="majorBidi"/>
        </w:rPr>
        <w:t>B</w:t>
      </w:r>
      <w:r w:rsidRPr="00BB11D1">
        <w:rPr>
          <w:rFonts w:asciiTheme="majorBidi" w:hAnsiTheme="majorBidi" w:cstheme="majorBidi"/>
          <w:rtl/>
          <w:lang w:bidi="ar-SA"/>
        </w:rPr>
        <w:t xml:space="preserve"> لـ </w:t>
      </w:r>
      <w:r w:rsidRPr="00BB11D1">
        <w:rPr>
          <w:rFonts w:asciiTheme="majorBidi" w:hAnsiTheme="majorBidi" w:cstheme="majorBidi"/>
        </w:rPr>
        <w:t>Libra-Style STC</w:t>
      </w:r>
      <w:r w:rsidRPr="00BB11D1">
        <w:rPr>
          <w:rFonts w:asciiTheme="majorBidi" w:hAnsiTheme="majorBidi" w:cstheme="majorBidi"/>
          <w:rtl/>
          <w:lang w:bidi="ar-SA"/>
        </w:rPr>
        <w:t xml:space="preserve"> في ظل أسعار صرف مرنة ، وفي حالة </w:t>
      </w:r>
      <w:r w:rsidRPr="00BB11D1">
        <w:rPr>
          <w:rFonts w:asciiTheme="majorBidi" w:hAnsiTheme="majorBidi" w:cstheme="majorBidi"/>
        </w:rPr>
        <w:t>STC</w:t>
      </w:r>
      <w:r w:rsidRPr="00BB11D1">
        <w:rPr>
          <w:rFonts w:asciiTheme="majorBidi" w:hAnsiTheme="majorBidi" w:cstheme="majorBidi"/>
          <w:rtl/>
          <w:lang w:bidi="ar-SA"/>
        </w:rPr>
        <w:t xml:space="preserve"> على شكل </w:t>
      </w:r>
      <w:r w:rsidRPr="00BB11D1">
        <w:rPr>
          <w:rFonts w:asciiTheme="majorBidi" w:hAnsiTheme="majorBidi" w:cstheme="majorBidi"/>
        </w:rPr>
        <w:t>Libra</w:t>
      </w:r>
      <w:r w:rsidRPr="00BB11D1">
        <w:rPr>
          <w:rFonts w:asciiTheme="majorBidi" w:hAnsiTheme="majorBidi" w:cstheme="majorBidi"/>
          <w:rtl/>
          <w:lang w:bidi="ar-SA"/>
        </w:rPr>
        <w:t xml:space="preserve"> وأسعار الصرف الثابتة للبلد </w:t>
      </w:r>
      <w:r w:rsidRPr="00BB11D1">
        <w:rPr>
          <w:rFonts w:asciiTheme="majorBidi" w:hAnsiTheme="majorBidi" w:cstheme="majorBidi"/>
        </w:rPr>
        <w:t>A</w:t>
      </w:r>
      <w:r w:rsidRPr="00BB11D1">
        <w:rPr>
          <w:rFonts w:asciiTheme="majorBidi" w:hAnsiTheme="majorBidi" w:cstheme="majorBidi"/>
          <w:rtl/>
          <w:lang w:bidi="ar-SA"/>
        </w:rPr>
        <w:t>.</w:t>
      </w:r>
    </w:p>
    <w:p w:rsidR="000255A4" w:rsidRPr="00BB11D1" w:rsidRDefault="00BB11D1" w:rsidP="00BB11D1">
      <w:pPr>
        <w:pStyle w:val="ListParagraph"/>
        <w:numPr>
          <w:ilvl w:val="0"/>
          <w:numId w:val="17"/>
        </w:numPr>
        <w:bidi/>
        <w:spacing w:line="480" w:lineRule="auto"/>
        <w:jc w:val="highKashida"/>
        <w:rPr>
          <w:rFonts w:asciiTheme="majorBidi" w:hAnsiTheme="majorBidi" w:cstheme="majorBidi"/>
        </w:rPr>
        <w:sectPr w:rsidR="000255A4" w:rsidRPr="00BB11D1" w:rsidSect="00BB11D1">
          <w:pgSz w:w="11910" w:h="16840"/>
          <w:pgMar w:top="1440" w:right="1440" w:bottom="1440" w:left="1440" w:header="0" w:footer="523" w:gutter="0"/>
          <w:cols w:space="720"/>
        </w:sectPr>
      </w:pPr>
      <w:r w:rsidRPr="00BB11D1">
        <w:rPr>
          <w:rFonts w:asciiTheme="majorBidi" w:hAnsiTheme="majorBidi" w:cstheme="majorBidi"/>
          <w:rtl/>
          <w:lang w:bidi="ar-SA"/>
        </w:rPr>
        <w:t xml:space="preserve"> انخفاض احتياطيات النقد الأجنبي للبنك المركزي </w:t>
      </w:r>
      <w:r w:rsidRPr="00BB11D1">
        <w:rPr>
          <w:rFonts w:asciiTheme="majorBidi" w:hAnsiTheme="majorBidi" w:cstheme="majorBidi"/>
        </w:rPr>
        <w:t>B</w:t>
      </w:r>
      <w:r w:rsidRPr="00BB11D1">
        <w:rPr>
          <w:rFonts w:asciiTheme="majorBidi" w:hAnsiTheme="majorBidi" w:cstheme="majorBidi"/>
          <w:rtl/>
          <w:lang w:bidi="ar-SA"/>
        </w:rPr>
        <w:t xml:space="preserve"> في نظام سعر صرف ثابت لكل من </w:t>
      </w:r>
      <w:r w:rsidRPr="00BB11D1">
        <w:rPr>
          <w:rFonts w:asciiTheme="majorBidi" w:hAnsiTheme="majorBidi" w:cstheme="majorBidi"/>
        </w:rPr>
        <w:t>A-CBDC</w:t>
      </w:r>
      <w:r w:rsidRPr="00BB11D1">
        <w:rPr>
          <w:rFonts w:asciiTheme="majorBidi" w:hAnsiTheme="majorBidi" w:cstheme="majorBidi"/>
          <w:rtl/>
          <w:lang w:bidi="ar-SA"/>
        </w:rPr>
        <w:t xml:space="preserve"> و </w:t>
      </w:r>
      <w:r w:rsidRPr="00BB11D1">
        <w:rPr>
          <w:rFonts w:asciiTheme="majorBidi" w:hAnsiTheme="majorBidi" w:cstheme="majorBidi"/>
        </w:rPr>
        <w:t>STC</w:t>
      </w:r>
      <w:r w:rsidRPr="00BB11D1">
        <w:rPr>
          <w:rFonts w:asciiTheme="majorBidi" w:hAnsiTheme="majorBidi" w:cstheme="majorBidi"/>
          <w:rtl/>
          <w:lang w:bidi="ar-SA"/>
        </w:rPr>
        <w:t xml:space="preserve"> على غرار الميزان بمقدار حيازات البلدان </w:t>
      </w:r>
      <w:r w:rsidRPr="00BB11D1">
        <w:rPr>
          <w:rFonts w:asciiTheme="majorBidi" w:hAnsiTheme="majorBidi" w:cstheme="majorBidi"/>
        </w:rPr>
        <w:t>B</w:t>
      </w:r>
      <w:r w:rsidRPr="00BB11D1">
        <w:rPr>
          <w:rFonts w:asciiTheme="majorBidi" w:hAnsiTheme="majorBidi" w:cstheme="majorBidi"/>
          <w:rtl/>
          <w:lang w:bidi="ar-SA"/>
        </w:rPr>
        <w:t xml:space="preserve"> للعملة الرقمية الجديدة.</w:t>
      </w:r>
    </w:p>
    <w:p w:rsidR="000255A4" w:rsidRPr="00BB11D1" w:rsidRDefault="000255A4" w:rsidP="006A2441">
      <w:pPr>
        <w:pStyle w:val="BodyText"/>
        <w:bidi/>
        <w:spacing w:before="7"/>
        <w:rPr>
          <w:rFonts w:asciiTheme="majorBidi" w:hAnsiTheme="majorBidi" w:cstheme="majorBidi"/>
          <w:sz w:val="23"/>
        </w:rPr>
      </w:pPr>
    </w:p>
    <w:p w:rsidR="000255A4" w:rsidRPr="00BB11D1" w:rsidRDefault="009C2E3C" w:rsidP="00BB11D1">
      <w:pPr>
        <w:pStyle w:val="Heading2"/>
        <w:numPr>
          <w:ilvl w:val="0"/>
          <w:numId w:val="13"/>
        </w:numPr>
        <w:tabs>
          <w:tab w:val="left" w:pos="529"/>
        </w:tabs>
        <w:bidi/>
        <w:spacing w:line="480" w:lineRule="auto"/>
        <w:ind w:hanging="280"/>
        <w:rPr>
          <w:rFonts w:asciiTheme="majorBidi" w:hAnsiTheme="majorBidi" w:cstheme="majorBidi"/>
        </w:rPr>
      </w:pPr>
      <w:bookmarkStart w:id="15" w:name="8_Conclusions"/>
      <w:bookmarkEnd w:id="15"/>
      <w:r w:rsidRPr="00BB11D1">
        <w:rPr>
          <w:rFonts w:asciiTheme="majorBidi" w:hAnsiTheme="majorBidi" w:cstheme="majorBidi"/>
          <w:rtl/>
          <w:lang w:bidi="ar-SA"/>
        </w:rPr>
        <w:t>الاستنتاجات</w:t>
      </w:r>
    </w:p>
    <w:p w:rsidR="00BB11D1" w:rsidRPr="00BB11D1" w:rsidRDefault="00BB11D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 xml:space="preserve">حاولت هذه الورقة إزالة الغموض عن اتفاقية </w:t>
      </w:r>
      <w:r w:rsidRPr="00BB11D1">
        <w:rPr>
          <w:rFonts w:asciiTheme="majorBidi" w:hAnsiTheme="majorBidi" w:cstheme="majorBidi"/>
        </w:rPr>
        <w:t>CBDC</w:t>
      </w:r>
      <w:r w:rsidRPr="00BB11D1">
        <w:rPr>
          <w:rFonts w:asciiTheme="majorBidi" w:hAnsiTheme="majorBidi" w:cstheme="majorBidi"/>
          <w:rtl/>
          <w:lang w:bidi="ar-SA"/>
        </w:rPr>
        <w:t xml:space="preserve"> ، من خلال تمثيلها في نظام بسيط للحسابات المالية يسمح بتدفق تدفقاتها المالية. علاوة على ذلك، أعادت الورقة النظر في مسألة كيفية التعامل مع المخاطر ، التي تم التشديد عليها بحق في الأدبيات ، من أن </w:t>
      </w:r>
      <w:r w:rsidRPr="00BB11D1">
        <w:rPr>
          <w:rFonts w:asciiTheme="majorBidi" w:hAnsiTheme="majorBidi" w:cstheme="majorBidi"/>
        </w:rPr>
        <w:t>CBDC</w:t>
      </w:r>
      <w:r w:rsidRPr="00BB11D1">
        <w:rPr>
          <w:rFonts w:asciiTheme="majorBidi" w:hAnsiTheme="majorBidi" w:cstheme="majorBidi"/>
          <w:rtl/>
          <w:lang w:bidi="ar-SA"/>
        </w:rPr>
        <w:t xml:space="preserve"> يمكن هيكلياً أو دوريًا (فيما يتعلق بالأزمات المالية) أن يتعارض مع النظام المصرفي. تم تطوير بديل أبسط وأقل إبداعًا لنهج </w:t>
      </w:r>
      <w:r w:rsidRPr="00BB11D1">
        <w:rPr>
          <w:rFonts w:asciiTheme="majorBidi" w:hAnsiTheme="majorBidi" w:cstheme="majorBidi"/>
        </w:rPr>
        <w:t>Noone</w:t>
      </w:r>
      <w:r w:rsidRPr="00BB11D1">
        <w:rPr>
          <w:rFonts w:asciiTheme="majorBidi" w:hAnsiTheme="majorBidi" w:cstheme="majorBidi"/>
          <w:rtl/>
          <w:lang w:bidi="ar-SA"/>
        </w:rPr>
        <w:t xml:space="preserve"> و </w:t>
      </w:r>
      <w:r w:rsidRPr="00BB11D1">
        <w:rPr>
          <w:rFonts w:asciiTheme="majorBidi" w:hAnsiTheme="majorBidi" w:cstheme="majorBidi"/>
        </w:rPr>
        <w:t>Kumhof (2018</w:t>
      </w:r>
      <w:r w:rsidRPr="00BB11D1">
        <w:rPr>
          <w:rFonts w:asciiTheme="majorBidi" w:hAnsiTheme="majorBidi" w:cstheme="majorBidi"/>
          <w:rtl/>
          <w:lang w:bidi="ar-SA"/>
        </w:rPr>
        <w:t xml:space="preserve">) ، والذي يعتمد على مكافآت متدرجة من </w:t>
      </w:r>
      <w:r w:rsidRPr="00BB11D1">
        <w:rPr>
          <w:rFonts w:asciiTheme="majorBidi" w:hAnsiTheme="majorBidi" w:cstheme="majorBidi"/>
        </w:rPr>
        <w:t>CBDC</w:t>
      </w:r>
      <w:r w:rsidRPr="00BB11D1">
        <w:rPr>
          <w:rFonts w:asciiTheme="majorBidi" w:hAnsiTheme="majorBidi" w:cstheme="majorBidi"/>
          <w:rtl/>
          <w:lang w:bidi="ar-SA"/>
        </w:rPr>
        <w:t xml:space="preserve"> ، وذلك تمشيا مع منطق البنك المركزي وممارساته التي تم اختبارها منذ فترة طويلة. لاستخدام مصطلحات باسل مور (1988) ، قد يُعتبر النهج المقترح هنا "أفقيًا" ، على عكس العناصر "العمودية" المحتملة المتوقعة في كومهوف ونوون (2018).</w:t>
      </w:r>
    </w:p>
    <w:p w:rsidR="00BB11D1" w:rsidRPr="00BB11D1" w:rsidRDefault="00BB11D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الأجر المتدرج يحل العديد من القضايا المتعلقة ب</w:t>
      </w:r>
      <w:r>
        <w:rPr>
          <w:rFonts w:asciiTheme="majorBidi" w:hAnsiTheme="majorBidi" w:cstheme="majorBidi"/>
          <w:lang w:bidi="ar-SA"/>
        </w:rPr>
        <w:t>CBDC</w:t>
      </w:r>
      <w:r w:rsidRPr="00BB11D1">
        <w:rPr>
          <w:rFonts w:asciiTheme="majorBidi" w:hAnsiTheme="majorBidi" w:cstheme="majorBidi"/>
          <w:rtl/>
          <w:lang w:bidi="ar-SA"/>
        </w:rPr>
        <w:t xml:space="preserve"> المحددة في الأدبيات. ومع ذلك ، تقر الورقة أيضًا بأن التحكم في كميات </w:t>
      </w:r>
      <w:r w:rsidRPr="00BB11D1">
        <w:rPr>
          <w:rFonts w:asciiTheme="majorBidi" w:hAnsiTheme="majorBidi" w:cstheme="majorBidi"/>
        </w:rPr>
        <w:t>CBDC</w:t>
      </w:r>
      <w:r w:rsidRPr="00BB11D1">
        <w:rPr>
          <w:rFonts w:asciiTheme="majorBidi" w:hAnsiTheme="majorBidi" w:cstheme="majorBidi"/>
          <w:rtl/>
          <w:lang w:bidi="ar-SA"/>
        </w:rPr>
        <w:t xml:space="preserve"> لا يعادل التحكم في تأثير </w:t>
      </w:r>
      <w:r w:rsidRPr="00BB11D1">
        <w:rPr>
          <w:rFonts w:asciiTheme="majorBidi" w:hAnsiTheme="majorBidi" w:cstheme="majorBidi"/>
        </w:rPr>
        <w:t>CBDC</w:t>
      </w:r>
      <w:r w:rsidRPr="00BB11D1">
        <w:rPr>
          <w:rFonts w:asciiTheme="majorBidi" w:hAnsiTheme="majorBidi" w:cstheme="majorBidi"/>
          <w:rtl/>
          <w:lang w:bidi="ar-SA"/>
        </w:rPr>
        <w:t xml:space="preserve"> على النظام المالي ، لأن </w:t>
      </w:r>
      <w:r w:rsidRPr="00BB11D1">
        <w:rPr>
          <w:rFonts w:asciiTheme="majorBidi" w:hAnsiTheme="majorBidi" w:cstheme="majorBidi"/>
        </w:rPr>
        <w:t>CBDC</w:t>
      </w:r>
      <w:r w:rsidRPr="00BB11D1">
        <w:rPr>
          <w:rFonts w:asciiTheme="majorBidi" w:hAnsiTheme="majorBidi" w:cstheme="majorBidi"/>
          <w:rtl/>
          <w:lang w:bidi="ar-SA"/>
        </w:rPr>
        <w:t xml:space="preserve"> قد يكون حافزًا لمزيد من الانكماش في ميزانيات البنوك لصالح الوسطاء غير المصرفيين ، على وجه الخصوص ، إذا كانت حسابات </w:t>
      </w:r>
      <w:r w:rsidRPr="00BB11D1">
        <w:rPr>
          <w:rFonts w:asciiTheme="majorBidi" w:hAnsiTheme="majorBidi" w:cstheme="majorBidi"/>
        </w:rPr>
        <w:t>CBDC</w:t>
      </w:r>
      <w:r w:rsidRPr="00BB11D1">
        <w:rPr>
          <w:rFonts w:asciiTheme="majorBidi" w:hAnsiTheme="majorBidi" w:cstheme="majorBidi"/>
          <w:rtl/>
          <w:lang w:bidi="ar-SA"/>
        </w:rPr>
        <w:t xml:space="preserve"> تقدم خدمات حساب شاملة نسبياً ، فقد لا يشعر كثير من الأسر بالحاجة إلى وجود حساب إيداع بنكي.</w:t>
      </w:r>
    </w:p>
    <w:p w:rsidR="000255A4" w:rsidRPr="00BB11D1" w:rsidRDefault="00BB11D1" w:rsidP="00BB11D1">
      <w:pPr>
        <w:bidi/>
        <w:spacing w:line="480" w:lineRule="auto"/>
        <w:jc w:val="both"/>
        <w:rPr>
          <w:rFonts w:asciiTheme="majorBidi" w:hAnsiTheme="majorBidi" w:cstheme="majorBidi"/>
        </w:rPr>
        <w:sectPr w:rsidR="000255A4" w:rsidRPr="00BB11D1" w:rsidSect="00BB11D1">
          <w:pgSz w:w="11910" w:h="16840"/>
          <w:pgMar w:top="1440" w:right="1440" w:bottom="1440" w:left="1440" w:header="0" w:footer="523" w:gutter="0"/>
          <w:cols w:space="720"/>
        </w:sectPr>
      </w:pPr>
      <w:r w:rsidRPr="00BB11D1">
        <w:rPr>
          <w:rFonts w:asciiTheme="majorBidi" w:hAnsiTheme="majorBidi" w:cstheme="majorBidi"/>
          <w:rtl/>
          <w:lang w:bidi="ar-SA"/>
        </w:rPr>
        <w:t>كما لاحظ كارستنز (2019 ، 10) ، فإن البنوك المركزية ليست هناك "لفرض قيود على الابتكارات فقط من أجلها" ، ولكن لضمان أن الآثار المترتبة على التغييرات الرئيسية مفهومة جيدًا بحيث "تحدد الابتكارات المسار الصحيح ل الاقتصاد ،</w:t>
      </w:r>
      <w:r>
        <w:rPr>
          <w:rFonts w:asciiTheme="majorBidi" w:hAnsiTheme="majorBidi" w:cstheme="majorBidi"/>
          <w:rtl/>
          <w:lang w:bidi="ar-SA"/>
        </w:rPr>
        <w:t xml:space="preserve"> للشركات ، للمواطنين</w:t>
      </w:r>
      <w:r w:rsidRPr="00BB11D1">
        <w:rPr>
          <w:rFonts w:asciiTheme="majorBidi" w:hAnsiTheme="majorBidi" w:cstheme="majorBidi"/>
          <w:rtl/>
          <w:lang w:bidi="ar-SA"/>
        </w:rPr>
        <w:t xml:space="preserve">، للمجتمع ككل ". من هذا المنظور ، قد تشير هذه الورقة إلى أن البنوك المركزية قد تكون مفتوحة إلى حد ما لدراسة </w:t>
      </w:r>
      <w:r w:rsidRPr="00BB11D1">
        <w:rPr>
          <w:rFonts w:asciiTheme="majorBidi" w:hAnsiTheme="majorBidi" w:cstheme="majorBidi"/>
        </w:rPr>
        <w:t>CBDC</w:t>
      </w:r>
      <w:r w:rsidRPr="00BB11D1">
        <w:rPr>
          <w:rFonts w:asciiTheme="majorBidi" w:hAnsiTheme="majorBidi" w:cstheme="majorBidi"/>
          <w:rtl/>
          <w:lang w:bidi="ar-SA"/>
        </w:rPr>
        <w:t xml:space="preserve"> ، على الرغم من أن حالة العمل الكلية والمخاطر المحددة لتغيير النظام المالي بطريقة تخريبية تستحق المزيد من التحليل. ستظل الحالة التجارية العامة لـ </w:t>
      </w:r>
      <w:r w:rsidRPr="00BB11D1">
        <w:rPr>
          <w:rFonts w:asciiTheme="majorBidi" w:hAnsiTheme="majorBidi" w:cstheme="majorBidi"/>
        </w:rPr>
        <w:t>CBDC</w:t>
      </w:r>
      <w:r w:rsidRPr="00BB11D1">
        <w:rPr>
          <w:rFonts w:asciiTheme="majorBidi" w:hAnsiTheme="majorBidi" w:cstheme="majorBidi"/>
          <w:rtl/>
          <w:lang w:bidi="ar-SA"/>
        </w:rPr>
        <w:t xml:space="preserve"> تعتمد أيضًا على تفضيلات الأسر كمستخدمين للناخبين والناخبين. في البلدان التقدمية ، التي ينخفض ​​فيها استخدام الأوراق النقدية بسرعة والتي أصبحت فيها المدفوعات الإلكترونية أمرًا طبيعيًا ، تبدو الحالة التجارية ل</w:t>
      </w:r>
      <w:r>
        <w:rPr>
          <w:rFonts w:asciiTheme="majorBidi" w:hAnsiTheme="majorBidi" w:cstheme="majorBidi"/>
          <w:lang w:bidi="ar-SA"/>
        </w:rPr>
        <w:t>CBDC</w:t>
      </w:r>
      <w:r w:rsidRPr="00BB11D1">
        <w:rPr>
          <w:rFonts w:asciiTheme="majorBidi" w:hAnsiTheme="majorBidi" w:cstheme="majorBidi"/>
          <w:rtl/>
          <w:lang w:bidi="ar-SA"/>
        </w:rPr>
        <w:t xml:space="preserve"> معقولة نسبيًا. الاهتمام الأخير الذي تم تكريسه لـ </w:t>
      </w:r>
      <w:r w:rsidRPr="00BB11D1">
        <w:rPr>
          <w:rFonts w:asciiTheme="majorBidi" w:hAnsiTheme="majorBidi" w:cstheme="majorBidi"/>
        </w:rPr>
        <w:t>Stablecoins</w:t>
      </w:r>
      <w:r w:rsidRPr="00BB11D1">
        <w:rPr>
          <w:rFonts w:asciiTheme="majorBidi" w:hAnsiTheme="majorBidi" w:cstheme="majorBidi"/>
          <w:rtl/>
          <w:lang w:bidi="ar-SA"/>
        </w:rPr>
        <w:t xml:space="preserve"> أو المشاريع ذات الصلة مثل </w:t>
      </w:r>
      <w:r w:rsidRPr="00BB11D1">
        <w:rPr>
          <w:rFonts w:asciiTheme="majorBidi" w:hAnsiTheme="majorBidi" w:cstheme="majorBidi"/>
        </w:rPr>
        <w:t>Libra</w:t>
      </w:r>
      <w:r w:rsidRPr="00BB11D1">
        <w:rPr>
          <w:rFonts w:asciiTheme="majorBidi" w:hAnsiTheme="majorBidi" w:cstheme="majorBidi"/>
          <w:rtl/>
          <w:lang w:bidi="ar-SA"/>
        </w:rPr>
        <w:t xml:space="preserve"> ، والتشابه الجزئي للآثار المالية المترتبة على </w:t>
      </w:r>
      <w:r w:rsidRPr="00BB11D1">
        <w:rPr>
          <w:rFonts w:asciiTheme="majorBidi" w:hAnsiTheme="majorBidi" w:cstheme="majorBidi"/>
        </w:rPr>
        <w:t>Stablecoins</w:t>
      </w:r>
      <w:r w:rsidRPr="00BB11D1">
        <w:rPr>
          <w:rFonts w:asciiTheme="majorBidi" w:hAnsiTheme="majorBidi" w:cstheme="majorBidi"/>
          <w:rtl/>
          <w:lang w:bidi="ar-SA"/>
        </w:rPr>
        <w:t xml:space="preserve"> مع تلك الخاصة بـ </w:t>
      </w:r>
      <w:r w:rsidRPr="00BB11D1">
        <w:rPr>
          <w:rFonts w:asciiTheme="majorBidi" w:hAnsiTheme="majorBidi" w:cstheme="majorBidi"/>
        </w:rPr>
        <w:t>CBDC</w:t>
      </w:r>
      <w:r w:rsidRPr="00BB11D1">
        <w:rPr>
          <w:rFonts w:asciiTheme="majorBidi" w:hAnsiTheme="majorBidi" w:cstheme="majorBidi"/>
          <w:rtl/>
          <w:lang w:bidi="ar-SA"/>
        </w:rPr>
        <w:t xml:space="preserve"> يشير إلى أن المناقشات حول </w:t>
      </w:r>
      <w:r w:rsidRPr="00BB11D1">
        <w:rPr>
          <w:rFonts w:asciiTheme="majorBidi" w:hAnsiTheme="majorBidi" w:cstheme="majorBidi"/>
        </w:rPr>
        <w:t>CBDC</w:t>
      </w:r>
      <w:r w:rsidRPr="00BB11D1">
        <w:rPr>
          <w:rFonts w:asciiTheme="majorBidi" w:hAnsiTheme="majorBidi" w:cstheme="majorBidi"/>
          <w:rtl/>
          <w:lang w:bidi="ar-SA"/>
        </w:rPr>
        <w:t xml:space="preserve"> يجب أن تتم أيضًا في سياق ابتكارات المال الإلكترونية الخاصة ، والشواغل التي تثيرها (مجموعة العمل </w:t>
      </w:r>
      <w:r w:rsidRPr="00BB11D1">
        <w:rPr>
          <w:rFonts w:asciiTheme="majorBidi" w:hAnsiTheme="majorBidi" w:cstheme="majorBidi"/>
        </w:rPr>
        <w:t>G7</w:t>
      </w:r>
      <w:r w:rsidRPr="00BB11D1">
        <w:rPr>
          <w:rFonts w:asciiTheme="majorBidi" w:hAnsiTheme="majorBidi" w:cstheme="majorBidi"/>
          <w:rtl/>
          <w:lang w:bidi="ar-SA"/>
        </w:rPr>
        <w:t xml:space="preserve"> على </w:t>
      </w:r>
      <w:r w:rsidRPr="00BB11D1">
        <w:rPr>
          <w:rFonts w:asciiTheme="majorBidi" w:hAnsiTheme="majorBidi" w:cstheme="majorBidi"/>
        </w:rPr>
        <w:t xml:space="preserve">Stablecoins </w:t>
      </w:r>
      <w:r w:rsidRPr="00BB11D1">
        <w:rPr>
          <w:rFonts w:asciiTheme="majorBidi" w:hAnsiTheme="majorBidi" w:cstheme="majorBidi"/>
          <w:rtl/>
          <w:lang w:bidi="ar-SA"/>
        </w:rPr>
        <w:t xml:space="preserve">، </w:t>
      </w:r>
      <w:r w:rsidRPr="00BB11D1">
        <w:rPr>
          <w:rFonts w:asciiTheme="majorBidi" w:hAnsiTheme="majorBidi" w:cstheme="majorBidi"/>
        </w:rPr>
        <w:t>2019</w:t>
      </w:r>
      <w:r w:rsidRPr="00BB11D1">
        <w:rPr>
          <w:rFonts w:asciiTheme="majorBidi" w:hAnsiTheme="majorBidi" w:cstheme="majorBidi"/>
          <w:rtl/>
          <w:lang w:bidi="ar-SA"/>
        </w:rPr>
        <w:t>).</w:t>
      </w:r>
    </w:p>
    <w:p w:rsidR="000255A4" w:rsidRPr="00BB11D1" w:rsidRDefault="000255A4" w:rsidP="006A2441">
      <w:pPr>
        <w:pStyle w:val="BodyText"/>
        <w:bidi/>
        <w:spacing w:before="5"/>
        <w:rPr>
          <w:rFonts w:asciiTheme="majorBidi" w:hAnsiTheme="majorBidi" w:cstheme="majorBidi"/>
          <w:sz w:val="24"/>
        </w:rPr>
      </w:pPr>
    </w:p>
    <w:p w:rsidR="000255A4" w:rsidRPr="00BB11D1" w:rsidRDefault="009C2E3C" w:rsidP="006A2441">
      <w:pPr>
        <w:pStyle w:val="Heading1"/>
        <w:bidi/>
        <w:spacing w:before="39"/>
        <w:ind w:left="249" w:firstLine="0"/>
        <w:rPr>
          <w:rFonts w:asciiTheme="majorBidi" w:hAnsiTheme="majorBidi" w:cstheme="majorBidi"/>
        </w:rPr>
      </w:pPr>
      <w:bookmarkStart w:id="16" w:name="List_of_references"/>
      <w:bookmarkEnd w:id="16"/>
      <w:r w:rsidRPr="00BB11D1">
        <w:rPr>
          <w:rFonts w:asciiTheme="majorBidi" w:hAnsiTheme="majorBidi" w:cstheme="majorBidi"/>
          <w:w w:val="95"/>
          <w:rtl/>
          <w:lang w:bidi="ar-SA"/>
        </w:rPr>
        <w:t>قائمة</w:t>
      </w:r>
      <w:r w:rsidRPr="00BB11D1">
        <w:rPr>
          <w:rFonts w:asciiTheme="majorBidi" w:hAnsiTheme="majorBidi" w:cstheme="majorBidi"/>
          <w:w w:val="95"/>
        </w:rPr>
        <w:t xml:space="preserve"> </w:t>
      </w:r>
      <w:r w:rsidRPr="00BB11D1">
        <w:rPr>
          <w:rFonts w:asciiTheme="majorBidi" w:hAnsiTheme="majorBidi" w:cstheme="majorBidi"/>
          <w:w w:val="95"/>
          <w:rtl/>
          <w:lang w:bidi="ar-SA"/>
        </w:rPr>
        <w:t>المراجع</w:t>
      </w:r>
    </w:p>
    <w:p w:rsidR="00BB11D1" w:rsidRPr="00BB11D1" w:rsidRDefault="00BB11D1" w:rsidP="00BB11D1">
      <w:pPr>
        <w:pStyle w:val="BodyText"/>
        <w:numPr>
          <w:ilvl w:val="0"/>
          <w:numId w:val="17"/>
        </w:numPr>
        <w:spacing w:before="78" w:line="254" w:lineRule="auto"/>
        <w:rPr>
          <w:rFonts w:asciiTheme="majorBidi" w:hAnsiTheme="majorBidi" w:cstheme="majorBidi"/>
        </w:rPr>
      </w:pPr>
      <w:r w:rsidRPr="00BB11D1">
        <w:rPr>
          <w:rFonts w:asciiTheme="majorBidi" w:hAnsiTheme="majorBidi" w:cstheme="majorBidi"/>
          <w:w w:val="95"/>
        </w:rPr>
        <w:t xml:space="preserve">Ahmat, N. and S. Bashir (2017), “Central bank digital currency: a monetary perspective”, Bank Negara </w:t>
      </w:r>
      <w:r w:rsidRPr="00BB11D1">
        <w:rPr>
          <w:rFonts w:asciiTheme="majorBidi" w:hAnsiTheme="majorBidi" w:cstheme="majorBidi"/>
        </w:rPr>
        <w:t>Malaysia, Staff Insights 2017/11.</w:t>
      </w:r>
    </w:p>
    <w:p w:rsidR="00BB11D1" w:rsidRPr="00BB11D1" w:rsidRDefault="00BB11D1" w:rsidP="00BB11D1">
      <w:pPr>
        <w:pStyle w:val="BodyText"/>
        <w:numPr>
          <w:ilvl w:val="0"/>
          <w:numId w:val="17"/>
        </w:numPr>
        <w:spacing w:before="61" w:line="254" w:lineRule="auto"/>
        <w:ind w:right="766"/>
        <w:rPr>
          <w:rFonts w:asciiTheme="majorBidi" w:hAnsiTheme="majorBidi" w:cstheme="majorBidi"/>
        </w:rPr>
      </w:pPr>
      <w:r w:rsidRPr="00BB11D1">
        <w:rPr>
          <w:rFonts w:asciiTheme="majorBidi" w:hAnsiTheme="majorBidi" w:cstheme="majorBidi"/>
        </w:rPr>
        <w:t>Armelius,</w:t>
      </w:r>
      <w:r w:rsidRPr="00BB11D1">
        <w:rPr>
          <w:rFonts w:asciiTheme="majorBidi" w:hAnsiTheme="majorBidi" w:cstheme="majorBidi"/>
          <w:spacing w:val="-20"/>
        </w:rPr>
        <w:t xml:space="preserve"> </w:t>
      </w:r>
      <w:r w:rsidRPr="00BB11D1">
        <w:rPr>
          <w:rFonts w:asciiTheme="majorBidi" w:hAnsiTheme="majorBidi" w:cstheme="majorBidi"/>
        </w:rPr>
        <w:t>H.,</w:t>
      </w:r>
      <w:r w:rsidRPr="00BB11D1">
        <w:rPr>
          <w:rFonts w:asciiTheme="majorBidi" w:hAnsiTheme="majorBidi" w:cstheme="majorBidi"/>
          <w:spacing w:val="-20"/>
        </w:rPr>
        <w:t xml:space="preserve"> </w:t>
      </w:r>
      <w:r w:rsidRPr="00BB11D1">
        <w:rPr>
          <w:rFonts w:asciiTheme="majorBidi" w:hAnsiTheme="majorBidi" w:cstheme="majorBidi"/>
        </w:rPr>
        <w:t>P.</w:t>
      </w:r>
      <w:r w:rsidRPr="00BB11D1">
        <w:rPr>
          <w:rFonts w:asciiTheme="majorBidi" w:hAnsiTheme="majorBidi" w:cstheme="majorBidi"/>
          <w:spacing w:val="-20"/>
        </w:rPr>
        <w:t xml:space="preserve"> </w:t>
      </w:r>
      <w:r w:rsidRPr="00BB11D1">
        <w:rPr>
          <w:rFonts w:asciiTheme="majorBidi" w:hAnsiTheme="majorBidi" w:cstheme="majorBidi"/>
        </w:rPr>
        <w:t>Boel,</w:t>
      </w:r>
      <w:r w:rsidRPr="00BB11D1">
        <w:rPr>
          <w:rFonts w:asciiTheme="majorBidi" w:hAnsiTheme="majorBidi" w:cstheme="majorBidi"/>
          <w:spacing w:val="-19"/>
        </w:rPr>
        <w:t xml:space="preserve"> </w:t>
      </w:r>
      <w:r w:rsidRPr="00BB11D1">
        <w:rPr>
          <w:rFonts w:asciiTheme="majorBidi" w:hAnsiTheme="majorBidi" w:cstheme="majorBidi"/>
        </w:rPr>
        <w:t>C.A.</w:t>
      </w:r>
      <w:r w:rsidRPr="00BB11D1">
        <w:rPr>
          <w:rFonts w:asciiTheme="majorBidi" w:hAnsiTheme="majorBidi" w:cstheme="majorBidi"/>
          <w:spacing w:val="-19"/>
        </w:rPr>
        <w:t xml:space="preserve"> </w:t>
      </w:r>
      <w:r w:rsidRPr="00BB11D1">
        <w:rPr>
          <w:rFonts w:asciiTheme="majorBidi" w:hAnsiTheme="majorBidi" w:cstheme="majorBidi"/>
        </w:rPr>
        <w:t>Claussen</w:t>
      </w:r>
      <w:r w:rsidRPr="00BB11D1">
        <w:rPr>
          <w:rFonts w:asciiTheme="majorBidi" w:hAnsiTheme="majorBidi" w:cstheme="majorBidi"/>
          <w:spacing w:val="-20"/>
        </w:rPr>
        <w:t xml:space="preserve"> </w:t>
      </w:r>
      <w:r w:rsidRPr="00BB11D1">
        <w:rPr>
          <w:rFonts w:asciiTheme="majorBidi" w:hAnsiTheme="majorBidi" w:cstheme="majorBidi"/>
        </w:rPr>
        <w:t>and</w:t>
      </w:r>
      <w:r w:rsidRPr="00BB11D1">
        <w:rPr>
          <w:rFonts w:asciiTheme="majorBidi" w:hAnsiTheme="majorBidi" w:cstheme="majorBidi"/>
          <w:spacing w:val="-20"/>
        </w:rPr>
        <w:t xml:space="preserve"> </w:t>
      </w:r>
      <w:r w:rsidRPr="00BB11D1">
        <w:rPr>
          <w:rFonts w:asciiTheme="majorBidi" w:hAnsiTheme="majorBidi" w:cstheme="majorBidi"/>
        </w:rPr>
        <w:t>M.</w:t>
      </w:r>
      <w:r w:rsidRPr="00BB11D1">
        <w:rPr>
          <w:rFonts w:asciiTheme="majorBidi" w:hAnsiTheme="majorBidi" w:cstheme="majorBidi"/>
          <w:spacing w:val="-19"/>
        </w:rPr>
        <w:t xml:space="preserve"> </w:t>
      </w:r>
      <w:r w:rsidRPr="00BB11D1">
        <w:rPr>
          <w:rFonts w:asciiTheme="majorBidi" w:hAnsiTheme="majorBidi" w:cstheme="majorBidi"/>
        </w:rPr>
        <w:t>Nessen</w:t>
      </w:r>
      <w:r w:rsidRPr="00BB11D1">
        <w:rPr>
          <w:rFonts w:asciiTheme="majorBidi" w:hAnsiTheme="majorBidi" w:cstheme="majorBidi"/>
          <w:spacing w:val="-20"/>
        </w:rPr>
        <w:t xml:space="preserve"> </w:t>
      </w:r>
      <w:r w:rsidRPr="00BB11D1">
        <w:rPr>
          <w:rFonts w:asciiTheme="majorBidi" w:hAnsiTheme="majorBidi" w:cstheme="majorBidi"/>
        </w:rPr>
        <w:t>(2018),</w:t>
      </w:r>
      <w:r w:rsidRPr="00BB11D1">
        <w:rPr>
          <w:rFonts w:asciiTheme="majorBidi" w:hAnsiTheme="majorBidi" w:cstheme="majorBidi"/>
          <w:spacing w:val="-20"/>
        </w:rPr>
        <w:t xml:space="preserve"> </w:t>
      </w:r>
      <w:r w:rsidRPr="00BB11D1">
        <w:rPr>
          <w:rFonts w:asciiTheme="majorBidi" w:hAnsiTheme="majorBidi" w:cstheme="majorBidi"/>
        </w:rPr>
        <w:t>“The</w:t>
      </w:r>
      <w:r w:rsidRPr="00BB11D1">
        <w:rPr>
          <w:rFonts w:asciiTheme="majorBidi" w:hAnsiTheme="majorBidi" w:cstheme="majorBidi"/>
          <w:spacing w:val="-20"/>
        </w:rPr>
        <w:t xml:space="preserve"> </w:t>
      </w:r>
      <w:r w:rsidRPr="00BB11D1">
        <w:rPr>
          <w:rFonts w:asciiTheme="majorBidi" w:hAnsiTheme="majorBidi" w:cstheme="majorBidi"/>
        </w:rPr>
        <w:t>e-krona</w:t>
      </w:r>
      <w:r w:rsidRPr="00BB11D1">
        <w:rPr>
          <w:rFonts w:asciiTheme="majorBidi" w:hAnsiTheme="majorBidi" w:cstheme="majorBidi"/>
          <w:spacing w:val="-20"/>
        </w:rPr>
        <w:t xml:space="preserve"> </w:t>
      </w:r>
      <w:r w:rsidRPr="00BB11D1">
        <w:rPr>
          <w:rFonts w:asciiTheme="majorBidi" w:hAnsiTheme="majorBidi" w:cstheme="majorBidi"/>
        </w:rPr>
        <w:t>and</w:t>
      </w:r>
      <w:r w:rsidRPr="00BB11D1">
        <w:rPr>
          <w:rFonts w:asciiTheme="majorBidi" w:hAnsiTheme="majorBidi" w:cstheme="majorBidi"/>
          <w:spacing w:val="-20"/>
        </w:rPr>
        <w:t xml:space="preserve"> </w:t>
      </w:r>
      <w:r w:rsidRPr="00BB11D1">
        <w:rPr>
          <w:rFonts w:asciiTheme="majorBidi" w:hAnsiTheme="majorBidi" w:cstheme="majorBidi"/>
        </w:rPr>
        <w:t>the</w:t>
      </w:r>
      <w:r w:rsidRPr="00BB11D1">
        <w:rPr>
          <w:rFonts w:asciiTheme="majorBidi" w:hAnsiTheme="majorBidi" w:cstheme="majorBidi"/>
          <w:spacing w:val="-20"/>
        </w:rPr>
        <w:t xml:space="preserve"> </w:t>
      </w:r>
      <w:r w:rsidRPr="00BB11D1">
        <w:rPr>
          <w:rFonts w:asciiTheme="majorBidi" w:hAnsiTheme="majorBidi" w:cstheme="majorBidi"/>
        </w:rPr>
        <w:t>macroeconomy,” Sveriges</w:t>
      </w:r>
      <w:r w:rsidRPr="00BB11D1">
        <w:rPr>
          <w:rFonts w:asciiTheme="majorBidi" w:hAnsiTheme="majorBidi" w:cstheme="majorBidi"/>
          <w:spacing w:val="-17"/>
        </w:rPr>
        <w:t xml:space="preserve"> </w:t>
      </w:r>
      <w:r w:rsidRPr="00BB11D1">
        <w:rPr>
          <w:rFonts w:asciiTheme="majorBidi" w:hAnsiTheme="majorBidi" w:cstheme="majorBidi"/>
        </w:rPr>
        <w:t>Riksbank,</w:t>
      </w:r>
      <w:r w:rsidRPr="00BB11D1">
        <w:rPr>
          <w:rFonts w:asciiTheme="majorBidi" w:hAnsiTheme="majorBidi" w:cstheme="majorBidi"/>
          <w:spacing w:val="-17"/>
        </w:rPr>
        <w:t xml:space="preserve"> </w:t>
      </w:r>
      <w:r w:rsidRPr="00BB11D1">
        <w:rPr>
          <w:rFonts w:asciiTheme="majorBidi" w:hAnsiTheme="majorBidi" w:cstheme="majorBidi"/>
        </w:rPr>
        <w:t>2018:3,</w:t>
      </w:r>
      <w:r w:rsidRPr="00BB11D1">
        <w:rPr>
          <w:rFonts w:asciiTheme="majorBidi" w:hAnsiTheme="majorBidi" w:cstheme="majorBidi"/>
          <w:spacing w:val="-16"/>
        </w:rPr>
        <w:t xml:space="preserve"> </w:t>
      </w:r>
      <w:r w:rsidRPr="00BB11D1">
        <w:rPr>
          <w:rFonts w:asciiTheme="majorBidi" w:hAnsiTheme="majorBidi" w:cstheme="majorBidi"/>
        </w:rPr>
        <w:t>43-65.</w:t>
      </w:r>
    </w:p>
    <w:p w:rsidR="00BB11D1" w:rsidRPr="00BB11D1" w:rsidRDefault="00BB11D1" w:rsidP="00BB11D1">
      <w:pPr>
        <w:pStyle w:val="BodyText"/>
        <w:numPr>
          <w:ilvl w:val="0"/>
          <w:numId w:val="17"/>
        </w:numPr>
        <w:spacing w:before="61" w:line="254" w:lineRule="auto"/>
        <w:ind w:right="681"/>
        <w:rPr>
          <w:rFonts w:asciiTheme="majorBidi" w:hAnsiTheme="majorBidi" w:cstheme="majorBidi"/>
        </w:rPr>
      </w:pPr>
      <w:r w:rsidRPr="00BB11D1">
        <w:rPr>
          <w:rFonts w:asciiTheme="majorBidi" w:hAnsiTheme="majorBidi" w:cstheme="majorBidi"/>
          <w:w w:val="95"/>
        </w:rPr>
        <w:t>Barrdear,</w:t>
      </w:r>
      <w:r w:rsidRPr="00BB11D1">
        <w:rPr>
          <w:rFonts w:asciiTheme="majorBidi" w:hAnsiTheme="majorBidi" w:cstheme="majorBidi"/>
          <w:spacing w:val="-29"/>
          <w:w w:val="95"/>
        </w:rPr>
        <w:t xml:space="preserve"> </w:t>
      </w:r>
      <w:r w:rsidRPr="00BB11D1">
        <w:rPr>
          <w:rFonts w:asciiTheme="majorBidi" w:hAnsiTheme="majorBidi" w:cstheme="majorBidi"/>
          <w:w w:val="95"/>
        </w:rPr>
        <w:t>J.</w:t>
      </w:r>
      <w:r w:rsidRPr="00BB11D1">
        <w:rPr>
          <w:rFonts w:asciiTheme="majorBidi" w:hAnsiTheme="majorBidi" w:cstheme="majorBidi"/>
          <w:spacing w:val="-29"/>
          <w:w w:val="95"/>
        </w:rPr>
        <w:t xml:space="preserve"> </w:t>
      </w:r>
      <w:r w:rsidRPr="00BB11D1">
        <w:rPr>
          <w:rFonts w:asciiTheme="majorBidi" w:hAnsiTheme="majorBidi" w:cstheme="majorBidi"/>
          <w:w w:val="95"/>
        </w:rPr>
        <w:t>and</w:t>
      </w:r>
      <w:r w:rsidRPr="00BB11D1">
        <w:rPr>
          <w:rFonts w:asciiTheme="majorBidi" w:hAnsiTheme="majorBidi" w:cstheme="majorBidi"/>
          <w:spacing w:val="-29"/>
          <w:w w:val="95"/>
        </w:rPr>
        <w:t xml:space="preserve"> </w:t>
      </w:r>
      <w:r w:rsidRPr="00BB11D1">
        <w:rPr>
          <w:rFonts w:asciiTheme="majorBidi" w:hAnsiTheme="majorBidi" w:cstheme="majorBidi"/>
          <w:w w:val="95"/>
        </w:rPr>
        <w:t>M.</w:t>
      </w:r>
      <w:r w:rsidRPr="00BB11D1">
        <w:rPr>
          <w:rFonts w:asciiTheme="majorBidi" w:hAnsiTheme="majorBidi" w:cstheme="majorBidi"/>
          <w:spacing w:val="-29"/>
          <w:w w:val="95"/>
        </w:rPr>
        <w:t xml:space="preserve"> </w:t>
      </w:r>
      <w:r w:rsidRPr="00BB11D1">
        <w:rPr>
          <w:rFonts w:asciiTheme="majorBidi" w:hAnsiTheme="majorBidi" w:cstheme="majorBidi"/>
          <w:w w:val="95"/>
        </w:rPr>
        <w:t>Kumhof</w:t>
      </w:r>
      <w:r w:rsidRPr="00BB11D1">
        <w:rPr>
          <w:rFonts w:asciiTheme="majorBidi" w:hAnsiTheme="majorBidi" w:cstheme="majorBidi"/>
          <w:spacing w:val="-30"/>
          <w:w w:val="95"/>
        </w:rPr>
        <w:t xml:space="preserve"> </w:t>
      </w:r>
      <w:r w:rsidRPr="00BB11D1">
        <w:rPr>
          <w:rFonts w:asciiTheme="majorBidi" w:hAnsiTheme="majorBidi" w:cstheme="majorBidi"/>
          <w:w w:val="95"/>
        </w:rPr>
        <w:t>(2016),</w:t>
      </w:r>
      <w:r w:rsidRPr="00BB11D1">
        <w:rPr>
          <w:rFonts w:asciiTheme="majorBidi" w:hAnsiTheme="majorBidi" w:cstheme="majorBidi"/>
          <w:spacing w:val="-28"/>
          <w:w w:val="95"/>
        </w:rPr>
        <w:t xml:space="preserve"> </w:t>
      </w:r>
      <w:r w:rsidRPr="00BB11D1">
        <w:rPr>
          <w:rFonts w:asciiTheme="majorBidi" w:hAnsiTheme="majorBidi" w:cstheme="majorBidi"/>
          <w:w w:val="95"/>
        </w:rPr>
        <w:t>“The</w:t>
      </w:r>
      <w:r w:rsidRPr="00BB11D1">
        <w:rPr>
          <w:rFonts w:asciiTheme="majorBidi" w:hAnsiTheme="majorBidi" w:cstheme="majorBidi"/>
          <w:spacing w:val="-30"/>
          <w:w w:val="95"/>
        </w:rPr>
        <w:t xml:space="preserve"> </w:t>
      </w:r>
      <w:r w:rsidRPr="00BB11D1">
        <w:rPr>
          <w:rFonts w:asciiTheme="majorBidi" w:hAnsiTheme="majorBidi" w:cstheme="majorBidi"/>
          <w:w w:val="95"/>
        </w:rPr>
        <w:t>macroeconomics</w:t>
      </w:r>
      <w:r w:rsidRPr="00BB11D1">
        <w:rPr>
          <w:rFonts w:asciiTheme="majorBidi" w:hAnsiTheme="majorBidi" w:cstheme="majorBidi"/>
          <w:spacing w:val="-30"/>
          <w:w w:val="95"/>
        </w:rPr>
        <w:t xml:space="preserve"> </w:t>
      </w:r>
      <w:r w:rsidRPr="00BB11D1">
        <w:rPr>
          <w:rFonts w:asciiTheme="majorBidi" w:hAnsiTheme="majorBidi" w:cstheme="majorBidi"/>
          <w:w w:val="95"/>
        </w:rPr>
        <w:t>of</w:t>
      </w:r>
      <w:r w:rsidRPr="00BB11D1">
        <w:rPr>
          <w:rFonts w:asciiTheme="majorBidi" w:hAnsiTheme="majorBidi" w:cstheme="majorBidi"/>
          <w:spacing w:val="-29"/>
          <w:w w:val="95"/>
        </w:rPr>
        <w:t xml:space="preserve"> </w:t>
      </w:r>
      <w:r w:rsidRPr="00BB11D1">
        <w:rPr>
          <w:rFonts w:asciiTheme="majorBidi" w:hAnsiTheme="majorBidi" w:cstheme="majorBidi"/>
          <w:w w:val="95"/>
        </w:rPr>
        <w:t>central</w:t>
      </w:r>
      <w:r w:rsidRPr="00BB11D1">
        <w:rPr>
          <w:rFonts w:asciiTheme="majorBidi" w:hAnsiTheme="majorBidi" w:cstheme="majorBidi"/>
          <w:spacing w:val="-28"/>
          <w:w w:val="95"/>
        </w:rPr>
        <w:t xml:space="preserve"> </w:t>
      </w:r>
      <w:r w:rsidRPr="00BB11D1">
        <w:rPr>
          <w:rFonts w:asciiTheme="majorBidi" w:hAnsiTheme="majorBidi" w:cstheme="majorBidi"/>
          <w:w w:val="95"/>
        </w:rPr>
        <w:t>bank</w:t>
      </w:r>
      <w:r w:rsidRPr="00BB11D1">
        <w:rPr>
          <w:rFonts w:asciiTheme="majorBidi" w:hAnsiTheme="majorBidi" w:cstheme="majorBidi"/>
          <w:spacing w:val="-29"/>
          <w:w w:val="95"/>
        </w:rPr>
        <w:t xml:space="preserve"> </w:t>
      </w:r>
      <w:r w:rsidRPr="00BB11D1">
        <w:rPr>
          <w:rFonts w:asciiTheme="majorBidi" w:hAnsiTheme="majorBidi" w:cstheme="majorBidi"/>
          <w:w w:val="95"/>
        </w:rPr>
        <w:t>issued</w:t>
      </w:r>
      <w:r w:rsidRPr="00BB11D1">
        <w:rPr>
          <w:rFonts w:asciiTheme="majorBidi" w:hAnsiTheme="majorBidi" w:cstheme="majorBidi"/>
          <w:spacing w:val="-30"/>
          <w:w w:val="95"/>
        </w:rPr>
        <w:t xml:space="preserve"> </w:t>
      </w:r>
      <w:r w:rsidRPr="00BB11D1">
        <w:rPr>
          <w:rFonts w:asciiTheme="majorBidi" w:hAnsiTheme="majorBidi" w:cstheme="majorBidi"/>
          <w:w w:val="95"/>
        </w:rPr>
        <w:t>digital</w:t>
      </w:r>
      <w:r w:rsidRPr="00BB11D1">
        <w:rPr>
          <w:rFonts w:asciiTheme="majorBidi" w:hAnsiTheme="majorBidi" w:cstheme="majorBidi"/>
          <w:spacing w:val="-28"/>
          <w:w w:val="95"/>
        </w:rPr>
        <w:t xml:space="preserve"> </w:t>
      </w:r>
      <w:r w:rsidRPr="00BB11D1">
        <w:rPr>
          <w:rFonts w:asciiTheme="majorBidi" w:hAnsiTheme="majorBidi" w:cstheme="majorBidi"/>
          <w:w w:val="95"/>
        </w:rPr>
        <w:t>currencies”,</w:t>
      </w:r>
      <w:r w:rsidRPr="00BB11D1">
        <w:rPr>
          <w:rFonts w:asciiTheme="majorBidi" w:hAnsiTheme="majorBidi" w:cstheme="majorBidi"/>
          <w:spacing w:val="-29"/>
          <w:w w:val="95"/>
        </w:rPr>
        <w:t xml:space="preserve"> </w:t>
      </w:r>
      <w:r w:rsidRPr="00BB11D1">
        <w:rPr>
          <w:rFonts w:asciiTheme="majorBidi" w:hAnsiTheme="majorBidi" w:cstheme="majorBidi"/>
          <w:w w:val="95"/>
        </w:rPr>
        <w:t xml:space="preserve">Bank </w:t>
      </w:r>
      <w:r w:rsidRPr="00BB11D1">
        <w:rPr>
          <w:rFonts w:asciiTheme="majorBidi" w:hAnsiTheme="majorBidi" w:cstheme="majorBidi"/>
        </w:rPr>
        <w:t>of</w:t>
      </w:r>
      <w:r w:rsidRPr="00BB11D1">
        <w:rPr>
          <w:rFonts w:asciiTheme="majorBidi" w:hAnsiTheme="majorBidi" w:cstheme="majorBidi"/>
          <w:spacing w:val="-14"/>
        </w:rPr>
        <w:t xml:space="preserve"> </w:t>
      </w:r>
      <w:r w:rsidRPr="00BB11D1">
        <w:rPr>
          <w:rFonts w:asciiTheme="majorBidi" w:hAnsiTheme="majorBidi" w:cstheme="majorBidi"/>
        </w:rPr>
        <w:t>England,</w:t>
      </w:r>
      <w:r w:rsidRPr="00BB11D1">
        <w:rPr>
          <w:rFonts w:asciiTheme="majorBidi" w:hAnsiTheme="majorBidi" w:cstheme="majorBidi"/>
          <w:spacing w:val="-13"/>
        </w:rPr>
        <w:t xml:space="preserve"> </w:t>
      </w:r>
      <w:r w:rsidRPr="00BB11D1">
        <w:rPr>
          <w:rFonts w:asciiTheme="majorBidi" w:hAnsiTheme="majorBidi" w:cstheme="majorBidi"/>
        </w:rPr>
        <w:t>Staff</w:t>
      </w:r>
      <w:r w:rsidRPr="00BB11D1">
        <w:rPr>
          <w:rFonts w:asciiTheme="majorBidi" w:hAnsiTheme="majorBidi" w:cstheme="majorBidi"/>
          <w:spacing w:val="-16"/>
        </w:rPr>
        <w:t xml:space="preserve"> </w:t>
      </w:r>
      <w:r w:rsidRPr="00BB11D1">
        <w:rPr>
          <w:rFonts w:asciiTheme="majorBidi" w:hAnsiTheme="majorBidi" w:cstheme="majorBidi"/>
        </w:rPr>
        <w:t>WP</w:t>
      </w:r>
      <w:r w:rsidRPr="00BB11D1">
        <w:rPr>
          <w:rFonts w:asciiTheme="majorBidi" w:hAnsiTheme="majorBidi" w:cstheme="majorBidi"/>
          <w:spacing w:val="-11"/>
        </w:rPr>
        <w:t xml:space="preserve"> </w:t>
      </w:r>
      <w:r w:rsidRPr="00BB11D1">
        <w:rPr>
          <w:rFonts w:asciiTheme="majorBidi" w:hAnsiTheme="majorBidi" w:cstheme="majorBidi"/>
        </w:rPr>
        <w:t>No.</w:t>
      </w:r>
      <w:r w:rsidRPr="00BB11D1">
        <w:rPr>
          <w:rFonts w:asciiTheme="majorBidi" w:hAnsiTheme="majorBidi" w:cstheme="majorBidi"/>
          <w:spacing w:val="-16"/>
        </w:rPr>
        <w:t xml:space="preserve"> </w:t>
      </w:r>
      <w:r w:rsidRPr="00BB11D1">
        <w:rPr>
          <w:rFonts w:asciiTheme="majorBidi" w:hAnsiTheme="majorBidi" w:cstheme="majorBidi"/>
        </w:rPr>
        <w:t>605</w:t>
      </w:r>
    </w:p>
    <w:p w:rsidR="00BB11D1" w:rsidRPr="00BB11D1" w:rsidRDefault="00BB11D1" w:rsidP="00BB11D1">
      <w:pPr>
        <w:pStyle w:val="BodyText"/>
        <w:numPr>
          <w:ilvl w:val="0"/>
          <w:numId w:val="17"/>
        </w:numPr>
        <w:spacing w:before="59" w:line="254" w:lineRule="auto"/>
        <w:ind w:right="790"/>
        <w:rPr>
          <w:rFonts w:asciiTheme="majorBidi" w:hAnsiTheme="majorBidi" w:cstheme="majorBidi"/>
        </w:rPr>
      </w:pPr>
      <w:r w:rsidRPr="00BB11D1">
        <w:rPr>
          <w:rFonts w:asciiTheme="majorBidi" w:hAnsiTheme="majorBidi" w:cstheme="majorBidi"/>
        </w:rPr>
        <w:t>Barontini, C. and H. Holden (2019), “Proceeding with caution – a survey on central bank digital currencies”, BIS Paper No. 101.</w:t>
      </w:r>
    </w:p>
    <w:p w:rsidR="00BB11D1" w:rsidRPr="00BB11D1" w:rsidRDefault="00BB11D1" w:rsidP="00BB11D1">
      <w:pPr>
        <w:pStyle w:val="BodyText"/>
        <w:numPr>
          <w:ilvl w:val="0"/>
          <w:numId w:val="17"/>
        </w:numPr>
        <w:spacing w:before="61"/>
        <w:rPr>
          <w:rFonts w:asciiTheme="majorBidi" w:hAnsiTheme="majorBidi" w:cstheme="majorBidi"/>
        </w:rPr>
      </w:pPr>
      <w:r w:rsidRPr="00BB11D1">
        <w:rPr>
          <w:rFonts w:asciiTheme="majorBidi" w:hAnsiTheme="majorBidi" w:cstheme="majorBidi"/>
        </w:rPr>
        <w:t>Benes, J. and M. Kumhof (2012), “The Chicago Plan Revisited”, IMF WP/12/202.</w:t>
      </w:r>
    </w:p>
    <w:p w:rsidR="00BB11D1" w:rsidRPr="00BB11D1" w:rsidRDefault="00BB11D1" w:rsidP="00BB11D1">
      <w:pPr>
        <w:pStyle w:val="BodyText"/>
        <w:numPr>
          <w:ilvl w:val="0"/>
          <w:numId w:val="17"/>
        </w:numPr>
        <w:spacing w:before="16" w:line="254" w:lineRule="auto"/>
        <w:ind w:right="767"/>
        <w:jc w:val="both"/>
        <w:rPr>
          <w:rFonts w:asciiTheme="majorBidi" w:hAnsiTheme="majorBidi" w:cstheme="majorBidi"/>
        </w:rPr>
      </w:pPr>
      <w:r w:rsidRPr="00BB11D1">
        <w:rPr>
          <w:rFonts w:asciiTheme="majorBidi" w:hAnsiTheme="majorBidi" w:cstheme="majorBidi"/>
          <w:w w:val="95"/>
        </w:rPr>
        <w:t>Berentsen,</w:t>
      </w:r>
      <w:r w:rsidRPr="00BB11D1">
        <w:rPr>
          <w:rFonts w:asciiTheme="majorBidi" w:hAnsiTheme="majorBidi" w:cstheme="majorBidi"/>
          <w:spacing w:val="-9"/>
          <w:w w:val="95"/>
        </w:rPr>
        <w:t xml:space="preserve"> </w:t>
      </w:r>
      <w:r w:rsidRPr="00BB11D1">
        <w:rPr>
          <w:rFonts w:asciiTheme="majorBidi" w:hAnsiTheme="majorBidi" w:cstheme="majorBidi"/>
          <w:w w:val="95"/>
        </w:rPr>
        <w:t>A.</w:t>
      </w:r>
      <w:r w:rsidRPr="00BB11D1">
        <w:rPr>
          <w:rFonts w:asciiTheme="majorBidi" w:hAnsiTheme="majorBidi" w:cstheme="majorBidi"/>
          <w:spacing w:val="-8"/>
          <w:w w:val="95"/>
        </w:rPr>
        <w:t xml:space="preserve"> </w:t>
      </w:r>
      <w:r w:rsidRPr="00BB11D1">
        <w:rPr>
          <w:rFonts w:asciiTheme="majorBidi" w:hAnsiTheme="majorBidi" w:cstheme="majorBidi"/>
          <w:w w:val="95"/>
        </w:rPr>
        <w:t>and</w:t>
      </w:r>
      <w:r w:rsidRPr="00BB11D1">
        <w:rPr>
          <w:rFonts w:asciiTheme="majorBidi" w:hAnsiTheme="majorBidi" w:cstheme="majorBidi"/>
          <w:spacing w:val="-9"/>
          <w:w w:val="95"/>
        </w:rPr>
        <w:t xml:space="preserve"> </w:t>
      </w:r>
      <w:r w:rsidRPr="00BB11D1">
        <w:rPr>
          <w:rFonts w:asciiTheme="majorBidi" w:hAnsiTheme="majorBidi" w:cstheme="majorBidi"/>
          <w:w w:val="95"/>
        </w:rPr>
        <w:t>F.</w:t>
      </w:r>
      <w:r w:rsidRPr="00BB11D1">
        <w:rPr>
          <w:rFonts w:asciiTheme="majorBidi" w:hAnsiTheme="majorBidi" w:cstheme="majorBidi"/>
          <w:spacing w:val="-9"/>
          <w:w w:val="95"/>
        </w:rPr>
        <w:t xml:space="preserve"> </w:t>
      </w:r>
      <w:r w:rsidRPr="00BB11D1">
        <w:rPr>
          <w:rFonts w:asciiTheme="majorBidi" w:hAnsiTheme="majorBidi" w:cstheme="majorBidi"/>
          <w:w w:val="95"/>
        </w:rPr>
        <w:t>Schär</w:t>
      </w:r>
      <w:r w:rsidRPr="00BB11D1">
        <w:rPr>
          <w:rFonts w:asciiTheme="majorBidi" w:hAnsiTheme="majorBidi" w:cstheme="majorBidi"/>
          <w:spacing w:val="-7"/>
          <w:w w:val="95"/>
        </w:rPr>
        <w:t xml:space="preserve"> </w:t>
      </w:r>
      <w:r w:rsidRPr="00BB11D1">
        <w:rPr>
          <w:rFonts w:asciiTheme="majorBidi" w:hAnsiTheme="majorBidi" w:cstheme="majorBidi"/>
          <w:w w:val="95"/>
        </w:rPr>
        <w:t>(2018),</w:t>
      </w:r>
      <w:r w:rsidRPr="00BB11D1">
        <w:rPr>
          <w:rFonts w:asciiTheme="majorBidi" w:hAnsiTheme="majorBidi" w:cstheme="majorBidi"/>
          <w:spacing w:val="-8"/>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Case</w:t>
      </w:r>
      <w:r w:rsidRPr="00BB11D1">
        <w:rPr>
          <w:rFonts w:asciiTheme="majorBidi" w:hAnsiTheme="majorBidi" w:cstheme="majorBidi"/>
          <w:spacing w:val="-8"/>
          <w:w w:val="95"/>
        </w:rPr>
        <w:t xml:space="preserve"> </w:t>
      </w:r>
      <w:r w:rsidRPr="00BB11D1">
        <w:rPr>
          <w:rFonts w:asciiTheme="majorBidi" w:hAnsiTheme="majorBidi" w:cstheme="majorBidi"/>
          <w:w w:val="95"/>
        </w:rPr>
        <w:t>for</w:t>
      </w:r>
      <w:r w:rsidRPr="00BB11D1">
        <w:rPr>
          <w:rFonts w:asciiTheme="majorBidi" w:hAnsiTheme="majorBidi" w:cstheme="majorBidi"/>
          <w:spacing w:val="-8"/>
          <w:w w:val="95"/>
        </w:rPr>
        <w:t xml:space="preserve"> </w:t>
      </w:r>
      <w:r w:rsidRPr="00BB11D1">
        <w:rPr>
          <w:rFonts w:asciiTheme="majorBidi" w:hAnsiTheme="majorBidi" w:cstheme="majorBidi"/>
          <w:w w:val="95"/>
        </w:rPr>
        <w:t>Central</w:t>
      </w:r>
      <w:r w:rsidRPr="00BB11D1">
        <w:rPr>
          <w:rFonts w:asciiTheme="majorBidi" w:hAnsiTheme="majorBidi" w:cstheme="majorBidi"/>
          <w:spacing w:val="-8"/>
          <w:w w:val="95"/>
        </w:rPr>
        <w:t xml:space="preserve"> </w:t>
      </w:r>
      <w:r w:rsidRPr="00BB11D1">
        <w:rPr>
          <w:rFonts w:asciiTheme="majorBidi" w:hAnsiTheme="majorBidi" w:cstheme="majorBidi"/>
          <w:w w:val="95"/>
        </w:rPr>
        <w:t>Bank</w:t>
      </w:r>
      <w:r w:rsidRPr="00BB11D1">
        <w:rPr>
          <w:rFonts w:asciiTheme="majorBidi" w:hAnsiTheme="majorBidi" w:cstheme="majorBidi"/>
          <w:spacing w:val="-9"/>
          <w:w w:val="95"/>
        </w:rPr>
        <w:t xml:space="preserve"> </w:t>
      </w:r>
      <w:r w:rsidRPr="00BB11D1">
        <w:rPr>
          <w:rFonts w:asciiTheme="majorBidi" w:hAnsiTheme="majorBidi" w:cstheme="majorBidi"/>
          <w:w w:val="95"/>
        </w:rPr>
        <w:t>Electronic</w:t>
      </w:r>
      <w:r w:rsidRPr="00BB11D1">
        <w:rPr>
          <w:rFonts w:asciiTheme="majorBidi" w:hAnsiTheme="majorBidi" w:cstheme="majorBidi"/>
          <w:spacing w:val="-10"/>
          <w:w w:val="95"/>
        </w:rPr>
        <w:t xml:space="preserve"> </w:t>
      </w:r>
      <w:r w:rsidRPr="00BB11D1">
        <w:rPr>
          <w:rFonts w:asciiTheme="majorBidi" w:hAnsiTheme="majorBidi" w:cstheme="majorBidi"/>
          <w:w w:val="95"/>
        </w:rPr>
        <w:t>Money</w:t>
      </w:r>
      <w:r w:rsidRPr="00BB11D1">
        <w:rPr>
          <w:rFonts w:asciiTheme="majorBidi" w:hAnsiTheme="majorBidi" w:cstheme="majorBidi"/>
          <w:spacing w:val="-7"/>
          <w:w w:val="95"/>
        </w:rPr>
        <w:t xml:space="preserve"> </w:t>
      </w:r>
      <w:r w:rsidRPr="00BB11D1">
        <w:rPr>
          <w:rFonts w:asciiTheme="majorBidi" w:hAnsiTheme="majorBidi" w:cstheme="majorBidi"/>
          <w:w w:val="95"/>
        </w:rPr>
        <w:t>and</w:t>
      </w:r>
      <w:r w:rsidRPr="00BB11D1">
        <w:rPr>
          <w:rFonts w:asciiTheme="majorBidi" w:hAnsiTheme="majorBidi" w:cstheme="majorBidi"/>
          <w:spacing w:val="-9"/>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Non-case</w:t>
      </w:r>
      <w:r w:rsidRPr="00BB11D1">
        <w:rPr>
          <w:rFonts w:asciiTheme="majorBidi" w:hAnsiTheme="majorBidi" w:cstheme="majorBidi"/>
          <w:spacing w:val="-8"/>
          <w:w w:val="95"/>
        </w:rPr>
        <w:t xml:space="preserve"> </w:t>
      </w:r>
      <w:r w:rsidRPr="00BB11D1">
        <w:rPr>
          <w:rFonts w:asciiTheme="majorBidi" w:hAnsiTheme="majorBidi" w:cstheme="majorBidi"/>
          <w:w w:val="95"/>
        </w:rPr>
        <w:t xml:space="preserve">for </w:t>
      </w:r>
      <w:r w:rsidRPr="00BB11D1">
        <w:rPr>
          <w:rFonts w:asciiTheme="majorBidi" w:hAnsiTheme="majorBidi" w:cstheme="majorBidi"/>
        </w:rPr>
        <w:t>Central</w:t>
      </w:r>
      <w:r w:rsidRPr="00BB11D1">
        <w:rPr>
          <w:rFonts w:asciiTheme="majorBidi" w:hAnsiTheme="majorBidi" w:cstheme="majorBidi"/>
          <w:spacing w:val="-41"/>
        </w:rPr>
        <w:t xml:space="preserve"> </w:t>
      </w:r>
      <w:r w:rsidRPr="00BB11D1">
        <w:rPr>
          <w:rFonts w:asciiTheme="majorBidi" w:hAnsiTheme="majorBidi" w:cstheme="majorBidi"/>
        </w:rPr>
        <w:t>Bank</w:t>
      </w:r>
      <w:r w:rsidRPr="00BB11D1">
        <w:rPr>
          <w:rFonts w:asciiTheme="majorBidi" w:hAnsiTheme="majorBidi" w:cstheme="majorBidi"/>
          <w:spacing w:val="-42"/>
        </w:rPr>
        <w:t xml:space="preserve"> </w:t>
      </w:r>
      <w:r w:rsidRPr="00BB11D1">
        <w:rPr>
          <w:rFonts w:asciiTheme="majorBidi" w:hAnsiTheme="majorBidi" w:cstheme="majorBidi"/>
        </w:rPr>
        <w:t>Cryptocurrencies”,</w:t>
      </w:r>
      <w:r w:rsidRPr="00BB11D1">
        <w:rPr>
          <w:rFonts w:asciiTheme="majorBidi" w:hAnsiTheme="majorBidi" w:cstheme="majorBidi"/>
          <w:spacing w:val="-42"/>
        </w:rPr>
        <w:t xml:space="preserve"> </w:t>
      </w:r>
      <w:r w:rsidRPr="00BB11D1">
        <w:rPr>
          <w:rFonts w:asciiTheme="majorBidi" w:hAnsiTheme="majorBidi" w:cstheme="majorBidi"/>
        </w:rPr>
        <w:t>Federal</w:t>
      </w:r>
      <w:r w:rsidRPr="00BB11D1">
        <w:rPr>
          <w:rFonts w:asciiTheme="majorBidi" w:hAnsiTheme="majorBidi" w:cstheme="majorBidi"/>
          <w:spacing w:val="-42"/>
        </w:rPr>
        <w:t xml:space="preserve"> </w:t>
      </w:r>
      <w:r w:rsidRPr="00BB11D1">
        <w:rPr>
          <w:rFonts w:asciiTheme="majorBidi" w:hAnsiTheme="majorBidi" w:cstheme="majorBidi"/>
        </w:rPr>
        <w:t>Reserve</w:t>
      </w:r>
      <w:r w:rsidRPr="00BB11D1">
        <w:rPr>
          <w:rFonts w:asciiTheme="majorBidi" w:hAnsiTheme="majorBidi" w:cstheme="majorBidi"/>
          <w:spacing w:val="-41"/>
        </w:rPr>
        <w:t xml:space="preserve"> </w:t>
      </w:r>
      <w:r w:rsidRPr="00BB11D1">
        <w:rPr>
          <w:rFonts w:asciiTheme="majorBidi" w:hAnsiTheme="majorBidi" w:cstheme="majorBidi"/>
        </w:rPr>
        <w:t>Bank</w:t>
      </w:r>
      <w:r w:rsidRPr="00BB11D1">
        <w:rPr>
          <w:rFonts w:asciiTheme="majorBidi" w:hAnsiTheme="majorBidi" w:cstheme="majorBidi"/>
          <w:spacing w:val="-42"/>
        </w:rPr>
        <w:t xml:space="preserve"> </w:t>
      </w:r>
      <w:r w:rsidRPr="00BB11D1">
        <w:rPr>
          <w:rFonts w:asciiTheme="majorBidi" w:hAnsiTheme="majorBidi" w:cstheme="majorBidi"/>
        </w:rPr>
        <w:t>of</w:t>
      </w:r>
      <w:r w:rsidRPr="00BB11D1">
        <w:rPr>
          <w:rFonts w:asciiTheme="majorBidi" w:hAnsiTheme="majorBidi" w:cstheme="majorBidi"/>
          <w:spacing w:val="-41"/>
        </w:rPr>
        <w:t xml:space="preserve"> </w:t>
      </w:r>
      <w:r w:rsidRPr="00BB11D1">
        <w:rPr>
          <w:rFonts w:asciiTheme="majorBidi" w:hAnsiTheme="majorBidi" w:cstheme="majorBidi"/>
        </w:rPr>
        <w:t>St.</w:t>
      </w:r>
      <w:r w:rsidRPr="00BB11D1">
        <w:rPr>
          <w:rFonts w:asciiTheme="majorBidi" w:hAnsiTheme="majorBidi" w:cstheme="majorBidi"/>
          <w:spacing w:val="-42"/>
        </w:rPr>
        <w:t xml:space="preserve"> </w:t>
      </w:r>
      <w:r w:rsidRPr="00BB11D1">
        <w:rPr>
          <w:rFonts w:asciiTheme="majorBidi" w:hAnsiTheme="majorBidi" w:cstheme="majorBidi"/>
        </w:rPr>
        <w:t>Louis</w:t>
      </w:r>
      <w:r w:rsidRPr="00BB11D1">
        <w:rPr>
          <w:rFonts w:asciiTheme="majorBidi" w:hAnsiTheme="majorBidi" w:cstheme="majorBidi"/>
          <w:spacing w:val="-41"/>
        </w:rPr>
        <w:t xml:space="preserve"> </w:t>
      </w:r>
      <w:r w:rsidRPr="00BB11D1">
        <w:rPr>
          <w:rFonts w:asciiTheme="majorBidi" w:hAnsiTheme="majorBidi" w:cstheme="majorBidi"/>
        </w:rPr>
        <w:t>Review,</w:t>
      </w:r>
      <w:r w:rsidRPr="00BB11D1">
        <w:rPr>
          <w:rFonts w:asciiTheme="majorBidi" w:hAnsiTheme="majorBidi" w:cstheme="majorBidi"/>
          <w:spacing w:val="-41"/>
        </w:rPr>
        <w:t xml:space="preserve"> </w:t>
      </w:r>
      <w:r w:rsidRPr="00BB11D1">
        <w:rPr>
          <w:rFonts w:asciiTheme="majorBidi" w:hAnsiTheme="majorBidi" w:cstheme="majorBidi"/>
        </w:rPr>
        <w:t>Second</w:t>
      </w:r>
      <w:r w:rsidRPr="00BB11D1">
        <w:rPr>
          <w:rFonts w:asciiTheme="majorBidi" w:hAnsiTheme="majorBidi" w:cstheme="majorBidi"/>
          <w:spacing w:val="-42"/>
        </w:rPr>
        <w:t xml:space="preserve"> </w:t>
      </w:r>
      <w:r w:rsidRPr="00BB11D1">
        <w:rPr>
          <w:rFonts w:asciiTheme="majorBidi" w:hAnsiTheme="majorBidi" w:cstheme="majorBidi"/>
        </w:rPr>
        <w:t>Quarter</w:t>
      </w:r>
      <w:r w:rsidRPr="00BB11D1">
        <w:rPr>
          <w:rFonts w:asciiTheme="majorBidi" w:hAnsiTheme="majorBidi" w:cstheme="majorBidi"/>
          <w:spacing w:val="-42"/>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before="61" w:line="254" w:lineRule="auto"/>
        <w:ind w:right="766"/>
        <w:jc w:val="both"/>
        <w:rPr>
          <w:rFonts w:asciiTheme="majorBidi" w:hAnsiTheme="majorBidi" w:cstheme="majorBidi"/>
        </w:rPr>
      </w:pPr>
      <w:r w:rsidRPr="00BB11D1">
        <w:rPr>
          <w:rFonts w:asciiTheme="majorBidi" w:hAnsiTheme="majorBidi" w:cstheme="majorBidi"/>
        </w:rPr>
        <w:t>Bjerg,</w:t>
      </w:r>
      <w:r w:rsidRPr="00BB11D1">
        <w:rPr>
          <w:rFonts w:asciiTheme="majorBidi" w:hAnsiTheme="majorBidi" w:cstheme="majorBidi"/>
          <w:spacing w:val="-19"/>
        </w:rPr>
        <w:t xml:space="preserve"> </w:t>
      </w:r>
      <w:r w:rsidRPr="00BB11D1">
        <w:rPr>
          <w:rFonts w:asciiTheme="majorBidi" w:hAnsiTheme="majorBidi" w:cstheme="majorBidi"/>
        </w:rPr>
        <w:t>O.</w:t>
      </w:r>
      <w:r w:rsidRPr="00BB11D1">
        <w:rPr>
          <w:rFonts w:asciiTheme="majorBidi" w:hAnsiTheme="majorBidi" w:cstheme="majorBidi"/>
          <w:spacing w:val="-19"/>
        </w:rPr>
        <w:t xml:space="preserve"> </w:t>
      </w:r>
      <w:r w:rsidRPr="00BB11D1">
        <w:rPr>
          <w:rFonts w:asciiTheme="majorBidi" w:hAnsiTheme="majorBidi" w:cstheme="majorBidi"/>
        </w:rPr>
        <w:t>(2018),</w:t>
      </w:r>
      <w:r w:rsidRPr="00BB11D1">
        <w:rPr>
          <w:rFonts w:asciiTheme="majorBidi" w:hAnsiTheme="majorBidi" w:cstheme="majorBidi"/>
          <w:spacing w:val="-20"/>
        </w:rPr>
        <w:t xml:space="preserve"> </w:t>
      </w:r>
      <w:r w:rsidRPr="00BB11D1">
        <w:rPr>
          <w:rFonts w:asciiTheme="majorBidi" w:hAnsiTheme="majorBidi" w:cstheme="majorBidi"/>
        </w:rPr>
        <w:t>“Breaking</w:t>
      </w:r>
      <w:r w:rsidRPr="00BB11D1">
        <w:rPr>
          <w:rFonts w:asciiTheme="majorBidi" w:hAnsiTheme="majorBidi" w:cstheme="majorBidi"/>
          <w:spacing w:val="-19"/>
        </w:rPr>
        <w:t xml:space="preserve"> </w:t>
      </w:r>
      <w:r w:rsidRPr="00BB11D1">
        <w:rPr>
          <w:rFonts w:asciiTheme="majorBidi" w:hAnsiTheme="majorBidi" w:cstheme="majorBidi"/>
        </w:rPr>
        <w:t>the</w:t>
      </w:r>
      <w:r w:rsidRPr="00BB11D1">
        <w:rPr>
          <w:rFonts w:asciiTheme="majorBidi" w:hAnsiTheme="majorBidi" w:cstheme="majorBidi"/>
          <w:spacing w:val="-18"/>
        </w:rPr>
        <w:t xml:space="preserve"> </w:t>
      </w:r>
      <w:r w:rsidRPr="00BB11D1">
        <w:rPr>
          <w:rFonts w:asciiTheme="majorBidi" w:hAnsiTheme="majorBidi" w:cstheme="majorBidi"/>
        </w:rPr>
        <w:t>Gilt</w:t>
      </w:r>
      <w:r w:rsidRPr="00BB11D1">
        <w:rPr>
          <w:rFonts w:asciiTheme="majorBidi" w:hAnsiTheme="majorBidi" w:cstheme="majorBidi"/>
          <w:spacing w:val="-19"/>
        </w:rPr>
        <w:t xml:space="preserve"> </w:t>
      </w:r>
      <w:r w:rsidRPr="00BB11D1">
        <w:rPr>
          <w:rFonts w:asciiTheme="majorBidi" w:hAnsiTheme="majorBidi" w:cstheme="majorBidi"/>
        </w:rPr>
        <w:t>Standard:</w:t>
      </w:r>
      <w:r w:rsidRPr="00BB11D1">
        <w:rPr>
          <w:rFonts w:asciiTheme="majorBidi" w:hAnsiTheme="majorBidi" w:cstheme="majorBidi"/>
          <w:spacing w:val="-19"/>
        </w:rPr>
        <w:t xml:space="preserve"> </w:t>
      </w:r>
      <w:r w:rsidRPr="00BB11D1">
        <w:rPr>
          <w:rFonts w:asciiTheme="majorBidi" w:hAnsiTheme="majorBidi" w:cstheme="majorBidi"/>
        </w:rPr>
        <w:t>The</w:t>
      </w:r>
      <w:r w:rsidRPr="00BB11D1">
        <w:rPr>
          <w:rFonts w:asciiTheme="majorBidi" w:hAnsiTheme="majorBidi" w:cstheme="majorBidi"/>
          <w:spacing w:val="-20"/>
        </w:rPr>
        <w:t xml:space="preserve"> </w:t>
      </w:r>
      <w:r w:rsidRPr="00BB11D1">
        <w:rPr>
          <w:rFonts w:asciiTheme="majorBidi" w:hAnsiTheme="majorBidi" w:cstheme="majorBidi"/>
        </w:rPr>
        <w:t>Problem</w:t>
      </w:r>
      <w:r w:rsidRPr="00BB11D1">
        <w:rPr>
          <w:rFonts w:asciiTheme="majorBidi" w:hAnsiTheme="majorBidi" w:cstheme="majorBidi"/>
          <w:spacing w:val="-19"/>
        </w:rPr>
        <w:t xml:space="preserve"> </w:t>
      </w:r>
      <w:r w:rsidRPr="00BB11D1">
        <w:rPr>
          <w:rFonts w:asciiTheme="majorBidi" w:hAnsiTheme="majorBidi" w:cstheme="majorBidi"/>
        </w:rPr>
        <w:t>of</w:t>
      </w:r>
      <w:r w:rsidRPr="00BB11D1">
        <w:rPr>
          <w:rFonts w:asciiTheme="majorBidi" w:hAnsiTheme="majorBidi" w:cstheme="majorBidi"/>
          <w:spacing w:val="-20"/>
        </w:rPr>
        <w:t xml:space="preserve"> </w:t>
      </w:r>
      <w:r w:rsidRPr="00BB11D1">
        <w:rPr>
          <w:rFonts w:asciiTheme="majorBidi" w:hAnsiTheme="majorBidi" w:cstheme="majorBidi"/>
        </w:rPr>
        <w:t>Parity</w:t>
      </w:r>
      <w:r w:rsidRPr="00BB11D1">
        <w:rPr>
          <w:rFonts w:asciiTheme="majorBidi" w:hAnsiTheme="majorBidi" w:cstheme="majorBidi"/>
          <w:spacing w:val="-18"/>
        </w:rPr>
        <w:t xml:space="preserve"> </w:t>
      </w:r>
      <w:r w:rsidRPr="00BB11D1">
        <w:rPr>
          <w:rFonts w:asciiTheme="majorBidi" w:hAnsiTheme="majorBidi" w:cstheme="majorBidi"/>
        </w:rPr>
        <w:t>in</w:t>
      </w:r>
      <w:r w:rsidRPr="00BB11D1">
        <w:rPr>
          <w:rFonts w:asciiTheme="majorBidi" w:hAnsiTheme="majorBidi" w:cstheme="majorBidi"/>
          <w:spacing w:val="-19"/>
        </w:rPr>
        <w:t xml:space="preserve"> </w:t>
      </w:r>
      <w:r w:rsidRPr="00BB11D1">
        <w:rPr>
          <w:rFonts w:asciiTheme="majorBidi" w:hAnsiTheme="majorBidi" w:cstheme="majorBidi"/>
        </w:rPr>
        <w:t>Kumhof</w:t>
      </w:r>
      <w:r w:rsidRPr="00BB11D1">
        <w:rPr>
          <w:rFonts w:asciiTheme="majorBidi" w:hAnsiTheme="majorBidi" w:cstheme="majorBidi"/>
          <w:spacing w:val="-19"/>
        </w:rPr>
        <w:t xml:space="preserve"> </w:t>
      </w:r>
      <w:r w:rsidRPr="00BB11D1">
        <w:rPr>
          <w:rFonts w:asciiTheme="majorBidi" w:hAnsiTheme="majorBidi" w:cstheme="majorBidi"/>
        </w:rPr>
        <w:t>and</w:t>
      </w:r>
      <w:r w:rsidRPr="00BB11D1">
        <w:rPr>
          <w:rFonts w:asciiTheme="majorBidi" w:hAnsiTheme="majorBidi" w:cstheme="majorBidi"/>
          <w:spacing w:val="-19"/>
        </w:rPr>
        <w:t xml:space="preserve"> </w:t>
      </w:r>
      <w:r w:rsidRPr="00BB11D1">
        <w:rPr>
          <w:rFonts w:asciiTheme="majorBidi" w:hAnsiTheme="majorBidi" w:cstheme="majorBidi"/>
        </w:rPr>
        <w:t>Noone's</w:t>
      </w:r>
      <w:r w:rsidRPr="00BB11D1">
        <w:rPr>
          <w:rFonts w:asciiTheme="majorBidi" w:hAnsiTheme="majorBidi" w:cstheme="majorBidi"/>
          <w:spacing w:val="-19"/>
        </w:rPr>
        <w:t xml:space="preserve"> </w:t>
      </w:r>
      <w:r w:rsidRPr="00BB11D1">
        <w:rPr>
          <w:rFonts w:asciiTheme="majorBidi" w:hAnsiTheme="majorBidi" w:cstheme="majorBidi"/>
        </w:rPr>
        <w:t xml:space="preserve">Design </w:t>
      </w:r>
      <w:r w:rsidRPr="00BB11D1">
        <w:rPr>
          <w:rFonts w:asciiTheme="majorBidi" w:hAnsiTheme="majorBidi" w:cstheme="majorBidi"/>
          <w:w w:val="95"/>
        </w:rPr>
        <w:t>Principles</w:t>
      </w:r>
      <w:r w:rsidRPr="00BB11D1">
        <w:rPr>
          <w:rFonts w:asciiTheme="majorBidi" w:hAnsiTheme="majorBidi" w:cstheme="majorBidi"/>
          <w:spacing w:val="-26"/>
          <w:w w:val="95"/>
        </w:rPr>
        <w:t xml:space="preserve"> </w:t>
      </w:r>
      <w:r w:rsidRPr="00BB11D1">
        <w:rPr>
          <w:rFonts w:asciiTheme="majorBidi" w:hAnsiTheme="majorBidi" w:cstheme="majorBidi"/>
          <w:w w:val="95"/>
        </w:rPr>
        <w:t>for</w:t>
      </w:r>
      <w:r w:rsidRPr="00BB11D1">
        <w:rPr>
          <w:rFonts w:asciiTheme="majorBidi" w:hAnsiTheme="majorBidi" w:cstheme="majorBidi"/>
          <w:spacing w:val="-25"/>
          <w:w w:val="95"/>
        </w:rPr>
        <w:t xml:space="preserve"> </w:t>
      </w:r>
      <w:r w:rsidRPr="00BB11D1">
        <w:rPr>
          <w:rFonts w:asciiTheme="majorBidi" w:hAnsiTheme="majorBidi" w:cstheme="majorBidi"/>
          <w:w w:val="95"/>
        </w:rPr>
        <w:t>Central</w:t>
      </w:r>
      <w:r w:rsidRPr="00BB11D1">
        <w:rPr>
          <w:rFonts w:asciiTheme="majorBidi" w:hAnsiTheme="majorBidi" w:cstheme="majorBidi"/>
          <w:spacing w:val="-24"/>
          <w:w w:val="95"/>
        </w:rPr>
        <w:t xml:space="preserve"> </w:t>
      </w:r>
      <w:r w:rsidRPr="00BB11D1">
        <w:rPr>
          <w:rFonts w:asciiTheme="majorBidi" w:hAnsiTheme="majorBidi" w:cstheme="majorBidi"/>
          <w:w w:val="95"/>
        </w:rPr>
        <w:t>Bank</w:t>
      </w:r>
      <w:r w:rsidRPr="00BB11D1">
        <w:rPr>
          <w:rFonts w:asciiTheme="majorBidi" w:hAnsiTheme="majorBidi" w:cstheme="majorBidi"/>
          <w:spacing w:val="-24"/>
          <w:w w:val="95"/>
        </w:rPr>
        <w:t xml:space="preserve"> </w:t>
      </w:r>
      <w:r w:rsidRPr="00BB11D1">
        <w:rPr>
          <w:rFonts w:asciiTheme="majorBidi" w:hAnsiTheme="majorBidi" w:cstheme="majorBidi"/>
          <w:w w:val="95"/>
        </w:rPr>
        <w:t>Digital</w:t>
      </w:r>
      <w:r w:rsidRPr="00BB11D1">
        <w:rPr>
          <w:rFonts w:asciiTheme="majorBidi" w:hAnsiTheme="majorBidi" w:cstheme="majorBidi"/>
          <w:spacing w:val="-25"/>
          <w:w w:val="95"/>
        </w:rPr>
        <w:t xml:space="preserve"> </w:t>
      </w:r>
      <w:r w:rsidRPr="00BB11D1">
        <w:rPr>
          <w:rFonts w:asciiTheme="majorBidi" w:hAnsiTheme="majorBidi" w:cstheme="majorBidi"/>
          <w:w w:val="95"/>
        </w:rPr>
        <w:t>Currencies”,</w:t>
      </w:r>
      <w:r w:rsidRPr="00BB11D1">
        <w:rPr>
          <w:rFonts w:asciiTheme="majorBidi" w:hAnsiTheme="majorBidi" w:cstheme="majorBidi"/>
          <w:spacing w:val="-24"/>
          <w:w w:val="95"/>
        </w:rPr>
        <w:t xml:space="preserve"> </w:t>
      </w:r>
      <w:r w:rsidRPr="00BB11D1">
        <w:rPr>
          <w:rFonts w:asciiTheme="majorBidi" w:hAnsiTheme="majorBidi" w:cstheme="majorBidi"/>
          <w:w w:val="95"/>
        </w:rPr>
        <w:t>Frederiksberg:</w:t>
      </w:r>
      <w:r w:rsidRPr="00BB11D1">
        <w:rPr>
          <w:rFonts w:asciiTheme="majorBidi" w:hAnsiTheme="majorBidi" w:cstheme="majorBidi"/>
          <w:spacing w:val="-25"/>
          <w:w w:val="95"/>
        </w:rPr>
        <w:t xml:space="preserve"> </w:t>
      </w:r>
      <w:r w:rsidRPr="00BB11D1">
        <w:rPr>
          <w:rFonts w:asciiTheme="majorBidi" w:hAnsiTheme="majorBidi" w:cstheme="majorBidi"/>
          <w:w w:val="95"/>
        </w:rPr>
        <w:t>Copenhagen</w:t>
      </w:r>
      <w:r w:rsidRPr="00BB11D1">
        <w:rPr>
          <w:rFonts w:asciiTheme="majorBidi" w:hAnsiTheme="majorBidi" w:cstheme="majorBidi"/>
          <w:spacing w:val="-25"/>
          <w:w w:val="95"/>
        </w:rPr>
        <w:t xml:space="preserve"> </w:t>
      </w:r>
      <w:r w:rsidRPr="00BB11D1">
        <w:rPr>
          <w:rFonts w:asciiTheme="majorBidi" w:hAnsiTheme="majorBidi" w:cstheme="majorBidi"/>
          <w:w w:val="95"/>
        </w:rPr>
        <w:t>Business</w:t>
      </w:r>
      <w:r w:rsidRPr="00BB11D1">
        <w:rPr>
          <w:rFonts w:asciiTheme="majorBidi" w:hAnsiTheme="majorBidi" w:cstheme="majorBidi"/>
          <w:spacing w:val="-24"/>
          <w:w w:val="95"/>
        </w:rPr>
        <w:t xml:space="preserve"> </w:t>
      </w:r>
      <w:r w:rsidRPr="00BB11D1">
        <w:rPr>
          <w:rFonts w:asciiTheme="majorBidi" w:hAnsiTheme="majorBidi" w:cstheme="majorBidi"/>
          <w:w w:val="95"/>
        </w:rPr>
        <w:t>School,</w:t>
      </w:r>
      <w:r w:rsidRPr="00BB11D1">
        <w:rPr>
          <w:rFonts w:asciiTheme="majorBidi" w:hAnsiTheme="majorBidi" w:cstheme="majorBidi"/>
          <w:spacing w:val="-25"/>
          <w:w w:val="95"/>
        </w:rPr>
        <w:t xml:space="preserve"> </w:t>
      </w:r>
      <w:r w:rsidRPr="00BB11D1">
        <w:rPr>
          <w:rFonts w:asciiTheme="majorBidi" w:hAnsiTheme="majorBidi" w:cstheme="majorBidi"/>
          <w:w w:val="95"/>
        </w:rPr>
        <w:t>CBS.</w:t>
      </w:r>
      <w:r w:rsidRPr="00BB11D1">
        <w:rPr>
          <w:rFonts w:asciiTheme="majorBidi" w:hAnsiTheme="majorBidi" w:cstheme="majorBidi"/>
          <w:spacing w:val="-26"/>
          <w:w w:val="95"/>
        </w:rPr>
        <w:t xml:space="preserve"> </w:t>
      </w:r>
      <w:r w:rsidRPr="00BB11D1">
        <w:rPr>
          <w:rFonts w:asciiTheme="majorBidi" w:hAnsiTheme="majorBidi" w:cstheme="majorBidi"/>
          <w:w w:val="95"/>
        </w:rPr>
        <w:t xml:space="preserve">DOI: </w:t>
      </w:r>
      <w:r w:rsidRPr="00BB11D1">
        <w:rPr>
          <w:rFonts w:asciiTheme="majorBidi" w:hAnsiTheme="majorBidi" w:cstheme="majorBidi"/>
        </w:rPr>
        <w:t>10.2139/ssrn.3230625</w:t>
      </w:r>
    </w:p>
    <w:p w:rsidR="00BB11D1" w:rsidRPr="00BB11D1" w:rsidRDefault="00BB11D1" w:rsidP="00BB11D1">
      <w:pPr>
        <w:pStyle w:val="BodyText"/>
        <w:numPr>
          <w:ilvl w:val="0"/>
          <w:numId w:val="17"/>
        </w:numPr>
        <w:spacing w:before="62" w:line="254" w:lineRule="auto"/>
        <w:ind w:right="766"/>
        <w:jc w:val="both"/>
        <w:rPr>
          <w:rFonts w:asciiTheme="majorBidi" w:hAnsiTheme="majorBidi" w:cstheme="majorBidi"/>
        </w:rPr>
      </w:pPr>
      <w:r w:rsidRPr="00BB11D1">
        <w:rPr>
          <w:rFonts w:asciiTheme="majorBidi" w:hAnsiTheme="majorBidi" w:cstheme="majorBidi"/>
        </w:rPr>
        <w:t>Bindseil</w:t>
      </w:r>
      <w:r w:rsidRPr="00BB11D1">
        <w:rPr>
          <w:rFonts w:asciiTheme="majorBidi" w:hAnsiTheme="majorBidi" w:cstheme="majorBidi"/>
          <w:spacing w:val="-40"/>
        </w:rPr>
        <w:t xml:space="preserve"> </w:t>
      </w:r>
      <w:r w:rsidRPr="00BB11D1">
        <w:rPr>
          <w:rFonts w:asciiTheme="majorBidi" w:hAnsiTheme="majorBidi" w:cstheme="majorBidi"/>
        </w:rPr>
        <w:t>U.</w:t>
      </w:r>
      <w:r w:rsidRPr="00BB11D1">
        <w:rPr>
          <w:rFonts w:asciiTheme="majorBidi" w:hAnsiTheme="majorBidi" w:cstheme="majorBidi"/>
          <w:spacing w:val="-39"/>
        </w:rPr>
        <w:t xml:space="preserve"> </w:t>
      </w:r>
      <w:r w:rsidRPr="00BB11D1">
        <w:rPr>
          <w:rFonts w:asciiTheme="majorBidi" w:hAnsiTheme="majorBidi" w:cstheme="majorBidi"/>
        </w:rPr>
        <w:t>and</w:t>
      </w:r>
      <w:r w:rsidRPr="00BB11D1">
        <w:rPr>
          <w:rFonts w:asciiTheme="majorBidi" w:hAnsiTheme="majorBidi" w:cstheme="majorBidi"/>
          <w:spacing w:val="-40"/>
        </w:rPr>
        <w:t xml:space="preserve"> </w:t>
      </w:r>
      <w:r w:rsidRPr="00BB11D1">
        <w:rPr>
          <w:rFonts w:asciiTheme="majorBidi" w:hAnsiTheme="majorBidi" w:cstheme="majorBidi"/>
        </w:rPr>
        <w:t>Jablecki,</w:t>
      </w:r>
      <w:r w:rsidRPr="00BB11D1">
        <w:rPr>
          <w:rFonts w:asciiTheme="majorBidi" w:hAnsiTheme="majorBidi" w:cstheme="majorBidi"/>
          <w:spacing w:val="-39"/>
        </w:rPr>
        <w:t xml:space="preserve"> </w:t>
      </w:r>
      <w:r w:rsidRPr="00BB11D1">
        <w:rPr>
          <w:rFonts w:asciiTheme="majorBidi" w:hAnsiTheme="majorBidi" w:cstheme="majorBidi"/>
        </w:rPr>
        <w:t>J</w:t>
      </w:r>
      <w:r w:rsidRPr="00BB11D1">
        <w:rPr>
          <w:rFonts w:asciiTheme="majorBidi" w:hAnsiTheme="majorBidi" w:cstheme="majorBidi"/>
          <w:spacing w:val="-39"/>
        </w:rPr>
        <w:t xml:space="preserve"> </w:t>
      </w:r>
      <w:r w:rsidRPr="00BB11D1">
        <w:rPr>
          <w:rFonts w:asciiTheme="majorBidi" w:hAnsiTheme="majorBidi" w:cstheme="majorBidi"/>
        </w:rPr>
        <w:t>(2011),</w:t>
      </w:r>
      <w:r w:rsidRPr="00BB11D1">
        <w:rPr>
          <w:rFonts w:asciiTheme="majorBidi" w:hAnsiTheme="majorBidi" w:cstheme="majorBidi"/>
          <w:spacing w:val="-40"/>
        </w:rPr>
        <w:t xml:space="preserve"> </w:t>
      </w:r>
      <w:r w:rsidRPr="00BB11D1">
        <w:rPr>
          <w:rFonts w:asciiTheme="majorBidi" w:hAnsiTheme="majorBidi" w:cstheme="majorBidi"/>
        </w:rPr>
        <w:t>“The</w:t>
      </w:r>
      <w:r w:rsidRPr="00BB11D1">
        <w:rPr>
          <w:rFonts w:asciiTheme="majorBidi" w:hAnsiTheme="majorBidi" w:cstheme="majorBidi"/>
          <w:spacing w:val="-40"/>
        </w:rPr>
        <w:t xml:space="preserve"> </w:t>
      </w:r>
      <w:r w:rsidRPr="00BB11D1">
        <w:rPr>
          <w:rFonts w:asciiTheme="majorBidi" w:hAnsiTheme="majorBidi" w:cstheme="majorBidi"/>
        </w:rPr>
        <w:t>optimal</w:t>
      </w:r>
      <w:r w:rsidRPr="00BB11D1">
        <w:rPr>
          <w:rFonts w:asciiTheme="majorBidi" w:hAnsiTheme="majorBidi" w:cstheme="majorBidi"/>
          <w:spacing w:val="-39"/>
        </w:rPr>
        <w:t xml:space="preserve"> </w:t>
      </w:r>
      <w:r w:rsidRPr="00BB11D1">
        <w:rPr>
          <w:rFonts w:asciiTheme="majorBidi" w:hAnsiTheme="majorBidi" w:cstheme="majorBidi"/>
        </w:rPr>
        <w:t>width</w:t>
      </w:r>
      <w:r w:rsidRPr="00BB11D1">
        <w:rPr>
          <w:rFonts w:asciiTheme="majorBidi" w:hAnsiTheme="majorBidi" w:cstheme="majorBidi"/>
          <w:spacing w:val="-40"/>
        </w:rPr>
        <w:t xml:space="preserve"> </w:t>
      </w:r>
      <w:r w:rsidRPr="00BB11D1">
        <w:rPr>
          <w:rFonts w:asciiTheme="majorBidi" w:hAnsiTheme="majorBidi" w:cstheme="majorBidi"/>
        </w:rPr>
        <w:t>of</w:t>
      </w:r>
      <w:r w:rsidRPr="00BB11D1">
        <w:rPr>
          <w:rFonts w:asciiTheme="majorBidi" w:hAnsiTheme="majorBidi" w:cstheme="majorBidi"/>
          <w:spacing w:val="-39"/>
        </w:rPr>
        <w:t xml:space="preserve"> </w:t>
      </w:r>
      <w:r w:rsidRPr="00BB11D1">
        <w:rPr>
          <w:rFonts w:asciiTheme="majorBidi" w:hAnsiTheme="majorBidi" w:cstheme="majorBidi"/>
        </w:rPr>
        <w:t>the</w:t>
      </w:r>
      <w:r w:rsidRPr="00BB11D1">
        <w:rPr>
          <w:rFonts w:asciiTheme="majorBidi" w:hAnsiTheme="majorBidi" w:cstheme="majorBidi"/>
          <w:spacing w:val="-40"/>
        </w:rPr>
        <w:t xml:space="preserve"> </w:t>
      </w:r>
      <w:r w:rsidRPr="00BB11D1">
        <w:rPr>
          <w:rFonts w:asciiTheme="majorBidi" w:hAnsiTheme="majorBidi" w:cstheme="majorBidi"/>
        </w:rPr>
        <w:t>central</w:t>
      </w:r>
      <w:r w:rsidRPr="00BB11D1">
        <w:rPr>
          <w:rFonts w:asciiTheme="majorBidi" w:hAnsiTheme="majorBidi" w:cstheme="majorBidi"/>
          <w:spacing w:val="-39"/>
        </w:rPr>
        <w:t xml:space="preserve"> </w:t>
      </w:r>
      <w:r w:rsidRPr="00BB11D1">
        <w:rPr>
          <w:rFonts w:asciiTheme="majorBidi" w:hAnsiTheme="majorBidi" w:cstheme="majorBidi"/>
        </w:rPr>
        <w:t>bank</w:t>
      </w:r>
      <w:r w:rsidRPr="00BB11D1">
        <w:rPr>
          <w:rFonts w:asciiTheme="majorBidi" w:hAnsiTheme="majorBidi" w:cstheme="majorBidi"/>
          <w:spacing w:val="-40"/>
        </w:rPr>
        <w:t xml:space="preserve"> </w:t>
      </w:r>
      <w:r w:rsidRPr="00BB11D1">
        <w:rPr>
          <w:rFonts w:asciiTheme="majorBidi" w:hAnsiTheme="majorBidi" w:cstheme="majorBidi"/>
        </w:rPr>
        <w:t>standing</w:t>
      </w:r>
      <w:r w:rsidRPr="00BB11D1">
        <w:rPr>
          <w:rFonts w:asciiTheme="majorBidi" w:hAnsiTheme="majorBidi" w:cstheme="majorBidi"/>
          <w:spacing w:val="-39"/>
        </w:rPr>
        <w:t xml:space="preserve"> </w:t>
      </w:r>
      <w:r w:rsidRPr="00BB11D1">
        <w:rPr>
          <w:rFonts w:asciiTheme="majorBidi" w:hAnsiTheme="majorBidi" w:cstheme="majorBidi"/>
        </w:rPr>
        <w:t>facilities</w:t>
      </w:r>
      <w:r w:rsidRPr="00BB11D1">
        <w:rPr>
          <w:rFonts w:asciiTheme="majorBidi" w:hAnsiTheme="majorBidi" w:cstheme="majorBidi"/>
          <w:spacing w:val="-39"/>
        </w:rPr>
        <w:t xml:space="preserve"> </w:t>
      </w:r>
      <w:r w:rsidRPr="00BB11D1">
        <w:rPr>
          <w:rFonts w:asciiTheme="majorBidi" w:hAnsiTheme="majorBidi" w:cstheme="majorBidi"/>
        </w:rPr>
        <w:t>corridor</w:t>
      </w:r>
      <w:r w:rsidRPr="00BB11D1">
        <w:rPr>
          <w:rFonts w:asciiTheme="majorBidi" w:hAnsiTheme="majorBidi" w:cstheme="majorBidi"/>
          <w:spacing w:val="-39"/>
        </w:rPr>
        <w:t xml:space="preserve"> </w:t>
      </w:r>
      <w:r w:rsidRPr="00BB11D1">
        <w:rPr>
          <w:rFonts w:asciiTheme="majorBidi" w:hAnsiTheme="majorBidi" w:cstheme="majorBidi"/>
        </w:rPr>
        <w:t>and banks’</w:t>
      </w:r>
      <w:r w:rsidRPr="00BB11D1">
        <w:rPr>
          <w:rFonts w:asciiTheme="majorBidi" w:hAnsiTheme="majorBidi" w:cstheme="majorBidi"/>
          <w:spacing w:val="-21"/>
        </w:rPr>
        <w:t xml:space="preserve"> </w:t>
      </w:r>
      <w:r w:rsidRPr="00BB11D1">
        <w:rPr>
          <w:rFonts w:asciiTheme="majorBidi" w:hAnsiTheme="majorBidi" w:cstheme="majorBidi"/>
        </w:rPr>
        <w:t>day-to-day</w:t>
      </w:r>
      <w:r w:rsidRPr="00BB11D1">
        <w:rPr>
          <w:rFonts w:asciiTheme="majorBidi" w:hAnsiTheme="majorBidi" w:cstheme="majorBidi"/>
          <w:spacing w:val="-22"/>
        </w:rPr>
        <w:t xml:space="preserve"> </w:t>
      </w:r>
      <w:r w:rsidRPr="00BB11D1">
        <w:rPr>
          <w:rFonts w:asciiTheme="majorBidi" w:hAnsiTheme="majorBidi" w:cstheme="majorBidi"/>
        </w:rPr>
        <w:t>liquidity</w:t>
      </w:r>
      <w:r w:rsidRPr="00BB11D1">
        <w:rPr>
          <w:rFonts w:asciiTheme="majorBidi" w:hAnsiTheme="majorBidi" w:cstheme="majorBidi"/>
          <w:spacing w:val="-22"/>
        </w:rPr>
        <w:t xml:space="preserve"> </w:t>
      </w:r>
      <w:r w:rsidRPr="00BB11D1">
        <w:rPr>
          <w:rFonts w:asciiTheme="majorBidi" w:hAnsiTheme="majorBidi" w:cstheme="majorBidi"/>
        </w:rPr>
        <w:t>management”,</w:t>
      </w:r>
      <w:r w:rsidRPr="00BB11D1">
        <w:rPr>
          <w:rFonts w:asciiTheme="majorBidi" w:hAnsiTheme="majorBidi" w:cstheme="majorBidi"/>
          <w:spacing w:val="-23"/>
        </w:rPr>
        <w:t xml:space="preserve"> </w:t>
      </w:r>
      <w:r w:rsidRPr="00BB11D1">
        <w:rPr>
          <w:rFonts w:asciiTheme="majorBidi" w:hAnsiTheme="majorBidi" w:cstheme="majorBidi"/>
        </w:rPr>
        <w:t>ECB</w:t>
      </w:r>
      <w:r w:rsidRPr="00BB11D1">
        <w:rPr>
          <w:rFonts w:asciiTheme="majorBidi" w:hAnsiTheme="majorBidi" w:cstheme="majorBidi"/>
          <w:spacing w:val="-23"/>
        </w:rPr>
        <w:t xml:space="preserve"> </w:t>
      </w:r>
      <w:r w:rsidRPr="00BB11D1">
        <w:rPr>
          <w:rFonts w:asciiTheme="majorBidi" w:hAnsiTheme="majorBidi" w:cstheme="majorBidi"/>
        </w:rPr>
        <w:t>Working</w:t>
      </w:r>
      <w:r w:rsidRPr="00BB11D1">
        <w:rPr>
          <w:rFonts w:asciiTheme="majorBidi" w:hAnsiTheme="majorBidi" w:cstheme="majorBidi"/>
          <w:spacing w:val="-21"/>
        </w:rPr>
        <w:t xml:space="preserve"> </w:t>
      </w:r>
      <w:r w:rsidRPr="00BB11D1">
        <w:rPr>
          <w:rFonts w:asciiTheme="majorBidi" w:hAnsiTheme="majorBidi" w:cstheme="majorBidi"/>
        </w:rPr>
        <w:t>Paper</w:t>
      </w:r>
      <w:r w:rsidRPr="00BB11D1">
        <w:rPr>
          <w:rFonts w:asciiTheme="majorBidi" w:hAnsiTheme="majorBidi" w:cstheme="majorBidi"/>
          <w:spacing w:val="-20"/>
        </w:rPr>
        <w:t xml:space="preserve"> </w:t>
      </w:r>
      <w:r w:rsidRPr="00BB11D1">
        <w:rPr>
          <w:rFonts w:asciiTheme="majorBidi" w:hAnsiTheme="majorBidi" w:cstheme="majorBidi"/>
        </w:rPr>
        <w:t>Series</w:t>
      </w:r>
      <w:r w:rsidRPr="00BB11D1">
        <w:rPr>
          <w:rFonts w:asciiTheme="majorBidi" w:hAnsiTheme="majorBidi" w:cstheme="majorBidi"/>
          <w:spacing w:val="-23"/>
        </w:rPr>
        <w:t xml:space="preserve"> </w:t>
      </w:r>
      <w:r w:rsidRPr="00BB11D1">
        <w:rPr>
          <w:rFonts w:asciiTheme="majorBidi" w:hAnsiTheme="majorBidi" w:cstheme="majorBidi"/>
        </w:rPr>
        <w:t>1350.</w:t>
      </w:r>
    </w:p>
    <w:p w:rsidR="00BB11D1" w:rsidRPr="00BB11D1" w:rsidRDefault="00BB11D1" w:rsidP="00BB11D1">
      <w:pPr>
        <w:pStyle w:val="BodyText"/>
        <w:numPr>
          <w:ilvl w:val="0"/>
          <w:numId w:val="17"/>
        </w:numPr>
        <w:spacing w:before="58" w:line="254" w:lineRule="auto"/>
        <w:ind w:right="767"/>
        <w:jc w:val="both"/>
        <w:rPr>
          <w:rFonts w:asciiTheme="majorBidi" w:hAnsiTheme="majorBidi" w:cstheme="majorBidi"/>
        </w:rPr>
      </w:pPr>
      <w:r w:rsidRPr="00BB11D1">
        <w:rPr>
          <w:rFonts w:asciiTheme="majorBidi" w:hAnsiTheme="majorBidi" w:cstheme="majorBidi"/>
          <w:w w:val="95"/>
        </w:rPr>
        <w:t>Bindseil,</w:t>
      </w:r>
      <w:r w:rsidRPr="00BB11D1">
        <w:rPr>
          <w:rFonts w:asciiTheme="majorBidi" w:hAnsiTheme="majorBidi" w:cstheme="majorBidi"/>
          <w:spacing w:val="-19"/>
          <w:w w:val="95"/>
        </w:rPr>
        <w:t xml:space="preserve"> </w:t>
      </w:r>
      <w:r w:rsidRPr="00BB11D1">
        <w:rPr>
          <w:rFonts w:asciiTheme="majorBidi" w:hAnsiTheme="majorBidi" w:cstheme="majorBidi"/>
          <w:w w:val="95"/>
        </w:rPr>
        <w:t>U.</w:t>
      </w:r>
      <w:r w:rsidRPr="00BB11D1">
        <w:rPr>
          <w:rFonts w:asciiTheme="majorBidi" w:hAnsiTheme="majorBidi" w:cstheme="majorBidi"/>
          <w:spacing w:val="-20"/>
          <w:w w:val="95"/>
        </w:rPr>
        <w:t xml:space="preserve"> </w:t>
      </w:r>
      <w:r w:rsidRPr="00BB11D1">
        <w:rPr>
          <w:rFonts w:asciiTheme="majorBidi" w:hAnsiTheme="majorBidi" w:cstheme="majorBidi"/>
          <w:w w:val="95"/>
        </w:rPr>
        <w:t>and</w:t>
      </w:r>
      <w:r w:rsidRPr="00BB11D1">
        <w:rPr>
          <w:rFonts w:asciiTheme="majorBidi" w:hAnsiTheme="majorBidi" w:cstheme="majorBidi"/>
          <w:spacing w:val="-20"/>
          <w:w w:val="95"/>
        </w:rPr>
        <w:t xml:space="preserve"> </w:t>
      </w:r>
      <w:r w:rsidRPr="00BB11D1">
        <w:rPr>
          <w:rFonts w:asciiTheme="majorBidi" w:hAnsiTheme="majorBidi" w:cstheme="majorBidi"/>
          <w:w w:val="95"/>
        </w:rPr>
        <w:t>M.</w:t>
      </w:r>
      <w:r w:rsidRPr="00BB11D1">
        <w:rPr>
          <w:rFonts w:asciiTheme="majorBidi" w:hAnsiTheme="majorBidi" w:cstheme="majorBidi"/>
          <w:spacing w:val="-19"/>
          <w:w w:val="95"/>
        </w:rPr>
        <w:t xml:space="preserve"> </w:t>
      </w:r>
      <w:r w:rsidRPr="00BB11D1">
        <w:rPr>
          <w:rFonts w:asciiTheme="majorBidi" w:hAnsiTheme="majorBidi" w:cstheme="majorBidi"/>
          <w:w w:val="95"/>
        </w:rPr>
        <w:t>Corsi,</w:t>
      </w:r>
      <w:r w:rsidRPr="00BB11D1">
        <w:rPr>
          <w:rFonts w:asciiTheme="majorBidi" w:hAnsiTheme="majorBidi" w:cstheme="majorBidi"/>
          <w:spacing w:val="-21"/>
          <w:w w:val="95"/>
        </w:rPr>
        <w:t xml:space="preserve"> </w:t>
      </w:r>
      <w:r w:rsidRPr="00BB11D1">
        <w:rPr>
          <w:rFonts w:asciiTheme="majorBidi" w:hAnsiTheme="majorBidi" w:cstheme="majorBidi"/>
          <w:w w:val="95"/>
        </w:rPr>
        <w:t>B.</w:t>
      </w:r>
      <w:r w:rsidRPr="00BB11D1">
        <w:rPr>
          <w:rFonts w:asciiTheme="majorBidi" w:hAnsiTheme="majorBidi" w:cstheme="majorBidi"/>
          <w:spacing w:val="-19"/>
          <w:w w:val="95"/>
        </w:rPr>
        <w:t xml:space="preserve"> </w:t>
      </w:r>
      <w:r w:rsidRPr="00BB11D1">
        <w:rPr>
          <w:rFonts w:asciiTheme="majorBidi" w:hAnsiTheme="majorBidi" w:cstheme="majorBidi"/>
          <w:w w:val="95"/>
        </w:rPr>
        <w:t>Sahel</w:t>
      </w:r>
      <w:r w:rsidRPr="00BB11D1">
        <w:rPr>
          <w:rFonts w:asciiTheme="majorBidi" w:hAnsiTheme="majorBidi" w:cstheme="majorBidi"/>
          <w:spacing w:val="-20"/>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A.</w:t>
      </w:r>
      <w:r w:rsidRPr="00BB11D1">
        <w:rPr>
          <w:rFonts w:asciiTheme="majorBidi" w:hAnsiTheme="majorBidi" w:cstheme="majorBidi"/>
          <w:spacing w:val="-19"/>
          <w:w w:val="95"/>
        </w:rPr>
        <w:t xml:space="preserve"> </w:t>
      </w:r>
      <w:r w:rsidRPr="00BB11D1">
        <w:rPr>
          <w:rFonts w:asciiTheme="majorBidi" w:hAnsiTheme="majorBidi" w:cstheme="majorBidi"/>
          <w:w w:val="95"/>
        </w:rPr>
        <w:t>Visser</w:t>
      </w:r>
      <w:r w:rsidRPr="00BB11D1">
        <w:rPr>
          <w:rFonts w:asciiTheme="majorBidi" w:hAnsiTheme="majorBidi" w:cstheme="majorBidi"/>
          <w:spacing w:val="-20"/>
          <w:w w:val="95"/>
        </w:rPr>
        <w:t xml:space="preserve"> </w:t>
      </w:r>
      <w:r w:rsidRPr="00BB11D1">
        <w:rPr>
          <w:rFonts w:asciiTheme="majorBidi" w:hAnsiTheme="majorBidi" w:cstheme="majorBidi"/>
          <w:w w:val="95"/>
        </w:rPr>
        <w:t>(2017),</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19"/>
          <w:w w:val="95"/>
        </w:rPr>
        <w:t xml:space="preserve"> </w:t>
      </w:r>
      <w:r w:rsidRPr="00BB11D1">
        <w:rPr>
          <w:rFonts w:asciiTheme="majorBidi" w:hAnsiTheme="majorBidi" w:cstheme="majorBidi"/>
          <w:w w:val="95"/>
        </w:rPr>
        <w:t>ECB</w:t>
      </w:r>
      <w:r w:rsidRPr="00BB11D1">
        <w:rPr>
          <w:rFonts w:asciiTheme="majorBidi" w:hAnsiTheme="majorBidi" w:cstheme="majorBidi"/>
          <w:spacing w:val="-20"/>
          <w:w w:val="95"/>
        </w:rPr>
        <w:t xml:space="preserve"> </w:t>
      </w:r>
      <w:r w:rsidRPr="00BB11D1">
        <w:rPr>
          <w:rFonts w:asciiTheme="majorBidi" w:hAnsiTheme="majorBidi" w:cstheme="majorBidi"/>
          <w:w w:val="95"/>
        </w:rPr>
        <w:t>collateral</w:t>
      </w:r>
      <w:r w:rsidRPr="00BB11D1">
        <w:rPr>
          <w:rFonts w:asciiTheme="majorBidi" w:hAnsiTheme="majorBidi" w:cstheme="majorBidi"/>
          <w:spacing w:val="-20"/>
          <w:w w:val="95"/>
        </w:rPr>
        <w:t xml:space="preserve"> </w:t>
      </w:r>
      <w:r w:rsidRPr="00BB11D1">
        <w:rPr>
          <w:rFonts w:asciiTheme="majorBidi" w:hAnsiTheme="majorBidi" w:cstheme="majorBidi"/>
          <w:w w:val="95"/>
        </w:rPr>
        <w:t>framework</w:t>
      </w:r>
      <w:r w:rsidRPr="00BB11D1">
        <w:rPr>
          <w:rFonts w:asciiTheme="majorBidi" w:hAnsiTheme="majorBidi" w:cstheme="majorBidi"/>
          <w:spacing w:val="-20"/>
          <w:w w:val="95"/>
        </w:rPr>
        <w:t xml:space="preserve"> </w:t>
      </w:r>
      <w:r w:rsidRPr="00BB11D1">
        <w:rPr>
          <w:rFonts w:asciiTheme="majorBidi" w:hAnsiTheme="majorBidi" w:cstheme="majorBidi"/>
          <w:w w:val="95"/>
        </w:rPr>
        <w:t>explained”,</w:t>
      </w:r>
      <w:r w:rsidRPr="00BB11D1">
        <w:rPr>
          <w:rFonts w:asciiTheme="majorBidi" w:hAnsiTheme="majorBidi" w:cstheme="majorBidi"/>
          <w:spacing w:val="-20"/>
          <w:w w:val="95"/>
        </w:rPr>
        <w:t xml:space="preserve"> </w:t>
      </w:r>
      <w:r w:rsidRPr="00BB11D1">
        <w:rPr>
          <w:rFonts w:asciiTheme="majorBidi" w:hAnsiTheme="majorBidi" w:cstheme="majorBidi"/>
          <w:w w:val="95"/>
        </w:rPr>
        <w:t xml:space="preserve">ECB </w:t>
      </w:r>
      <w:r w:rsidRPr="00BB11D1">
        <w:rPr>
          <w:rFonts w:asciiTheme="majorBidi" w:hAnsiTheme="majorBidi" w:cstheme="majorBidi"/>
        </w:rPr>
        <w:t>occasional paper nr.</w:t>
      </w:r>
      <w:r w:rsidRPr="00BB11D1">
        <w:rPr>
          <w:rFonts w:asciiTheme="majorBidi" w:hAnsiTheme="majorBidi" w:cstheme="majorBidi"/>
          <w:spacing w:val="-41"/>
        </w:rPr>
        <w:t xml:space="preserve"> </w:t>
      </w:r>
      <w:r w:rsidRPr="00BB11D1">
        <w:rPr>
          <w:rFonts w:asciiTheme="majorBidi" w:hAnsiTheme="majorBidi" w:cstheme="majorBidi"/>
        </w:rPr>
        <w:t>189.</w:t>
      </w:r>
    </w:p>
    <w:p w:rsidR="00BB11D1" w:rsidRPr="00BB11D1" w:rsidRDefault="00BB11D1" w:rsidP="00BB11D1">
      <w:pPr>
        <w:pStyle w:val="BodyText"/>
        <w:numPr>
          <w:ilvl w:val="0"/>
          <w:numId w:val="17"/>
        </w:numPr>
        <w:spacing w:before="62" w:line="254" w:lineRule="auto"/>
        <w:ind w:right="769"/>
        <w:jc w:val="both"/>
        <w:rPr>
          <w:rFonts w:asciiTheme="majorBidi" w:hAnsiTheme="majorBidi" w:cstheme="majorBidi"/>
        </w:rPr>
      </w:pPr>
      <w:r w:rsidRPr="00BB11D1">
        <w:rPr>
          <w:rFonts w:asciiTheme="majorBidi" w:hAnsiTheme="majorBidi" w:cstheme="majorBidi"/>
          <w:w w:val="95"/>
        </w:rPr>
        <w:t>Bullmann,</w:t>
      </w:r>
      <w:r w:rsidRPr="00BB11D1">
        <w:rPr>
          <w:rFonts w:asciiTheme="majorBidi" w:hAnsiTheme="majorBidi" w:cstheme="majorBidi"/>
          <w:spacing w:val="-24"/>
          <w:w w:val="95"/>
        </w:rPr>
        <w:t xml:space="preserve"> </w:t>
      </w:r>
      <w:r w:rsidRPr="00BB11D1">
        <w:rPr>
          <w:rFonts w:asciiTheme="majorBidi" w:hAnsiTheme="majorBidi" w:cstheme="majorBidi"/>
          <w:w w:val="95"/>
        </w:rPr>
        <w:t>D.,</w:t>
      </w:r>
      <w:r w:rsidRPr="00BB11D1">
        <w:rPr>
          <w:rFonts w:asciiTheme="majorBidi" w:hAnsiTheme="majorBidi" w:cstheme="majorBidi"/>
          <w:spacing w:val="-22"/>
          <w:w w:val="95"/>
        </w:rPr>
        <w:t xml:space="preserve"> </w:t>
      </w:r>
      <w:r w:rsidRPr="00BB11D1">
        <w:rPr>
          <w:rFonts w:asciiTheme="majorBidi" w:hAnsiTheme="majorBidi" w:cstheme="majorBidi"/>
          <w:w w:val="95"/>
        </w:rPr>
        <w:t>A.</w:t>
      </w:r>
      <w:r w:rsidRPr="00BB11D1">
        <w:rPr>
          <w:rFonts w:asciiTheme="majorBidi" w:hAnsiTheme="majorBidi" w:cstheme="majorBidi"/>
          <w:spacing w:val="-24"/>
          <w:w w:val="95"/>
        </w:rPr>
        <w:t xml:space="preserve"> </w:t>
      </w:r>
      <w:r w:rsidRPr="00BB11D1">
        <w:rPr>
          <w:rFonts w:asciiTheme="majorBidi" w:hAnsiTheme="majorBidi" w:cstheme="majorBidi"/>
          <w:w w:val="95"/>
        </w:rPr>
        <w:t>Klemm,</w:t>
      </w:r>
      <w:r w:rsidRPr="00BB11D1">
        <w:rPr>
          <w:rFonts w:asciiTheme="majorBidi" w:hAnsiTheme="majorBidi" w:cstheme="majorBidi"/>
          <w:spacing w:val="-22"/>
          <w:w w:val="95"/>
        </w:rPr>
        <w:t xml:space="preserve"> </w:t>
      </w:r>
      <w:r w:rsidRPr="00BB11D1">
        <w:rPr>
          <w:rFonts w:asciiTheme="majorBidi" w:hAnsiTheme="majorBidi" w:cstheme="majorBidi"/>
          <w:w w:val="95"/>
        </w:rPr>
        <w:t>and</w:t>
      </w:r>
      <w:r w:rsidRPr="00BB11D1">
        <w:rPr>
          <w:rFonts w:asciiTheme="majorBidi" w:hAnsiTheme="majorBidi" w:cstheme="majorBidi"/>
          <w:spacing w:val="-22"/>
          <w:w w:val="95"/>
        </w:rPr>
        <w:t xml:space="preserve"> </w:t>
      </w:r>
      <w:r w:rsidRPr="00BB11D1">
        <w:rPr>
          <w:rFonts w:asciiTheme="majorBidi" w:hAnsiTheme="majorBidi" w:cstheme="majorBidi"/>
          <w:w w:val="95"/>
        </w:rPr>
        <w:t>A.</w:t>
      </w:r>
      <w:r w:rsidRPr="00BB11D1">
        <w:rPr>
          <w:rFonts w:asciiTheme="majorBidi" w:hAnsiTheme="majorBidi" w:cstheme="majorBidi"/>
          <w:spacing w:val="-22"/>
          <w:w w:val="95"/>
        </w:rPr>
        <w:t xml:space="preserve"> </w:t>
      </w:r>
      <w:r w:rsidRPr="00BB11D1">
        <w:rPr>
          <w:rFonts w:asciiTheme="majorBidi" w:hAnsiTheme="majorBidi" w:cstheme="majorBidi"/>
          <w:w w:val="95"/>
        </w:rPr>
        <w:t>Pinna.</w:t>
      </w:r>
      <w:r w:rsidRPr="00BB11D1">
        <w:rPr>
          <w:rFonts w:asciiTheme="majorBidi" w:hAnsiTheme="majorBidi" w:cstheme="majorBidi"/>
          <w:spacing w:val="-24"/>
          <w:w w:val="95"/>
        </w:rPr>
        <w:t xml:space="preserve"> </w:t>
      </w:r>
      <w:r w:rsidRPr="00BB11D1">
        <w:rPr>
          <w:rFonts w:asciiTheme="majorBidi" w:hAnsiTheme="majorBidi" w:cstheme="majorBidi"/>
          <w:w w:val="95"/>
        </w:rPr>
        <w:t>(2019),</w:t>
      </w:r>
      <w:r w:rsidRPr="00BB11D1">
        <w:rPr>
          <w:rFonts w:asciiTheme="majorBidi" w:hAnsiTheme="majorBidi" w:cstheme="majorBidi"/>
          <w:spacing w:val="-24"/>
          <w:w w:val="95"/>
        </w:rPr>
        <w:t xml:space="preserve"> </w:t>
      </w:r>
      <w:r w:rsidRPr="00BB11D1">
        <w:rPr>
          <w:rFonts w:asciiTheme="majorBidi" w:hAnsiTheme="majorBidi" w:cstheme="majorBidi"/>
          <w:w w:val="95"/>
        </w:rPr>
        <w:t>“In</w:t>
      </w:r>
      <w:r w:rsidRPr="00BB11D1">
        <w:rPr>
          <w:rFonts w:asciiTheme="majorBidi" w:hAnsiTheme="majorBidi" w:cstheme="majorBidi"/>
          <w:spacing w:val="-24"/>
          <w:w w:val="95"/>
        </w:rPr>
        <w:t xml:space="preserve"> </w:t>
      </w:r>
      <w:r w:rsidRPr="00BB11D1">
        <w:rPr>
          <w:rFonts w:asciiTheme="majorBidi" w:hAnsiTheme="majorBidi" w:cstheme="majorBidi"/>
          <w:w w:val="95"/>
        </w:rPr>
        <w:t>search</w:t>
      </w:r>
      <w:r w:rsidRPr="00BB11D1">
        <w:rPr>
          <w:rFonts w:asciiTheme="majorBidi" w:hAnsiTheme="majorBidi" w:cstheme="majorBidi"/>
          <w:spacing w:val="-23"/>
          <w:w w:val="95"/>
        </w:rPr>
        <w:t xml:space="preserve"> </w:t>
      </w:r>
      <w:r w:rsidRPr="00BB11D1">
        <w:rPr>
          <w:rFonts w:asciiTheme="majorBidi" w:hAnsiTheme="majorBidi" w:cstheme="majorBidi"/>
          <w:w w:val="95"/>
        </w:rPr>
        <w:t>for</w:t>
      </w:r>
      <w:r w:rsidRPr="00BB11D1">
        <w:rPr>
          <w:rFonts w:asciiTheme="majorBidi" w:hAnsiTheme="majorBidi" w:cstheme="majorBidi"/>
          <w:spacing w:val="-24"/>
          <w:w w:val="95"/>
        </w:rPr>
        <w:t xml:space="preserve"> </w:t>
      </w:r>
      <w:r w:rsidRPr="00BB11D1">
        <w:rPr>
          <w:rFonts w:asciiTheme="majorBidi" w:hAnsiTheme="majorBidi" w:cstheme="majorBidi"/>
          <w:w w:val="95"/>
        </w:rPr>
        <w:t>stability</w:t>
      </w:r>
      <w:r w:rsidRPr="00BB11D1">
        <w:rPr>
          <w:rFonts w:asciiTheme="majorBidi" w:hAnsiTheme="majorBidi" w:cstheme="majorBidi"/>
          <w:spacing w:val="-21"/>
          <w:w w:val="95"/>
        </w:rPr>
        <w:t xml:space="preserve"> </w:t>
      </w:r>
      <w:r w:rsidRPr="00BB11D1">
        <w:rPr>
          <w:rFonts w:asciiTheme="majorBidi" w:hAnsiTheme="majorBidi" w:cstheme="majorBidi"/>
          <w:w w:val="95"/>
        </w:rPr>
        <w:t>in</w:t>
      </w:r>
      <w:r w:rsidRPr="00BB11D1">
        <w:rPr>
          <w:rFonts w:asciiTheme="majorBidi" w:hAnsiTheme="majorBidi" w:cstheme="majorBidi"/>
          <w:spacing w:val="-25"/>
          <w:w w:val="95"/>
        </w:rPr>
        <w:t xml:space="preserve"> </w:t>
      </w:r>
      <w:r w:rsidRPr="00BB11D1">
        <w:rPr>
          <w:rFonts w:asciiTheme="majorBidi" w:hAnsiTheme="majorBidi" w:cstheme="majorBidi"/>
          <w:w w:val="95"/>
        </w:rPr>
        <w:t>crypto-assets:</w:t>
      </w:r>
      <w:r w:rsidRPr="00BB11D1">
        <w:rPr>
          <w:rFonts w:asciiTheme="majorBidi" w:hAnsiTheme="majorBidi" w:cstheme="majorBidi"/>
          <w:spacing w:val="-23"/>
          <w:w w:val="95"/>
        </w:rPr>
        <w:t xml:space="preserve"> </w:t>
      </w:r>
      <w:r w:rsidRPr="00BB11D1">
        <w:rPr>
          <w:rFonts w:asciiTheme="majorBidi" w:hAnsiTheme="majorBidi" w:cstheme="majorBidi"/>
          <w:w w:val="95"/>
        </w:rPr>
        <w:t>are</w:t>
      </w:r>
      <w:r w:rsidRPr="00BB11D1">
        <w:rPr>
          <w:rFonts w:asciiTheme="majorBidi" w:hAnsiTheme="majorBidi" w:cstheme="majorBidi"/>
          <w:spacing w:val="-23"/>
          <w:w w:val="95"/>
        </w:rPr>
        <w:t xml:space="preserve"> </w:t>
      </w:r>
      <w:r w:rsidRPr="00BB11D1">
        <w:rPr>
          <w:rFonts w:asciiTheme="majorBidi" w:hAnsiTheme="majorBidi" w:cstheme="majorBidi"/>
          <w:w w:val="95"/>
        </w:rPr>
        <w:t>stablecoins</w:t>
      </w:r>
      <w:r w:rsidRPr="00BB11D1">
        <w:rPr>
          <w:rFonts w:asciiTheme="majorBidi" w:hAnsiTheme="majorBidi" w:cstheme="majorBidi"/>
          <w:spacing w:val="-22"/>
          <w:w w:val="95"/>
        </w:rPr>
        <w:t xml:space="preserve"> </w:t>
      </w:r>
      <w:r w:rsidRPr="00BB11D1">
        <w:rPr>
          <w:rFonts w:asciiTheme="majorBidi" w:hAnsiTheme="majorBidi" w:cstheme="majorBidi"/>
          <w:w w:val="95"/>
        </w:rPr>
        <w:t xml:space="preserve">the </w:t>
      </w:r>
      <w:r w:rsidRPr="00BB11D1">
        <w:rPr>
          <w:rFonts w:asciiTheme="majorBidi" w:hAnsiTheme="majorBidi" w:cstheme="majorBidi"/>
        </w:rPr>
        <w:t>solution</w:t>
      </w:r>
      <w:proofErr w:type="gramStart"/>
      <w:r w:rsidRPr="00BB11D1">
        <w:rPr>
          <w:rFonts w:asciiTheme="majorBidi" w:hAnsiTheme="majorBidi" w:cstheme="majorBidi"/>
        </w:rPr>
        <w:t>?.</w:t>
      </w:r>
      <w:proofErr w:type="gramEnd"/>
      <w:r w:rsidRPr="00BB11D1">
        <w:rPr>
          <w:rFonts w:asciiTheme="majorBidi" w:hAnsiTheme="majorBidi" w:cstheme="majorBidi"/>
        </w:rPr>
        <w:t>”</w:t>
      </w:r>
      <w:r w:rsidRPr="00BB11D1">
        <w:rPr>
          <w:rFonts w:asciiTheme="majorBidi" w:hAnsiTheme="majorBidi" w:cstheme="majorBidi"/>
          <w:spacing w:val="-16"/>
        </w:rPr>
        <w:t xml:space="preserve"> </w:t>
      </w:r>
      <w:r w:rsidRPr="00BB11D1">
        <w:rPr>
          <w:rFonts w:asciiTheme="majorBidi" w:hAnsiTheme="majorBidi" w:cstheme="majorBidi"/>
        </w:rPr>
        <w:t>ECB</w:t>
      </w:r>
      <w:r w:rsidRPr="00BB11D1">
        <w:rPr>
          <w:rFonts w:asciiTheme="majorBidi" w:hAnsiTheme="majorBidi" w:cstheme="majorBidi"/>
          <w:spacing w:val="-17"/>
        </w:rPr>
        <w:t xml:space="preserve"> </w:t>
      </w:r>
      <w:r w:rsidRPr="00BB11D1">
        <w:rPr>
          <w:rFonts w:asciiTheme="majorBidi" w:hAnsiTheme="majorBidi" w:cstheme="majorBidi"/>
        </w:rPr>
        <w:t>Occasional</w:t>
      </w:r>
      <w:r w:rsidRPr="00BB11D1">
        <w:rPr>
          <w:rFonts w:asciiTheme="majorBidi" w:hAnsiTheme="majorBidi" w:cstheme="majorBidi"/>
          <w:spacing w:val="-18"/>
        </w:rPr>
        <w:t xml:space="preserve"> </w:t>
      </w:r>
      <w:r w:rsidRPr="00BB11D1">
        <w:rPr>
          <w:rFonts w:asciiTheme="majorBidi" w:hAnsiTheme="majorBidi" w:cstheme="majorBidi"/>
        </w:rPr>
        <w:t>Paper,</w:t>
      </w:r>
      <w:r w:rsidRPr="00BB11D1">
        <w:rPr>
          <w:rFonts w:asciiTheme="majorBidi" w:hAnsiTheme="majorBidi" w:cstheme="majorBidi"/>
          <w:spacing w:val="-14"/>
        </w:rPr>
        <w:t xml:space="preserve"> </w:t>
      </w:r>
      <w:r w:rsidRPr="00BB11D1">
        <w:rPr>
          <w:rFonts w:asciiTheme="majorBidi" w:hAnsiTheme="majorBidi" w:cstheme="majorBidi"/>
        </w:rPr>
        <w:t>No.</w:t>
      </w:r>
      <w:r w:rsidRPr="00BB11D1">
        <w:rPr>
          <w:rFonts w:asciiTheme="majorBidi" w:hAnsiTheme="majorBidi" w:cstheme="majorBidi"/>
          <w:spacing w:val="-18"/>
        </w:rPr>
        <w:t xml:space="preserve"> </w:t>
      </w:r>
      <w:r w:rsidRPr="00BB11D1">
        <w:rPr>
          <w:rFonts w:asciiTheme="majorBidi" w:hAnsiTheme="majorBidi" w:cstheme="majorBidi"/>
        </w:rPr>
        <w:t>230.</w:t>
      </w:r>
    </w:p>
    <w:p w:rsidR="00BB11D1" w:rsidRPr="00BB11D1" w:rsidRDefault="00BB11D1" w:rsidP="00BB11D1">
      <w:pPr>
        <w:pStyle w:val="BodyText"/>
        <w:numPr>
          <w:ilvl w:val="0"/>
          <w:numId w:val="17"/>
        </w:numPr>
        <w:spacing w:before="61" w:line="254" w:lineRule="auto"/>
        <w:ind w:right="768"/>
        <w:jc w:val="both"/>
        <w:rPr>
          <w:rFonts w:asciiTheme="majorBidi" w:hAnsiTheme="majorBidi" w:cstheme="majorBidi"/>
        </w:rPr>
      </w:pPr>
      <w:r w:rsidRPr="00BB11D1">
        <w:rPr>
          <w:rFonts w:asciiTheme="majorBidi" w:hAnsiTheme="majorBidi" w:cstheme="majorBidi"/>
          <w:w w:val="95"/>
        </w:rPr>
        <w:t>Cabrero,</w:t>
      </w:r>
      <w:r w:rsidRPr="00BB11D1">
        <w:rPr>
          <w:rFonts w:asciiTheme="majorBidi" w:hAnsiTheme="majorBidi" w:cstheme="majorBidi"/>
          <w:spacing w:val="-16"/>
          <w:w w:val="95"/>
        </w:rPr>
        <w:t xml:space="preserve"> </w:t>
      </w:r>
      <w:r w:rsidRPr="00BB11D1">
        <w:rPr>
          <w:rFonts w:asciiTheme="majorBidi" w:hAnsiTheme="majorBidi" w:cstheme="majorBidi"/>
          <w:w w:val="95"/>
        </w:rPr>
        <w:t>A.,</w:t>
      </w:r>
      <w:r w:rsidRPr="00BB11D1">
        <w:rPr>
          <w:rFonts w:asciiTheme="majorBidi" w:hAnsiTheme="majorBidi" w:cstheme="majorBidi"/>
          <w:spacing w:val="-14"/>
          <w:w w:val="95"/>
        </w:rPr>
        <w:t xml:space="preserve"> </w:t>
      </w:r>
      <w:r w:rsidRPr="00BB11D1">
        <w:rPr>
          <w:rFonts w:asciiTheme="majorBidi" w:hAnsiTheme="majorBidi" w:cstheme="majorBidi"/>
          <w:w w:val="95"/>
        </w:rPr>
        <w:t>G.</w:t>
      </w:r>
      <w:r w:rsidRPr="00BB11D1">
        <w:rPr>
          <w:rFonts w:asciiTheme="majorBidi" w:hAnsiTheme="majorBidi" w:cstheme="majorBidi"/>
          <w:spacing w:val="-14"/>
          <w:w w:val="95"/>
        </w:rPr>
        <w:t xml:space="preserve"> </w:t>
      </w:r>
      <w:r w:rsidRPr="00BB11D1">
        <w:rPr>
          <w:rFonts w:asciiTheme="majorBidi" w:hAnsiTheme="majorBidi" w:cstheme="majorBidi"/>
          <w:w w:val="95"/>
        </w:rPr>
        <w:t>Camba-Mendez,</w:t>
      </w:r>
      <w:r w:rsidRPr="00BB11D1">
        <w:rPr>
          <w:rFonts w:asciiTheme="majorBidi" w:hAnsiTheme="majorBidi" w:cstheme="majorBidi"/>
          <w:spacing w:val="-14"/>
          <w:w w:val="95"/>
        </w:rPr>
        <w:t xml:space="preserve"> </w:t>
      </w:r>
      <w:r w:rsidRPr="00BB11D1">
        <w:rPr>
          <w:rFonts w:asciiTheme="majorBidi" w:hAnsiTheme="majorBidi" w:cstheme="majorBidi"/>
          <w:w w:val="95"/>
        </w:rPr>
        <w:t>A.</w:t>
      </w:r>
      <w:r w:rsidRPr="00BB11D1">
        <w:rPr>
          <w:rFonts w:asciiTheme="majorBidi" w:hAnsiTheme="majorBidi" w:cstheme="majorBidi"/>
          <w:spacing w:val="-14"/>
          <w:w w:val="95"/>
        </w:rPr>
        <w:t xml:space="preserve"> </w:t>
      </w:r>
      <w:r w:rsidRPr="00BB11D1">
        <w:rPr>
          <w:rFonts w:asciiTheme="majorBidi" w:hAnsiTheme="majorBidi" w:cstheme="majorBidi"/>
          <w:w w:val="95"/>
        </w:rPr>
        <w:t>Hirsch,</w:t>
      </w:r>
      <w:r w:rsidRPr="00BB11D1">
        <w:rPr>
          <w:rFonts w:asciiTheme="majorBidi" w:hAnsiTheme="majorBidi" w:cstheme="majorBidi"/>
          <w:spacing w:val="-14"/>
          <w:w w:val="95"/>
        </w:rPr>
        <w:t xml:space="preserve"> </w:t>
      </w:r>
      <w:r w:rsidRPr="00BB11D1">
        <w:rPr>
          <w:rFonts w:asciiTheme="majorBidi" w:hAnsiTheme="majorBidi" w:cstheme="majorBidi"/>
          <w:w w:val="95"/>
        </w:rPr>
        <w:t>F.</w:t>
      </w:r>
      <w:r w:rsidRPr="00BB11D1">
        <w:rPr>
          <w:rFonts w:asciiTheme="majorBidi" w:hAnsiTheme="majorBidi" w:cstheme="majorBidi"/>
          <w:spacing w:val="-14"/>
          <w:w w:val="95"/>
        </w:rPr>
        <w:t xml:space="preserve"> </w:t>
      </w:r>
      <w:r w:rsidRPr="00BB11D1">
        <w:rPr>
          <w:rFonts w:asciiTheme="majorBidi" w:hAnsiTheme="majorBidi" w:cstheme="majorBidi"/>
          <w:w w:val="95"/>
        </w:rPr>
        <w:t>Nieto</w:t>
      </w:r>
      <w:r w:rsidRPr="00BB11D1">
        <w:rPr>
          <w:rFonts w:asciiTheme="majorBidi" w:hAnsiTheme="majorBidi" w:cstheme="majorBidi"/>
          <w:spacing w:val="-14"/>
          <w:w w:val="95"/>
        </w:rPr>
        <w:t xml:space="preserve"> </w:t>
      </w:r>
      <w:r w:rsidRPr="00BB11D1">
        <w:rPr>
          <w:rFonts w:asciiTheme="majorBidi" w:hAnsiTheme="majorBidi" w:cstheme="majorBidi"/>
          <w:w w:val="95"/>
        </w:rPr>
        <w:t>(2002),</w:t>
      </w:r>
      <w:r w:rsidRPr="00BB11D1">
        <w:rPr>
          <w:rFonts w:asciiTheme="majorBidi" w:hAnsiTheme="majorBidi" w:cstheme="majorBidi"/>
          <w:spacing w:val="-14"/>
          <w:w w:val="95"/>
        </w:rPr>
        <w:t xml:space="preserve"> </w:t>
      </w:r>
      <w:r w:rsidRPr="00BB11D1">
        <w:rPr>
          <w:rFonts w:asciiTheme="majorBidi" w:hAnsiTheme="majorBidi" w:cstheme="majorBidi"/>
          <w:w w:val="95"/>
        </w:rPr>
        <w:t>„Modelling</w:t>
      </w:r>
      <w:r w:rsidRPr="00BB11D1">
        <w:rPr>
          <w:rFonts w:asciiTheme="majorBidi" w:hAnsiTheme="majorBidi" w:cstheme="majorBidi"/>
          <w:spacing w:val="-15"/>
          <w:w w:val="95"/>
        </w:rPr>
        <w:t xml:space="preserve"> </w:t>
      </w:r>
      <w:r w:rsidRPr="00BB11D1">
        <w:rPr>
          <w:rFonts w:asciiTheme="majorBidi" w:hAnsiTheme="majorBidi" w:cstheme="majorBidi"/>
          <w:w w:val="95"/>
        </w:rPr>
        <w:t>the</w:t>
      </w:r>
      <w:r w:rsidRPr="00BB11D1">
        <w:rPr>
          <w:rFonts w:asciiTheme="majorBidi" w:hAnsiTheme="majorBidi" w:cstheme="majorBidi"/>
          <w:spacing w:val="-13"/>
          <w:w w:val="95"/>
        </w:rPr>
        <w:t xml:space="preserve"> </w:t>
      </w:r>
      <w:r w:rsidRPr="00BB11D1">
        <w:rPr>
          <w:rFonts w:asciiTheme="majorBidi" w:hAnsiTheme="majorBidi" w:cstheme="majorBidi"/>
          <w:w w:val="95"/>
        </w:rPr>
        <w:t>daily</w:t>
      </w:r>
      <w:r w:rsidRPr="00BB11D1">
        <w:rPr>
          <w:rFonts w:asciiTheme="majorBidi" w:hAnsiTheme="majorBidi" w:cstheme="majorBidi"/>
          <w:spacing w:val="-15"/>
          <w:w w:val="95"/>
        </w:rPr>
        <w:t xml:space="preserve"> </w:t>
      </w:r>
      <w:r w:rsidRPr="00BB11D1">
        <w:rPr>
          <w:rFonts w:asciiTheme="majorBidi" w:hAnsiTheme="majorBidi" w:cstheme="majorBidi"/>
          <w:w w:val="95"/>
        </w:rPr>
        <w:t>banknotes</w:t>
      </w:r>
      <w:r w:rsidRPr="00BB11D1">
        <w:rPr>
          <w:rFonts w:asciiTheme="majorBidi" w:hAnsiTheme="majorBidi" w:cstheme="majorBidi"/>
          <w:spacing w:val="-16"/>
          <w:w w:val="95"/>
        </w:rPr>
        <w:t xml:space="preserve"> </w:t>
      </w:r>
      <w:r w:rsidRPr="00BB11D1">
        <w:rPr>
          <w:rFonts w:asciiTheme="majorBidi" w:hAnsiTheme="majorBidi" w:cstheme="majorBidi"/>
          <w:w w:val="95"/>
        </w:rPr>
        <w:t>in</w:t>
      </w:r>
      <w:r w:rsidRPr="00BB11D1">
        <w:rPr>
          <w:rFonts w:asciiTheme="majorBidi" w:hAnsiTheme="majorBidi" w:cstheme="majorBidi"/>
          <w:spacing w:val="-14"/>
          <w:w w:val="95"/>
        </w:rPr>
        <w:t xml:space="preserve"> </w:t>
      </w:r>
      <w:r w:rsidRPr="00BB11D1">
        <w:rPr>
          <w:rFonts w:asciiTheme="majorBidi" w:hAnsiTheme="majorBidi" w:cstheme="majorBidi"/>
          <w:w w:val="95"/>
        </w:rPr>
        <w:t xml:space="preserve">circulation </w:t>
      </w:r>
      <w:r w:rsidRPr="00BB11D1">
        <w:rPr>
          <w:rFonts w:asciiTheme="majorBidi" w:hAnsiTheme="majorBidi" w:cstheme="majorBidi"/>
        </w:rPr>
        <w:t>in</w:t>
      </w:r>
      <w:r w:rsidRPr="00BB11D1">
        <w:rPr>
          <w:rFonts w:asciiTheme="majorBidi" w:hAnsiTheme="majorBidi" w:cstheme="majorBidi"/>
          <w:spacing w:val="-18"/>
        </w:rPr>
        <w:t xml:space="preserve"> </w:t>
      </w:r>
      <w:r w:rsidRPr="00BB11D1">
        <w:rPr>
          <w:rFonts w:asciiTheme="majorBidi" w:hAnsiTheme="majorBidi" w:cstheme="majorBidi"/>
        </w:rPr>
        <w:t>the</w:t>
      </w:r>
      <w:r w:rsidRPr="00BB11D1">
        <w:rPr>
          <w:rFonts w:asciiTheme="majorBidi" w:hAnsiTheme="majorBidi" w:cstheme="majorBidi"/>
          <w:spacing w:val="-17"/>
        </w:rPr>
        <w:t xml:space="preserve"> </w:t>
      </w:r>
      <w:r w:rsidRPr="00BB11D1">
        <w:rPr>
          <w:rFonts w:asciiTheme="majorBidi" w:hAnsiTheme="majorBidi" w:cstheme="majorBidi"/>
        </w:rPr>
        <w:t>context</w:t>
      </w:r>
      <w:r w:rsidRPr="00BB11D1">
        <w:rPr>
          <w:rFonts w:asciiTheme="majorBidi" w:hAnsiTheme="majorBidi" w:cstheme="majorBidi"/>
          <w:spacing w:val="-19"/>
        </w:rPr>
        <w:t xml:space="preserve"> </w:t>
      </w:r>
      <w:r w:rsidRPr="00BB11D1">
        <w:rPr>
          <w:rFonts w:asciiTheme="majorBidi" w:hAnsiTheme="majorBidi" w:cstheme="majorBidi"/>
        </w:rPr>
        <w:t>of</w:t>
      </w:r>
      <w:r w:rsidRPr="00BB11D1">
        <w:rPr>
          <w:rFonts w:asciiTheme="majorBidi" w:hAnsiTheme="majorBidi" w:cstheme="majorBidi"/>
          <w:spacing w:val="-17"/>
        </w:rPr>
        <w:t xml:space="preserve"> </w:t>
      </w:r>
      <w:r w:rsidRPr="00BB11D1">
        <w:rPr>
          <w:rFonts w:asciiTheme="majorBidi" w:hAnsiTheme="majorBidi" w:cstheme="majorBidi"/>
        </w:rPr>
        <w:t>the</w:t>
      </w:r>
      <w:r w:rsidRPr="00BB11D1">
        <w:rPr>
          <w:rFonts w:asciiTheme="majorBidi" w:hAnsiTheme="majorBidi" w:cstheme="majorBidi"/>
          <w:spacing w:val="-17"/>
        </w:rPr>
        <w:t xml:space="preserve"> </w:t>
      </w:r>
      <w:r w:rsidRPr="00BB11D1">
        <w:rPr>
          <w:rFonts w:asciiTheme="majorBidi" w:hAnsiTheme="majorBidi" w:cstheme="majorBidi"/>
        </w:rPr>
        <w:t>liquidity</w:t>
      </w:r>
      <w:r w:rsidRPr="00BB11D1">
        <w:rPr>
          <w:rFonts w:asciiTheme="majorBidi" w:hAnsiTheme="majorBidi" w:cstheme="majorBidi"/>
          <w:spacing w:val="-19"/>
        </w:rPr>
        <w:t xml:space="preserve"> </w:t>
      </w:r>
      <w:r w:rsidRPr="00BB11D1">
        <w:rPr>
          <w:rFonts w:asciiTheme="majorBidi" w:hAnsiTheme="majorBidi" w:cstheme="majorBidi"/>
        </w:rPr>
        <w:t>management</w:t>
      </w:r>
      <w:r w:rsidRPr="00BB11D1">
        <w:rPr>
          <w:rFonts w:asciiTheme="majorBidi" w:hAnsiTheme="majorBidi" w:cstheme="majorBidi"/>
          <w:spacing w:val="-19"/>
        </w:rPr>
        <w:t xml:space="preserve"> </w:t>
      </w:r>
      <w:r w:rsidRPr="00BB11D1">
        <w:rPr>
          <w:rFonts w:asciiTheme="majorBidi" w:hAnsiTheme="majorBidi" w:cstheme="majorBidi"/>
        </w:rPr>
        <w:t>of</w:t>
      </w:r>
      <w:r w:rsidRPr="00BB11D1">
        <w:rPr>
          <w:rFonts w:asciiTheme="majorBidi" w:hAnsiTheme="majorBidi" w:cstheme="majorBidi"/>
          <w:spacing w:val="-19"/>
        </w:rPr>
        <w:t xml:space="preserve"> </w:t>
      </w:r>
      <w:r w:rsidRPr="00BB11D1">
        <w:rPr>
          <w:rFonts w:asciiTheme="majorBidi" w:hAnsiTheme="majorBidi" w:cstheme="majorBidi"/>
        </w:rPr>
        <w:t>the</w:t>
      </w:r>
      <w:r w:rsidRPr="00BB11D1">
        <w:rPr>
          <w:rFonts w:asciiTheme="majorBidi" w:hAnsiTheme="majorBidi" w:cstheme="majorBidi"/>
          <w:spacing w:val="-19"/>
        </w:rPr>
        <w:t xml:space="preserve"> </w:t>
      </w:r>
      <w:r w:rsidRPr="00BB11D1">
        <w:rPr>
          <w:rFonts w:asciiTheme="majorBidi" w:hAnsiTheme="majorBidi" w:cstheme="majorBidi"/>
        </w:rPr>
        <w:t>ECB”,</w:t>
      </w:r>
      <w:r w:rsidRPr="00BB11D1">
        <w:rPr>
          <w:rFonts w:asciiTheme="majorBidi" w:hAnsiTheme="majorBidi" w:cstheme="majorBidi"/>
          <w:spacing w:val="-17"/>
        </w:rPr>
        <w:t xml:space="preserve"> </w:t>
      </w:r>
      <w:r w:rsidRPr="00BB11D1">
        <w:rPr>
          <w:rFonts w:asciiTheme="majorBidi" w:hAnsiTheme="majorBidi" w:cstheme="majorBidi"/>
        </w:rPr>
        <w:t>ECB</w:t>
      </w:r>
      <w:r w:rsidRPr="00BB11D1">
        <w:rPr>
          <w:rFonts w:asciiTheme="majorBidi" w:hAnsiTheme="majorBidi" w:cstheme="majorBidi"/>
          <w:spacing w:val="-17"/>
        </w:rPr>
        <w:t xml:space="preserve"> </w:t>
      </w:r>
      <w:r w:rsidRPr="00BB11D1">
        <w:rPr>
          <w:rFonts w:asciiTheme="majorBidi" w:hAnsiTheme="majorBidi" w:cstheme="majorBidi"/>
        </w:rPr>
        <w:t>WP</w:t>
      </w:r>
      <w:r w:rsidRPr="00BB11D1">
        <w:rPr>
          <w:rFonts w:asciiTheme="majorBidi" w:hAnsiTheme="majorBidi" w:cstheme="majorBidi"/>
          <w:spacing w:val="-19"/>
        </w:rPr>
        <w:t xml:space="preserve"> </w:t>
      </w:r>
      <w:r w:rsidRPr="00BB11D1">
        <w:rPr>
          <w:rFonts w:asciiTheme="majorBidi" w:hAnsiTheme="majorBidi" w:cstheme="majorBidi"/>
        </w:rPr>
        <w:t>142.</w:t>
      </w:r>
    </w:p>
    <w:p w:rsidR="00BB11D1" w:rsidRPr="00BB11D1" w:rsidRDefault="00BB11D1" w:rsidP="00BB11D1">
      <w:pPr>
        <w:pStyle w:val="BodyText"/>
        <w:numPr>
          <w:ilvl w:val="0"/>
          <w:numId w:val="17"/>
        </w:numPr>
        <w:spacing w:before="61" w:line="312" w:lineRule="auto"/>
        <w:ind w:right="790"/>
        <w:rPr>
          <w:rFonts w:asciiTheme="majorBidi" w:hAnsiTheme="majorBidi" w:cstheme="majorBidi"/>
        </w:rPr>
      </w:pPr>
      <w:r w:rsidRPr="00BB11D1">
        <w:rPr>
          <w:rFonts w:asciiTheme="majorBidi" w:hAnsiTheme="majorBidi" w:cstheme="majorBidi"/>
          <w:w w:val="95"/>
        </w:rPr>
        <w:t>Carstens,</w:t>
      </w:r>
      <w:r w:rsidRPr="00BB11D1">
        <w:rPr>
          <w:rFonts w:asciiTheme="majorBidi" w:hAnsiTheme="majorBidi" w:cstheme="majorBidi"/>
          <w:spacing w:val="-25"/>
          <w:w w:val="95"/>
        </w:rPr>
        <w:t xml:space="preserve"> </w:t>
      </w:r>
      <w:r w:rsidRPr="00BB11D1">
        <w:rPr>
          <w:rFonts w:asciiTheme="majorBidi" w:hAnsiTheme="majorBidi" w:cstheme="majorBidi"/>
          <w:w w:val="95"/>
        </w:rPr>
        <w:t>A.</w:t>
      </w:r>
      <w:r w:rsidRPr="00BB11D1">
        <w:rPr>
          <w:rFonts w:asciiTheme="majorBidi" w:hAnsiTheme="majorBidi" w:cstheme="majorBidi"/>
          <w:spacing w:val="-26"/>
          <w:w w:val="95"/>
        </w:rPr>
        <w:t xml:space="preserve"> </w:t>
      </w:r>
      <w:r w:rsidRPr="00BB11D1">
        <w:rPr>
          <w:rFonts w:asciiTheme="majorBidi" w:hAnsiTheme="majorBidi" w:cstheme="majorBidi"/>
          <w:w w:val="95"/>
        </w:rPr>
        <w:t>(2019),</w:t>
      </w:r>
      <w:r w:rsidRPr="00BB11D1">
        <w:rPr>
          <w:rFonts w:asciiTheme="majorBidi" w:hAnsiTheme="majorBidi" w:cstheme="majorBidi"/>
          <w:spacing w:val="-26"/>
          <w:w w:val="95"/>
        </w:rPr>
        <w:t xml:space="preserve"> </w:t>
      </w:r>
      <w:r w:rsidRPr="00BB11D1">
        <w:rPr>
          <w:rFonts w:asciiTheme="majorBidi" w:hAnsiTheme="majorBidi" w:cstheme="majorBidi"/>
          <w:w w:val="95"/>
        </w:rPr>
        <w:t>“The</w:t>
      </w:r>
      <w:r w:rsidRPr="00BB11D1">
        <w:rPr>
          <w:rFonts w:asciiTheme="majorBidi" w:hAnsiTheme="majorBidi" w:cstheme="majorBidi"/>
          <w:spacing w:val="-24"/>
          <w:w w:val="95"/>
        </w:rPr>
        <w:t xml:space="preserve"> </w:t>
      </w:r>
      <w:r w:rsidRPr="00BB11D1">
        <w:rPr>
          <w:rFonts w:asciiTheme="majorBidi" w:hAnsiTheme="majorBidi" w:cstheme="majorBidi"/>
          <w:w w:val="95"/>
        </w:rPr>
        <w:t>future</w:t>
      </w:r>
      <w:r w:rsidRPr="00BB11D1">
        <w:rPr>
          <w:rFonts w:asciiTheme="majorBidi" w:hAnsiTheme="majorBidi" w:cstheme="majorBidi"/>
          <w:spacing w:val="-24"/>
          <w:w w:val="95"/>
        </w:rPr>
        <w:t xml:space="preserve"> </w:t>
      </w:r>
      <w:r w:rsidRPr="00BB11D1">
        <w:rPr>
          <w:rFonts w:asciiTheme="majorBidi" w:hAnsiTheme="majorBidi" w:cstheme="majorBidi"/>
          <w:w w:val="95"/>
        </w:rPr>
        <w:t>of</w:t>
      </w:r>
      <w:r w:rsidRPr="00BB11D1">
        <w:rPr>
          <w:rFonts w:asciiTheme="majorBidi" w:hAnsiTheme="majorBidi" w:cstheme="majorBidi"/>
          <w:spacing w:val="-26"/>
          <w:w w:val="95"/>
        </w:rPr>
        <w:t xml:space="preserve"> </w:t>
      </w:r>
      <w:r w:rsidRPr="00BB11D1">
        <w:rPr>
          <w:rFonts w:asciiTheme="majorBidi" w:hAnsiTheme="majorBidi" w:cstheme="majorBidi"/>
          <w:w w:val="95"/>
        </w:rPr>
        <w:t>money</w:t>
      </w:r>
      <w:r w:rsidRPr="00BB11D1">
        <w:rPr>
          <w:rFonts w:asciiTheme="majorBidi" w:hAnsiTheme="majorBidi" w:cstheme="majorBidi"/>
          <w:spacing w:val="-23"/>
          <w:w w:val="95"/>
        </w:rPr>
        <w:t xml:space="preserve"> </w:t>
      </w:r>
      <w:r w:rsidRPr="00BB11D1">
        <w:rPr>
          <w:rFonts w:asciiTheme="majorBidi" w:hAnsiTheme="majorBidi" w:cstheme="majorBidi"/>
          <w:w w:val="95"/>
        </w:rPr>
        <w:t>and</w:t>
      </w:r>
      <w:r w:rsidRPr="00BB11D1">
        <w:rPr>
          <w:rFonts w:asciiTheme="majorBidi" w:hAnsiTheme="majorBidi" w:cstheme="majorBidi"/>
          <w:spacing w:val="-25"/>
          <w:w w:val="95"/>
        </w:rPr>
        <w:t xml:space="preserve"> </w:t>
      </w:r>
      <w:r w:rsidRPr="00BB11D1">
        <w:rPr>
          <w:rFonts w:asciiTheme="majorBidi" w:hAnsiTheme="majorBidi" w:cstheme="majorBidi"/>
          <w:w w:val="95"/>
        </w:rPr>
        <w:t>payments”,</w:t>
      </w:r>
      <w:r w:rsidRPr="00BB11D1">
        <w:rPr>
          <w:rFonts w:asciiTheme="majorBidi" w:hAnsiTheme="majorBidi" w:cstheme="majorBidi"/>
          <w:spacing w:val="-24"/>
          <w:w w:val="95"/>
        </w:rPr>
        <w:t xml:space="preserve"> </w:t>
      </w:r>
      <w:r w:rsidRPr="00BB11D1">
        <w:rPr>
          <w:rFonts w:asciiTheme="majorBidi" w:hAnsiTheme="majorBidi" w:cstheme="majorBidi"/>
          <w:w w:val="95"/>
        </w:rPr>
        <w:t>Speech</w:t>
      </w:r>
      <w:r w:rsidRPr="00BB11D1">
        <w:rPr>
          <w:rFonts w:asciiTheme="majorBidi" w:hAnsiTheme="majorBidi" w:cstheme="majorBidi"/>
          <w:spacing w:val="-25"/>
          <w:w w:val="95"/>
        </w:rPr>
        <w:t xml:space="preserve"> </w:t>
      </w:r>
      <w:r w:rsidRPr="00BB11D1">
        <w:rPr>
          <w:rFonts w:asciiTheme="majorBidi" w:hAnsiTheme="majorBidi" w:cstheme="majorBidi"/>
          <w:w w:val="95"/>
        </w:rPr>
        <w:t>held</w:t>
      </w:r>
      <w:r w:rsidRPr="00BB11D1">
        <w:rPr>
          <w:rFonts w:asciiTheme="majorBidi" w:hAnsiTheme="majorBidi" w:cstheme="majorBidi"/>
          <w:spacing w:val="-25"/>
          <w:w w:val="95"/>
        </w:rPr>
        <w:t xml:space="preserve"> </w:t>
      </w:r>
      <w:r w:rsidRPr="00BB11D1">
        <w:rPr>
          <w:rFonts w:asciiTheme="majorBidi" w:hAnsiTheme="majorBidi" w:cstheme="majorBidi"/>
          <w:w w:val="95"/>
        </w:rPr>
        <w:t>in</w:t>
      </w:r>
      <w:r w:rsidRPr="00BB11D1">
        <w:rPr>
          <w:rFonts w:asciiTheme="majorBidi" w:hAnsiTheme="majorBidi" w:cstheme="majorBidi"/>
          <w:spacing w:val="-24"/>
          <w:w w:val="95"/>
        </w:rPr>
        <w:t xml:space="preserve"> </w:t>
      </w:r>
      <w:r w:rsidRPr="00BB11D1">
        <w:rPr>
          <w:rFonts w:asciiTheme="majorBidi" w:hAnsiTheme="majorBidi" w:cstheme="majorBidi"/>
          <w:w w:val="95"/>
        </w:rPr>
        <w:t>Dublin,</w:t>
      </w:r>
      <w:r w:rsidRPr="00BB11D1">
        <w:rPr>
          <w:rFonts w:asciiTheme="majorBidi" w:hAnsiTheme="majorBidi" w:cstheme="majorBidi"/>
          <w:spacing w:val="-26"/>
          <w:w w:val="95"/>
        </w:rPr>
        <w:t xml:space="preserve"> </w:t>
      </w:r>
      <w:r w:rsidRPr="00BB11D1">
        <w:rPr>
          <w:rFonts w:asciiTheme="majorBidi" w:hAnsiTheme="majorBidi" w:cstheme="majorBidi"/>
          <w:w w:val="95"/>
        </w:rPr>
        <w:t>22</w:t>
      </w:r>
      <w:r w:rsidRPr="00BB11D1">
        <w:rPr>
          <w:rFonts w:asciiTheme="majorBidi" w:hAnsiTheme="majorBidi" w:cstheme="majorBidi"/>
          <w:spacing w:val="-26"/>
          <w:w w:val="95"/>
        </w:rPr>
        <w:t xml:space="preserve"> </w:t>
      </w:r>
      <w:r w:rsidRPr="00BB11D1">
        <w:rPr>
          <w:rFonts w:asciiTheme="majorBidi" w:hAnsiTheme="majorBidi" w:cstheme="majorBidi"/>
          <w:w w:val="95"/>
        </w:rPr>
        <w:t>March</w:t>
      </w:r>
      <w:r w:rsidRPr="00BB11D1">
        <w:rPr>
          <w:rFonts w:asciiTheme="majorBidi" w:hAnsiTheme="majorBidi" w:cstheme="majorBidi"/>
          <w:spacing w:val="-26"/>
          <w:w w:val="95"/>
        </w:rPr>
        <w:t xml:space="preserve"> </w:t>
      </w:r>
      <w:r w:rsidRPr="00BB11D1">
        <w:rPr>
          <w:rFonts w:asciiTheme="majorBidi" w:hAnsiTheme="majorBidi" w:cstheme="majorBidi"/>
          <w:w w:val="95"/>
        </w:rPr>
        <w:t xml:space="preserve">2019. </w:t>
      </w:r>
      <w:r w:rsidRPr="00BB11D1">
        <w:rPr>
          <w:rFonts w:asciiTheme="majorBidi" w:hAnsiTheme="majorBidi" w:cstheme="majorBidi"/>
        </w:rPr>
        <w:t>Coeuré,</w:t>
      </w:r>
      <w:r w:rsidRPr="00BB11D1">
        <w:rPr>
          <w:rFonts w:asciiTheme="majorBidi" w:hAnsiTheme="majorBidi" w:cstheme="majorBidi"/>
          <w:spacing w:val="-31"/>
        </w:rPr>
        <w:t xml:space="preserve"> </w:t>
      </w:r>
      <w:r w:rsidRPr="00BB11D1">
        <w:rPr>
          <w:rFonts w:asciiTheme="majorBidi" w:hAnsiTheme="majorBidi" w:cstheme="majorBidi"/>
        </w:rPr>
        <w:t>B.</w:t>
      </w:r>
      <w:r w:rsidRPr="00BB11D1">
        <w:rPr>
          <w:rFonts w:asciiTheme="majorBidi" w:hAnsiTheme="majorBidi" w:cstheme="majorBidi"/>
          <w:spacing w:val="-31"/>
        </w:rPr>
        <w:t xml:space="preserve"> </w:t>
      </w:r>
      <w:r w:rsidRPr="00BB11D1">
        <w:rPr>
          <w:rFonts w:asciiTheme="majorBidi" w:hAnsiTheme="majorBidi" w:cstheme="majorBidi"/>
        </w:rPr>
        <w:t>(2018),</w:t>
      </w:r>
      <w:r w:rsidRPr="00BB11D1">
        <w:rPr>
          <w:rFonts w:asciiTheme="majorBidi" w:hAnsiTheme="majorBidi" w:cstheme="majorBidi"/>
          <w:spacing w:val="-31"/>
        </w:rPr>
        <w:t xml:space="preserve"> </w:t>
      </w:r>
      <w:r w:rsidRPr="00BB11D1">
        <w:rPr>
          <w:rFonts w:asciiTheme="majorBidi" w:hAnsiTheme="majorBidi" w:cstheme="majorBidi"/>
        </w:rPr>
        <w:t>“The</w:t>
      </w:r>
      <w:r w:rsidRPr="00BB11D1">
        <w:rPr>
          <w:rFonts w:asciiTheme="majorBidi" w:hAnsiTheme="majorBidi" w:cstheme="majorBidi"/>
          <w:spacing w:val="-32"/>
        </w:rPr>
        <w:t xml:space="preserve"> </w:t>
      </w:r>
      <w:r w:rsidRPr="00BB11D1">
        <w:rPr>
          <w:rFonts w:asciiTheme="majorBidi" w:hAnsiTheme="majorBidi" w:cstheme="majorBidi"/>
        </w:rPr>
        <w:t>future</w:t>
      </w:r>
      <w:r w:rsidRPr="00BB11D1">
        <w:rPr>
          <w:rFonts w:asciiTheme="majorBidi" w:hAnsiTheme="majorBidi" w:cstheme="majorBidi"/>
          <w:spacing w:val="-30"/>
        </w:rPr>
        <w:t xml:space="preserve"> </w:t>
      </w:r>
      <w:r w:rsidRPr="00BB11D1">
        <w:rPr>
          <w:rFonts w:asciiTheme="majorBidi" w:hAnsiTheme="majorBidi" w:cstheme="majorBidi"/>
        </w:rPr>
        <w:t>of</w:t>
      </w:r>
      <w:r w:rsidRPr="00BB11D1">
        <w:rPr>
          <w:rFonts w:asciiTheme="majorBidi" w:hAnsiTheme="majorBidi" w:cstheme="majorBidi"/>
          <w:spacing w:val="-32"/>
        </w:rPr>
        <w:t xml:space="preserve"> </w:t>
      </w:r>
      <w:r w:rsidRPr="00BB11D1">
        <w:rPr>
          <w:rFonts w:asciiTheme="majorBidi" w:hAnsiTheme="majorBidi" w:cstheme="majorBidi"/>
        </w:rPr>
        <w:t>central</w:t>
      </w:r>
      <w:r w:rsidRPr="00BB11D1">
        <w:rPr>
          <w:rFonts w:asciiTheme="majorBidi" w:hAnsiTheme="majorBidi" w:cstheme="majorBidi"/>
          <w:spacing w:val="-32"/>
        </w:rPr>
        <w:t xml:space="preserve"> </w:t>
      </w:r>
      <w:r w:rsidRPr="00BB11D1">
        <w:rPr>
          <w:rFonts w:asciiTheme="majorBidi" w:hAnsiTheme="majorBidi" w:cstheme="majorBidi"/>
        </w:rPr>
        <w:t>bank</w:t>
      </w:r>
      <w:r w:rsidRPr="00BB11D1">
        <w:rPr>
          <w:rFonts w:asciiTheme="majorBidi" w:hAnsiTheme="majorBidi" w:cstheme="majorBidi"/>
          <w:spacing w:val="-32"/>
        </w:rPr>
        <w:t xml:space="preserve"> </w:t>
      </w:r>
      <w:r w:rsidRPr="00BB11D1">
        <w:rPr>
          <w:rFonts w:asciiTheme="majorBidi" w:hAnsiTheme="majorBidi" w:cstheme="majorBidi"/>
        </w:rPr>
        <w:t>money”,</w:t>
      </w:r>
      <w:r w:rsidRPr="00BB11D1">
        <w:rPr>
          <w:rFonts w:asciiTheme="majorBidi" w:hAnsiTheme="majorBidi" w:cstheme="majorBidi"/>
          <w:spacing w:val="-30"/>
        </w:rPr>
        <w:t xml:space="preserve"> </w:t>
      </w:r>
      <w:r w:rsidRPr="00BB11D1">
        <w:rPr>
          <w:rFonts w:asciiTheme="majorBidi" w:hAnsiTheme="majorBidi" w:cstheme="majorBidi"/>
        </w:rPr>
        <w:t>Speech,</w:t>
      </w:r>
      <w:r w:rsidRPr="00BB11D1">
        <w:rPr>
          <w:rFonts w:asciiTheme="majorBidi" w:hAnsiTheme="majorBidi" w:cstheme="majorBidi"/>
          <w:spacing w:val="-32"/>
        </w:rPr>
        <w:t xml:space="preserve"> </w:t>
      </w:r>
      <w:r w:rsidRPr="00BB11D1">
        <w:rPr>
          <w:rFonts w:asciiTheme="majorBidi" w:hAnsiTheme="majorBidi" w:cstheme="majorBidi"/>
        </w:rPr>
        <w:t>Geneva,</w:t>
      </w:r>
      <w:r w:rsidRPr="00BB11D1">
        <w:rPr>
          <w:rFonts w:asciiTheme="majorBidi" w:hAnsiTheme="majorBidi" w:cstheme="majorBidi"/>
          <w:spacing w:val="-32"/>
        </w:rPr>
        <w:t xml:space="preserve"> </w:t>
      </w:r>
      <w:r w:rsidRPr="00BB11D1">
        <w:rPr>
          <w:rFonts w:asciiTheme="majorBidi" w:hAnsiTheme="majorBidi" w:cstheme="majorBidi"/>
        </w:rPr>
        <w:t>14</w:t>
      </w:r>
      <w:r w:rsidRPr="00BB11D1">
        <w:rPr>
          <w:rFonts w:asciiTheme="majorBidi" w:hAnsiTheme="majorBidi" w:cstheme="majorBidi"/>
          <w:spacing w:val="-32"/>
        </w:rPr>
        <w:t xml:space="preserve"> </w:t>
      </w:r>
      <w:r w:rsidRPr="00BB11D1">
        <w:rPr>
          <w:rFonts w:asciiTheme="majorBidi" w:hAnsiTheme="majorBidi" w:cstheme="majorBidi"/>
        </w:rPr>
        <w:t>May</w:t>
      </w:r>
      <w:r w:rsidRPr="00BB11D1">
        <w:rPr>
          <w:rFonts w:asciiTheme="majorBidi" w:hAnsiTheme="majorBidi" w:cstheme="majorBidi"/>
          <w:spacing w:val="-31"/>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line="254" w:lineRule="auto"/>
        <w:ind w:right="681"/>
        <w:rPr>
          <w:rFonts w:asciiTheme="majorBidi" w:hAnsiTheme="majorBidi" w:cstheme="majorBidi"/>
        </w:rPr>
      </w:pPr>
      <w:r w:rsidRPr="00BB11D1">
        <w:rPr>
          <w:rFonts w:asciiTheme="majorBidi" w:hAnsiTheme="majorBidi" w:cstheme="majorBidi"/>
          <w:w w:val="95"/>
        </w:rPr>
        <w:t>Dyson,</w:t>
      </w:r>
      <w:r w:rsidRPr="00BB11D1">
        <w:rPr>
          <w:rFonts w:asciiTheme="majorBidi" w:hAnsiTheme="majorBidi" w:cstheme="majorBidi"/>
          <w:spacing w:val="-29"/>
          <w:w w:val="95"/>
        </w:rPr>
        <w:t xml:space="preserve"> </w:t>
      </w:r>
      <w:r w:rsidRPr="00BB11D1">
        <w:rPr>
          <w:rFonts w:asciiTheme="majorBidi" w:hAnsiTheme="majorBidi" w:cstheme="majorBidi"/>
          <w:w w:val="95"/>
        </w:rPr>
        <w:t>B.</w:t>
      </w:r>
      <w:r w:rsidRPr="00BB11D1">
        <w:rPr>
          <w:rFonts w:asciiTheme="majorBidi" w:hAnsiTheme="majorBidi" w:cstheme="majorBidi"/>
          <w:spacing w:val="-29"/>
          <w:w w:val="95"/>
        </w:rPr>
        <w:t xml:space="preserve"> </w:t>
      </w:r>
      <w:r w:rsidRPr="00BB11D1">
        <w:rPr>
          <w:rFonts w:asciiTheme="majorBidi" w:hAnsiTheme="majorBidi" w:cstheme="majorBidi"/>
          <w:w w:val="95"/>
        </w:rPr>
        <w:t>and</w:t>
      </w:r>
      <w:r w:rsidRPr="00BB11D1">
        <w:rPr>
          <w:rFonts w:asciiTheme="majorBidi" w:hAnsiTheme="majorBidi" w:cstheme="majorBidi"/>
          <w:spacing w:val="-30"/>
          <w:w w:val="95"/>
        </w:rPr>
        <w:t xml:space="preserve"> </w:t>
      </w:r>
      <w:r w:rsidRPr="00BB11D1">
        <w:rPr>
          <w:rFonts w:asciiTheme="majorBidi" w:hAnsiTheme="majorBidi" w:cstheme="majorBidi"/>
          <w:w w:val="95"/>
        </w:rPr>
        <w:t>G.</w:t>
      </w:r>
      <w:r w:rsidRPr="00BB11D1">
        <w:rPr>
          <w:rFonts w:asciiTheme="majorBidi" w:hAnsiTheme="majorBidi" w:cstheme="majorBidi"/>
          <w:spacing w:val="-29"/>
          <w:w w:val="95"/>
        </w:rPr>
        <w:t xml:space="preserve"> </w:t>
      </w:r>
      <w:r w:rsidRPr="00BB11D1">
        <w:rPr>
          <w:rFonts w:asciiTheme="majorBidi" w:hAnsiTheme="majorBidi" w:cstheme="majorBidi"/>
          <w:w w:val="95"/>
        </w:rPr>
        <w:t>Hodgson</w:t>
      </w:r>
      <w:r w:rsidRPr="00BB11D1">
        <w:rPr>
          <w:rFonts w:asciiTheme="majorBidi" w:hAnsiTheme="majorBidi" w:cstheme="majorBidi"/>
          <w:spacing w:val="-29"/>
          <w:w w:val="95"/>
        </w:rPr>
        <w:t xml:space="preserve"> </w:t>
      </w:r>
      <w:r w:rsidRPr="00BB11D1">
        <w:rPr>
          <w:rFonts w:asciiTheme="majorBidi" w:hAnsiTheme="majorBidi" w:cstheme="majorBidi"/>
          <w:w w:val="95"/>
        </w:rPr>
        <w:t>(2016),</w:t>
      </w:r>
      <w:r w:rsidRPr="00BB11D1">
        <w:rPr>
          <w:rFonts w:asciiTheme="majorBidi" w:hAnsiTheme="majorBidi" w:cstheme="majorBidi"/>
          <w:spacing w:val="-31"/>
          <w:w w:val="95"/>
        </w:rPr>
        <w:t xml:space="preserve"> </w:t>
      </w:r>
      <w:r w:rsidRPr="00BB11D1">
        <w:rPr>
          <w:rFonts w:asciiTheme="majorBidi" w:hAnsiTheme="majorBidi" w:cstheme="majorBidi"/>
          <w:w w:val="95"/>
        </w:rPr>
        <w:t>“Digital</w:t>
      </w:r>
      <w:r w:rsidRPr="00BB11D1">
        <w:rPr>
          <w:rFonts w:asciiTheme="majorBidi" w:hAnsiTheme="majorBidi" w:cstheme="majorBidi"/>
          <w:spacing w:val="-28"/>
          <w:w w:val="95"/>
        </w:rPr>
        <w:t xml:space="preserve"> </w:t>
      </w:r>
      <w:r w:rsidRPr="00BB11D1">
        <w:rPr>
          <w:rFonts w:asciiTheme="majorBidi" w:hAnsiTheme="majorBidi" w:cstheme="majorBidi"/>
          <w:w w:val="95"/>
        </w:rPr>
        <w:t>cash:</w:t>
      </w:r>
      <w:r w:rsidRPr="00BB11D1">
        <w:rPr>
          <w:rFonts w:asciiTheme="majorBidi" w:hAnsiTheme="majorBidi" w:cstheme="majorBidi"/>
          <w:spacing w:val="-29"/>
          <w:w w:val="95"/>
        </w:rPr>
        <w:t xml:space="preserve"> </w:t>
      </w:r>
      <w:r w:rsidRPr="00BB11D1">
        <w:rPr>
          <w:rFonts w:asciiTheme="majorBidi" w:hAnsiTheme="majorBidi" w:cstheme="majorBidi"/>
          <w:w w:val="95"/>
        </w:rPr>
        <w:t>why</w:t>
      </w:r>
      <w:r w:rsidRPr="00BB11D1">
        <w:rPr>
          <w:rFonts w:asciiTheme="majorBidi" w:hAnsiTheme="majorBidi" w:cstheme="majorBidi"/>
          <w:spacing w:val="-28"/>
          <w:w w:val="95"/>
        </w:rPr>
        <w:t xml:space="preserve"> </w:t>
      </w:r>
      <w:r w:rsidRPr="00BB11D1">
        <w:rPr>
          <w:rFonts w:asciiTheme="majorBidi" w:hAnsiTheme="majorBidi" w:cstheme="majorBidi"/>
          <w:w w:val="95"/>
        </w:rPr>
        <w:t>central</w:t>
      </w:r>
      <w:r w:rsidRPr="00BB11D1">
        <w:rPr>
          <w:rFonts w:asciiTheme="majorBidi" w:hAnsiTheme="majorBidi" w:cstheme="majorBidi"/>
          <w:spacing w:val="-28"/>
          <w:w w:val="95"/>
        </w:rPr>
        <w:t xml:space="preserve"> </w:t>
      </w:r>
      <w:r w:rsidRPr="00BB11D1">
        <w:rPr>
          <w:rFonts w:asciiTheme="majorBidi" w:hAnsiTheme="majorBidi" w:cstheme="majorBidi"/>
          <w:w w:val="95"/>
        </w:rPr>
        <w:t>banks</w:t>
      </w:r>
      <w:r w:rsidRPr="00BB11D1">
        <w:rPr>
          <w:rFonts w:asciiTheme="majorBidi" w:hAnsiTheme="majorBidi" w:cstheme="majorBidi"/>
          <w:spacing w:val="-29"/>
          <w:w w:val="95"/>
        </w:rPr>
        <w:t xml:space="preserve"> </w:t>
      </w:r>
      <w:r w:rsidRPr="00BB11D1">
        <w:rPr>
          <w:rFonts w:asciiTheme="majorBidi" w:hAnsiTheme="majorBidi" w:cstheme="majorBidi"/>
          <w:w w:val="95"/>
        </w:rPr>
        <w:t>should</w:t>
      </w:r>
      <w:r w:rsidRPr="00BB11D1">
        <w:rPr>
          <w:rFonts w:asciiTheme="majorBidi" w:hAnsiTheme="majorBidi" w:cstheme="majorBidi"/>
          <w:spacing w:val="-29"/>
          <w:w w:val="95"/>
        </w:rPr>
        <w:t xml:space="preserve"> </w:t>
      </w:r>
      <w:r w:rsidRPr="00BB11D1">
        <w:rPr>
          <w:rFonts w:asciiTheme="majorBidi" w:hAnsiTheme="majorBidi" w:cstheme="majorBidi"/>
          <w:w w:val="95"/>
        </w:rPr>
        <w:t>start</w:t>
      </w:r>
      <w:r w:rsidRPr="00BB11D1">
        <w:rPr>
          <w:rFonts w:asciiTheme="majorBidi" w:hAnsiTheme="majorBidi" w:cstheme="majorBidi"/>
          <w:spacing w:val="-29"/>
          <w:w w:val="95"/>
        </w:rPr>
        <w:t xml:space="preserve"> </w:t>
      </w:r>
      <w:r w:rsidRPr="00BB11D1">
        <w:rPr>
          <w:rFonts w:asciiTheme="majorBidi" w:hAnsiTheme="majorBidi" w:cstheme="majorBidi"/>
          <w:w w:val="95"/>
        </w:rPr>
        <w:t>issuing</w:t>
      </w:r>
      <w:r w:rsidRPr="00BB11D1">
        <w:rPr>
          <w:rFonts w:asciiTheme="majorBidi" w:hAnsiTheme="majorBidi" w:cstheme="majorBidi"/>
          <w:spacing w:val="-29"/>
          <w:w w:val="95"/>
        </w:rPr>
        <w:t xml:space="preserve"> </w:t>
      </w:r>
      <w:r w:rsidRPr="00BB11D1">
        <w:rPr>
          <w:rFonts w:asciiTheme="majorBidi" w:hAnsiTheme="majorBidi" w:cstheme="majorBidi"/>
          <w:w w:val="95"/>
        </w:rPr>
        <w:t>electronic</w:t>
      </w:r>
      <w:r w:rsidRPr="00BB11D1">
        <w:rPr>
          <w:rFonts w:asciiTheme="majorBidi" w:hAnsiTheme="majorBidi" w:cstheme="majorBidi"/>
          <w:spacing w:val="-29"/>
          <w:w w:val="95"/>
        </w:rPr>
        <w:t xml:space="preserve"> </w:t>
      </w:r>
      <w:r w:rsidRPr="00BB11D1">
        <w:rPr>
          <w:rFonts w:asciiTheme="majorBidi" w:hAnsiTheme="majorBidi" w:cstheme="majorBidi"/>
          <w:w w:val="95"/>
        </w:rPr>
        <w:t xml:space="preserve">money,” </w:t>
      </w:r>
      <w:r w:rsidRPr="00BB11D1">
        <w:rPr>
          <w:rFonts w:asciiTheme="majorBidi" w:hAnsiTheme="majorBidi" w:cstheme="majorBidi"/>
        </w:rPr>
        <w:t>Positive</w:t>
      </w:r>
      <w:r w:rsidRPr="00BB11D1">
        <w:rPr>
          <w:rFonts w:asciiTheme="majorBidi" w:hAnsiTheme="majorBidi" w:cstheme="majorBidi"/>
          <w:spacing w:val="-14"/>
        </w:rPr>
        <w:t xml:space="preserve"> </w:t>
      </w:r>
      <w:r w:rsidRPr="00BB11D1">
        <w:rPr>
          <w:rFonts w:asciiTheme="majorBidi" w:hAnsiTheme="majorBidi" w:cstheme="majorBidi"/>
        </w:rPr>
        <w:t>Money.</w:t>
      </w:r>
    </w:p>
    <w:p w:rsidR="00BB11D1" w:rsidRPr="00BB11D1" w:rsidRDefault="00BB11D1" w:rsidP="00BB11D1">
      <w:pPr>
        <w:pStyle w:val="BodyText"/>
        <w:numPr>
          <w:ilvl w:val="0"/>
          <w:numId w:val="17"/>
        </w:numPr>
        <w:spacing w:before="58" w:line="254" w:lineRule="auto"/>
        <w:ind w:right="681"/>
        <w:rPr>
          <w:rFonts w:asciiTheme="majorBidi" w:hAnsiTheme="majorBidi" w:cstheme="majorBidi"/>
        </w:rPr>
      </w:pPr>
      <w:r w:rsidRPr="00BB11D1">
        <w:rPr>
          <w:rFonts w:asciiTheme="majorBidi" w:hAnsiTheme="majorBidi" w:cstheme="majorBidi"/>
          <w:w w:val="95"/>
        </w:rPr>
        <w:t xml:space="preserve">Engert, Walter and Ben S. Fung (2017), “Central bank digital currencies: motivations and implications”, </w:t>
      </w:r>
      <w:r w:rsidRPr="00BB11D1">
        <w:rPr>
          <w:rFonts w:asciiTheme="majorBidi" w:hAnsiTheme="majorBidi" w:cstheme="majorBidi"/>
        </w:rPr>
        <w:t>Staff Discussion Paper 2017-16, Bank of Canada.</w:t>
      </w:r>
    </w:p>
    <w:p w:rsidR="00BB11D1" w:rsidRPr="00BB11D1" w:rsidRDefault="00BB11D1" w:rsidP="00BB11D1">
      <w:pPr>
        <w:pStyle w:val="BodyText"/>
        <w:numPr>
          <w:ilvl w:val="0"/>
          <w:numId w:val="17"/>
        </w:numPr>
        <w:spacing w:before="62" w:line="254" w:lineRule="auto"/>
        <w:ind w:right="766"/>
        <w:jc w:val="both"/>
        <w:rPr>
          <w:rFonts w:asciiTheme="majorBidi" w:hAnsiTheme="majorBidi" w:cstheme="majorBidi"/>
        </w:rPr>
      </w:pPr>
      <w:r w:rsidRPr="00BB11D1">
        <w:rPr>
          <w:rFonts w:asciiTheme="majorBidi" w:hAnsiTheme="majorBidi" w:cstheme="majorBidi"/>
          <w:w w:val="95"/>
        </w:rPr>
        <w:t>ECB</w:t>
      </w:r>
      <w:r w:rsidRPr="00BB11D1">
        <w:rPr>
          <w:rFonts w:asciiTheme="majorBidi" w:hAnsiTheme="majorBidi" w:cstheme="majorBidi"/>
          <w:spacing w:val="-9"/>
          <w:w w:val="95"/>
        </w:rPr>
        <w:t xml:space="preserve"> </w:t>
      </w:r>
      <w:r w:rsidRPr="00BB11D1">
        <w:rPr>
          <w:rFonts w:asciiTheme="majorBidi" w:hAnsiTheme="majorBidi" w:cstheme="majorBidi"/>
          <w:w w:val="95"/>
        </w:rPr>
        <w:t>(2016),</w:t>
      </w:r>
      <w:r w:rsidRPr="00BB11D1">
        <w:rPr>
          <w:rFonts w:asciiTheme="majorBidi" w:hAnsiTheme="majorBidi" w:cstheme="majorBidi"/>
          <w:spacing w:val="-10"/>
          <w:w w:val="95"/>
        </w:rPr>
        <w:t xml:space="preserve"> </w:t>
      </w:r>
      <w:r w:rsidRPr="00BB11D1">
        <w:rPr>
          <w:rFonts w:asciiTheme="majorBidi" w:hAnsiTheme="majorBidi" w:cstheme="majorBidi"/>
          <w:w w:val="95"/>
        </w:rPr>
        <w:t>Guideline</w:t>
      </w:r>
      <w:r w:rsidRPr="00BB11D1">
        <w:rPr>
          <w:rFonts w:asciiTheme="majorBidi" w:hAnsiTheme="majorBidi" w:cstheme="majorBidi"/>
          <w:spacing w:val="-8"/>
          <w:w w:val="95"/>
        </w:rPr>
        <w:t xml:space="preserve"> </w:t>
      </w:r>
      <w:r w:rsidRPr="00BB11D1">
        <w:rPr>
          <w:rFonts w:asciiTheme="majorBidi" w:hAnsiTheme="majorBidi" w:cstheme="majorBidi"/>
          <w:w w:val="95"/>
        </w:rPr>
        <w:t>(EU)</w:t>
      </w:r>
      <w:r w:rsidRPr="00BB11D1">
        <w:rPr>
          <w:rFonts w:asciiTheme="majorBidi" w:hAnsiTheme="majorBidi" w:cstheme="majorBidi"/>
          <w:spacing w:val="-10"/>
          <w:w w:val="95"/>
        </w:rPr>
        <w:t xml:space="preserve"> </w:t>
      </w:r>
      <w:r w:rsidRPr="00BB11D1">
        <w:rPr>
          <w:rFonts w:asciiTheme="majorBidi" w:hAnsiTheme="majorBidi" w:cstheme="majorBidi"/>
          <w:w w:val="95"/>
        </w:rPr>
        <w:t>2016/2249</w:t>
      </w:r>
      <w:r w:rsidRPr="00BB11D1">
        <w:rPr>
          <w:rFonts w:asciiTheme="majorBidi" w:hAnsiTheme="majorBidi" w:cstheme="majorBidi"/>
          <w:spacing w:val="-9"/>
          <w:w w:val="95"/>
        </w:rPr>
        <w:t xml:space="preserve"> </w:t>
      </w:r>
      <w:r w:rsidRPr="00BB11D1">
        <w:rPr>
          <w:rFonts w:asciiTheme="majorBidi" w:hAnsiTheme="majorBidi" w:cstheme="majorBidi"/>
          <w:w w:val="95"/>
        </w:rPr>
        <w:t>of</w:t>
      </w:r>
      <w:r w:rsidRPr="00BB11D1">
        <w:rPr>
          <w:rFonts w:asciiTheme="majorBidi" w:hAnsiTheme="majorBidi" w:cstheme="majorBidi"/>
          <w:spacing w:val="-9"/>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European</w:t>
      </w:r>
      <w:r w:rsidRPr="00BB11D1">
        <w:rPr>
          <w:rFonts w:asciiTheme="majorBidi" w:hAnsiTheme="majorBidi" w:cstheme="majorBidi"/>
          <w:spacing w:val="-9"/>
          <w:w w:val="95"/>
        </w:rPr>
        <w:t xml:space="preserve"> </w:t>
      </w:r>
      <w:r w:rsidRPr="00BB11D1">
        <w:rPr>
          <w:rFonts w:asciiTheme="majorBidi" w:hAnsiTheme="majorBidi" w:cstheme="majorBidi"/>
          <w:w w:val="95"/>
        </w:rPr>
        <w:t>Central</w:t>
      </w:r>
      <w:r w:rsidRPr="00BB11D1">
        <w:rPr>
          <w:rFonts w:asciiTheme="majorBidi" w:hAnsiTheme="majorBidi" w:cstheme="majorBidi"/>
          <w:spacing w:val="-8"/>
          <w:w w:val="95"/>
        </w:rPr>
        <w:t xml:space="preserve"> </w:t>
      </w:r>
      <w:r w:rsidRPr="00BB11D1">
        <w:rPr>
          <w:rFonts w:asciiTheme="majorBidi" w:hAnsiTheme="majorBidi" w:cstheme="majorBidi"/>
          <w:w w:val="95"/>
        </w:rPr>
        <w:t>Bank</w:t>
      </w:r>
      <w:r w:rsidRPr="00BB11D1">
        <w:rPr>
          <w:rFonts w:asciiTheme="majorBidi" w:hAnsiTheme="majorBidi" w:cstheme="majorBidi"/>
          <w:spacing w:val="-10"/>
          <w:w w:val="95"/>
        </w:rPr>
        <w:t xml:space="preserve"> </w:t>
      </w:r>
      <w:r w:rsidRPr="00BB11D1">
        <w:rPr>
          <w:rFonts w:asciiTheme="majorBidi" w:hAnsiTheme="majorBidi" w:cstheme="majorBidi"/>
          <w:w w:val="95"/>
        </w:rPr>
        <w:t>of</w:t>
      </w:r>
      <w:r w:rsidRPr="00BB11D1">
        <w:rPr>
          <w:rFonts w:asciiTheme="majorBidi" w:hAnsiTheme="majorBidi" w:cstheme="majorBidi"/>
          <w:spacing w:val="-10"/>
          <w:w w:val="95"/>
        </w:rPr>
        <w:t xml:space="preserve"> </w:t>
      </w:r>
      <w:r w:rsidRPr="00BB11D1">
        <w:rPr>
          <w:rFonts w:asciiTheme="majorBidi" w:hAnsiTheme="majorBidi" w:cstheme="majorBidi"/>
          <w:w w:val="95"/>
        </w:rPr>
        <w:t>3</w:t>
      </w:r>
      <w:r w:rsidRPr="00BB11D1">
        <w:rPr>
          <w:rFonts w:asciiTheme="majorBidi" w:hAnsiTheme="majorBidi" w:cstheme="majorBidi"/>
          <w:spacing w:val="-8"/>
          <w:w w:val="95"/>
        </w:rPr>
        <w:t xml:space="preserve"> </w:t>
      </w:r>
      <w:r w:rsidRPr="00BB11D1">
        <w:rPr>
          <w:rFonts w:asciiTheme="majorBidi" w:hAnsiTheme="majorBidi" w:cstheme="majorBidi"/>
          <w:w w:val="95"/>
        </w:rPr>
        <w:t>November</w:t>
      </w:r>
      <w:r w:rsidRPr="00BB11D1">
        <w:rPr>
          <w:rFonts w:asciiTheme="majorBidi" w:hAnsiTheme="majorBidi" w:cstheme="majorBidi"/>
          <w:spacing w:val="-10"/>
          <w:w w:val="95"/>
        </w:rPr>
        <w:t xml:space="preserve"> </w:t>
      </w:r>
      <w:r w:rsidRPr="00BB11D1">
        <w:rPr>
          <w:rFonts w:asciiTheme="majorBidi" w:hAnsiTheme="majorBidi" w:cstheme="majorBidi"/>
          <w:w w:val="95"/>
        </w:rPr>
        <w:t>2016</w:t>
      </w:r>
      <w:r w:rsidRPr="00BB11D1">
        <w:rPr>
          <w:rFonts w:asciiTheme="majorBidi" w:hAnsiTheme="majorBidi" w:cstheme="majorBidi"/>
          <w:spacing w:val="-10"/>
          <w:w w:val="95"/>
        </w:rPr>
        <w:t xml:space="preserve"> </w:t>
      </w:r>
      <w:r w:rsidRPr="00BB11D1">
        <w:rPr>
          <w:rFonts w:asciiTheme="majorBidi" w:hAnsiTheme="majorBidi" w:cstheme="majorBidi"/>
          <w:w w:val="95"/>
        </w:rPr>
        <w:t>on</w:t>
      </w:r>
      <w:r w:rsidRPr="00BB11D1">
        <w:rPr>
          <w:rFonts w:asciiTheme="majorBidi" w:hAnsiTheme="majorBidi" w:cstheme="majorBidi"/>
          <w:spacing w:val="-10"/>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 xml:space="preserve">legal </w:t>
      </w:r>
      <w:r w:rsidRPr="00BB11D1">
        <w:rPr>
          <w:rFonts w:asciiTheme="majorBidi" w:hAnsiTheme="majorBidi" w:cstheme="majorBidi"/>
        </w:rPr>
        <w:t xml:space="preserve">framework for accounting and financial reporting in the European System of Central Banks </w:t>
      </w:r>
      <w:r w:rsidRPr="00BB11D1">
        <w:rPr>
          <w:rFonts w:asciiTheme="majorBidi" w:hAnsiTheme="majorBidi" w:cstheme="majorBidi"/>
          <w:w w:val="95"/>
        </w:rPr>
        <w:t>(ECB/2016/34)</w:t>
      </w:r>
      <w:r w:rsidRPr="00BB11D1">
        <w:rPr>
          <w:rFonts w:asciiTheme="majorBidi" w:hAnsiTheme="majorBidi" w:cstheme="majorBidi"/>
          <w:spacing w:val="-10"/>
          <w:w w:val="95"/>
        </w:rPr>
        <w:t xml:space="preserve"> </w:t>
      </w:r>
      <w:r w:rsidRPr="00BB11D1">
        <w:rPr>
          <w:rFonts w:asciiTheme="majorBidi" w:hAnsiTheme="majorBidi" w:cstheme="majorBidi"/>
          <w:w w:val="95"/>
        </w:rPr>
        <w:t>(recast),</w:t>
      </w:r>
      <w:r w:rsidRPr="00BB11D1">
        <w:rPr>
          <w:rFonts w:asciiTheme="majorBidi" w:hAnsiTheme="majorBidi" w:cstheme="majorBidi"/>
          <w:spacing w:val="-9"/>
          <w:w w:val="95"/>
        </w:rPr>
        <w:t xml:space="preserve"> </w:t>
      </w:r>
      <w:r w:rsidRPr="00BB11D1">
        <w:rPr>
          <w:rFonts w:asciiTheme="majorBidi" w:hAnsiTheme="majorBidi" w:cstheme="majorBidi"/>
          <w:w w:val="95"/>
        </w:rPr>
        <w:t>published</w:t>
      </w:r>
      <w:r w:rsidRPr="00BB11D1">
        <w:rPr>
          <w:rFonts w:asciiTheme="majorBidi" w:hAnsiTheme="majorBidi" w:cstheme="majorBidi"/>
          <w:spacing w:val="-8"/>
          <w:w w:val="95"/>
        </w:rPr>
        <w:t xml:space="preserve"> </w:t>
      </w:r>
      <w:r w:rsidRPr="00BB11D1">
        <w:rPr>
          <w:rFonts w:asciiTheme="majorBidi" w:hAnsiTheme="majorBidi" w:cstheme="majorBidi"/>
          <w:w w:val="95"/>
        </w:rPr>
        <w:t>in</w:t>
      </w:r>
      <w:r w:rsidRPr="00BB11D1">
        <w:rPr>
          <w:rFonts w:asciiTheme="majorBidi" w:hAnsiTheme="majorBidi" w:cstheme="majorBidi"/>
          <w:spacing w:val="-9"/>
          <w:w w:val="95"/>
        </w:rPr>
        <w:t xml:space="preserve"> </w:t>
      </w:r>
      <w:r w:rsidRPr="00BB11D1">
        <w:rPr>
          <w:rFonts w:asciiTheme="majorBidi" w:hAnsiTheme="majorBidi" w:cstheme="majorBidi"/>
          <w:w w:val="95"/>
        </w:rPr>
        <w:t>the</w:t>
      </w:r>
      <w:r w:rsidRPr="00BB11D1">
        <w:rPr>
          <w:rFonts w:asciiTheme="majorBidi" w:hAnsiTheme="majorBidi" w:cstheme="majorBidi"/>
          <w:spacing w:val="-9"/>
          <w:w w:val="95"/>
        </w:rPr>
        <w:t xml:space="preserve"> </w:t>
      </w:r>
      <w:r w:rsidRPr="00BB11D1">
        <w:rPr>
          <w:rFonts w:asciiTheme="majorBidi" w:hAnsiTheme="majorBidi" w:cstheme="majorBidi"/>
          <w:w w:val="95"/>
        </w:rPr>
        <w:t>Official</w:t>
      </w:r>
      <w:r w:rsidRPr="00BB11D1">
        <w:rPr>
          <w:rFonts w:asciiTheme="majorBidi" w:hAnsiTheme="majorBidi" w:cstheme="majorBidi"/>
          <w:spacing w:val="-9"/>
          <w:w w:val="95"/>
        </w:rPr>
        <w:t xml:space="preserve"> </w:t>
      </w:r>
      <w:r w:rsidRPr="00BB11D1">
        <w:rPr>
          <w:rFonts w:asciiTheme="majorBidi" w:hAnsiTheme="majorBidi" w:cstheme="majorBidi"/>
          <w:w w:val="95"/>
        </w:rPr>
        <w:t>Journal</w:t>
      </w:r>
      <w:r w:rsidRPr="00BB11D1">
        <w:rPr>
          <w:rFonts w:asciiTheme="majorBidi" w:hAnsiTheme="majorBidi" w:cstheme="majorBidi"/>
          <w:spacing w:val="-8"/>
          <w:w w:val="95"/>
        </w:rPr>
        <w:t xml:space="preserve"> </w:t>
      </w:r>
      <w:r w:rsidRPr="00BB11D1">
        <w:rPr>
          <w:rFonts w:asciiTheme="majorBidi" w:hAnsiTheme="majorBidi" w:cstheme="majorBidi"/>
          <w:w w:val="95"/>
        </w:rPr>
        <w:t>of</w:t>
      </w:r>
      <w:r w:rsidRPr="00BB11D1">
        <w:rPr>
          <w:rFonts w:asciiTheme="majorBidi" w:hAnsiTheme="majorBidi" w:cstheme="majorBidi"/>
          <w:spacing w:val="-10"/>
          <w:w w:val="95"/>
        </w:rPr>
        <w:t xml:space="preserve"> </w:t>
      </w:r>
      <w:r w:rsidRPr="00BB11D1">
        <w:rPr>
          <w:rFonts w:asciiTheme="majorBidi" w:hAnsiTheme="majorBidi" w:cstheme="majorBidi"/>
          <w:w w:val="95"/>
        </w:rPr>
        <w:t>the</w:t>
      </w:r>
      <w:r w:rsidRPr="00BB11D1">
        <w:rPr>
          <w:rFonts w:asciiTheme="majorBidi" w:hAnsiTheme="majorBidi" w:cstheme="majorBidi"/>
          <w:spacing w:val="-9"/>
          <w:w w:val="95"/>
        </w:rPr>
        <w:t xml:space="preserve"> </w:t>
      </w:r>
      <w:r w:rsidRPr="00BB11D1">
        <w:rPr>
          <w:rFonts w:asciiTheme="majorBidi" w:hAnsiTheme="majorBidi" w:cstheme="majorBidi"/>
          <w:w w:val="95"/>
        </w:rPr>
        <w:t>European</w:t>
      </w:r>
      <w:r w:rsidRPr="00BB11D1">
        <w:rPr>
          <w:rFonts w:asciiTheme="majorBidi" w:hAnsiTheme="majorBidi" w:cstheme="majorBidi"/>
          <w:spacing w:val="-11"/>
          <w:w w:val="95"/>
        </w:rPr>
        <w:t xml:space="preserve"> </w:t>
      </w:r>
      <w:r w:rsidRPr="00BB11D1">
        <w:rPr>
          <w:rFonts w:asciiTheme="majorBidi" w:hAnsiTheme="majorBidi" w:cstheme="majorBidi"/>
          <w:w w:val="95"/>
        </w:rPr>
        <w:t>Union</w:t>
      </w:r>
      <w:r w:rsidRPr="00BB11D1">
        <w:rPr>
          <w:rFonts w:asciiTheme="majorBidi" w:hAnsiTheme="majorBidi" w:cstheme="majorBidi"/>
          <w:spacing w:val="-11"/>
          <w:w w:val="95"/>
        </w:rPr>
        <w:t xml:space="preserve"> </w:t>
      </w:r>
      <w:r w:rsidRPr="00BB11D1">
        <w:rPr>
          <w:rFonts w:asciiTheme="majorBidi" w:hAnsiTheme="majorBidi" w:cstheme="majorBidi"/>
          <w:w w:val="95"/>
        </w:rPr>
        <w:t>L</w:t>
      </w:r>
      <w:r w:rsidRPr="00BB11D1">
        <w:rPr>
          <w:rFonts w:asciiTheme="majorBidi" w:hAnsiTheme="majorBidi" w:cstheme="majorBidi"/>
          <w:spacing w:val="-9"/>
          <w:w w:val="95"/>
        </w:rPr>
        <w:t xml:space="preserve"> </w:t>
      </w:r>
      <w:r w:rsidRPr="00BB11D1">
        <w:rPr>
          <w:rFonts w:asciiTheme="majorBidi" w:hAnsiTheme="majorBidi" w:cstheme="majorBidi"/>
          <w:w w:val="95"/>
        </w:rPr>
        <w:t>347/37,</w:t>
      </w:r>
      <w:r w:rsidRPr="00BB11D1">
        <w:rPr>
          <w:rFonts w:asciiTheme="majorBidi" w:hAnsiTheme="majorBidi" w:cstheme="majorBidi"/>
          <w:spacing w:val="-10"/>
          <w:w w:val="95"/>
        </w:rPr>
        <w:t xml:space="preserve"> </w:t>
      </w:r>
      <w:r w:rsidRPr="00BB11D1">
        <w:rPr>
          <w:rFonts w:asciiTheme="majorBidi" w:hAnsiTheme="majorBidi" w:cstheme="majorBidi"/>
          <w:w w:val="95"/>
        </w:rPr>
        <w:t xml:space="preserve">20December </w:t>
      </w:r>
      <w:r w:rsidRPr="00BB11D1">
        <w:rPr>
          <w:rFonts w:asciiTheme="majorBidi" w:hAnsiTheme="majorBidi" w:cstheme="majorBidi"/>
        </w:rPr>
        <w:t>2016.</w:t>
      </w:r>
      <w:r w:rsidRPr="00BB11D1">
        <w:rPr>
          <w:rFonts w:asciiTheme="majorBidi" w:hAnsiTheme="majorBidi" w:cstheme="majorBidi"/>
          <w:spacing w:val="-15"/>
        </w:rPr>
        <w:t xml:space="preserve"> </w:t>
      </w:r>
      <w:r w:rsidRPr="00BB11D1">
        <w:rPr>
          <w:rFonts w:asciiTheme="majorBidi" w:hAnsiTheme="majorBidi" w:cstheme="majorBidi"/>
        </w:rPr>
        <w:t>“</w:t>
      </w:r>
    </w:p>
    <w:p w:rsidR="00BB11D1" w:rsidRPr="00BB11D1" w:rsidRDefault="00BB11D1" w:rsidP="00BB11D1">
      <w:pPr>
        <w:pStyle w:val="BodyText"/>
        <w:numPr>
          <w:ilvl w:val="0"/>
          <w:numId w:val="17"/>
        </w:numPr>
        <w:spacing w:before="62" w:line="254" w:lineRule="auto"/>
        <w:ind w:right="768"/>
        <w:jc w:val="both"/>
        <w:rPr>
          <w:rFonts w:asciiTheme="majorBidi" w:hAnsiTheme="majorBidi" w:cstheme="majorBidi"/>
        </w:rPr>
      </w:pPr>
      <w:r w:rsidRPr="00BB11D1">
        <w:rPr>
          <w:rFonts w:asciiTheme="majorBidi" w:hAnsiTheme="majorBidi" w:cstheme="majorBidi"/>
        </w:rPr>
        <w:t>ECB</w:t>
      </w:r>
      <w:r w:rsidRPr="00BB11D1">
        <w:rPr>
          <w:rFonts w:asciiTheme="majorBidi" w:hAnsiTheme="majorBidi" w:cstheme="majorBidi"/>
          <w:spacing w:val="-25"/>
        </w:rPr>
        <w:t xml:space="preserve"> </w:t>
      </w:r>
      <w:r w:rsidRPr="00BB11D1">
        <w:rPr>
          <w:rFonts w:asciiTheme="majorBidi" w:hAnsiTheme="majorBidi" w:cstheme="majorBidi"/>
        </w:rPr>
        <w:t>(2019a),</w:t>
      </w:r>
      <w:r w:rsidRPr="00BB11D1">
        <w:rPr>
          <w:rFonts w:asciiTheme="majorBidi" w:hAnsiTheme="majorBidi" w:cstheme="majorBidi"/>
          <w:spacing w:val="-26"/>
        </w:rPr>
        <w:t xml:space="preserve"> </w:t>
      </w:r>
      <w:r w:rsidRPr="00BB11D1">
        <w:rPr>
          <w:rFonts w:asciiTheme="majorBidi" w:hAnsiTheme="majorBidi" w:cstheme="majorBidi"/>
        </w:rPr>
        <w:t>“Crypto-assets:</w:t>
      </w:r>
      <w:r w:rsidRPr="00BB11D1">
        <w:rPr>
          <w:rFonts w:asciiTheme="majorBidi" w:hAnsiTheme="majorBidi" w:cstheme="majorBidi"/>
          <w:spacing w:val="-24"/>
        </w:rPr>
        <w:t xml:space="preserve"> </w:t>
      </w:r>
      <w:r w:rsidRPr="00BB11D1">
        <w:rPr>
          <w:rFonts w:asciiTheme="majorBidi" w:hAnsiTheme="majorBidi" w:cstheme="majorBidi"/>
        </w:rPr>
        <w:t>implications</w:t>
      </w:r>
      <w:r w:rsidRPr="00BB11D1">
        <w:rPr>
          <w:rFonts w:asciiTheme="majorBidi" w:hAnsiTheme="majorBidi" w:cstheme="majorBidi"/>
          <w:spacing w:val="-26"/>
        </w:rPr>
        <w:t xml:space="preserve"> </w:t>
      </w:r>
      <w:r w:rsidRPr="00BB11D1">
        <w:rPr>
          <w:rFonts w:asciiTheme="majorBidi" w:hAnsiTheme="majorBidi" w:cstheme="majorBidi"/>
        </w:rPr>
        <w:t>for</w:t>
      </w:r>
      <w:r w:rsidRPr="00BB11D1">
        <w:rPr>
          <w:rFonts w:asciiTheme="majorBidi" w:hAnsiTheme="majorBidi" w:cstheme="majorBidi"/>
          <w:spacing w:val="-25"/>
        </w:rPr>
        <w:t xml:space="preserve"> </w:t>
      </w:r>
      <w:r w:rsidRPr="00BB11D1">
        <w:rPr>
          <w:rFonts w:asciiTheme="majorBidi" w:hAnsiTheme="majorBidi" w:cstheme="majorBidi"/>
        </w:rPr>
        <w:t>financial</w:t>
      </w:r>
      <w:r w:rsidRPr="00BB11D1">
        <w:rPr>
          <w:rFonts w:asciiTheme="majorBidi" w:hAnsiTheme="majorBidi" w:cstheme="majorBidi"/>
          <w:spacing w:val="-25"/>
        </w:rPr>
        <w:t xml:space="preserve"> </w:t>
      </w:r>
      <w:r w:rsidRPr="00BB11D1">
        <w:rPr>
          <w:rFonts w:asciiTheme="majorBidi" w:hAnsiTheme="majorBidi" w:cstheme="majorBidi"/>
        </w:rPr>
        <w:t>stability,</w:t>
      </w:r>
      <w:r w:rsidRPr="00BB11D1">
        <w:rPr>
          <w:rFonts w:asciiTheme="majorBidi" w:hAnsiTheme="majorBidi" w:cstheme="majorBidi"/>
          <w:spacing w:val="-26"/>
        </w:rPr>
        <w:t xml:space="preserve"> </w:t>
      </w:r>
      <w:r w:rsidRPr="00BB11D1">
        <w:rPr>
          <w:rFonts w:asciiTheme="majorBidi" w:hAnsiTheme="majorBidi" w:cstheme="majorBidi"/>
        </w:rPr>
        <w:t>monetary</w:t>
      </w:r>
      <w:r w:rsidRPr="00BB11D1">
        <w:rPr>
          <w:rFonts w:asciiTheme="majorBidi" w:hAnsiTheme="majorBidi" w:cstheme="majorBidi"/>
          <w:spacing w:val="-24"/>
        </w:rPr>
        <w:t xml:space="preserve"> </w:t>
      </w:r>
      <w:r w:rsidRPr="00BB11D1">
        <w:rPr>
          <w:rFonts w:asciiTheme="majorBidi" w:hAnsiTheme="majorBidi" w:cstheme="majorBidi"/>
        </w:rPr>
        <w:t>policy,</w:t>
      </w:r>
      <w:r w:rsidRPr="00BB11D1">
        <w:rPr>
          <w:rFonts w:asciiTheme="majorBidi" w:hAnsiTheme="majorBidi" w:cstheme="majorBidi"/>
          <w:spacing w:val="-25"/>
        </w:rPr>
        <w:t xml:space="preserve"> </w:t>
      </w:r>
      <w:r w:rsidRPr="00BB11D1">
        <w:rPr>
          <w:rFonts w:asciiTheme="majorBidi" w:hAnsiTheme="majorBidi" w:cstheme="majorBidi"/>
        </w:rPr>
        <w:t>and</w:t>
      </w:r>
      <w:r w:rsidRPr="00BB11D1">
        <w:rPr>
          <w:rFonts w:asciiTheme="majorBidi" w:hAnsiTheme="majorBidi" w:cstheme="majorBidi"/>
          <w:spacing w:val="-25"/>
        </w:rPr>
        <w:t xml:space="preserve"> </w:t>
      </w:r>
      <w:r w:rsidRPr="00BB11D1">
        <w:rPr>
          <w:rFonts w:asciiTheme="majorBidi" w:hAnsiTheme="majorBidi" w:cstheme="majorBidi"/>
        </w:rPr>
        <w:t>payments</w:t>
      </w:r>
      <w:r w:rsidRPr="00BB11D1">
        <w:rPr>
          <w:rFonts w:asciiTheme="majorBidi" w:hAnsiTheme="majorBidi" w:cstheme="majorBidi"/>
          <w:spacing w:val="-26"/>
        </w:rPr>
        <w:t xml:space="preserve"> </w:t>
      </w:r>
      <w:r w:rsidRPr="00BB11D1">
        <w:rPr>
          <w:rFonts w:asciiTheme="majorBidi" w:hAnsiTheme="majorBidi" w:cstheme="majorBidi"/>
        </w:rPr>
        <w:t>and market</w:t>
      </w:r>
      <w:r w:rsidRPr="00BB11D1">
        <w:rPr>
          <w:rFonts w:asciiTheme="majorBidi" w:hAnsiTheme="majorBidi" w:cstheme="majorBidi"/>
          <w:spacing w:val="-16"/>
        </w:rPr>
        <w:t xml:space="preserve"> </w:t>
      </w:r>
      <w:r w:rsidRPr="00BB11D1">
        <w:rPr>
          <w:rFonts w:asciiTheme="majorBidi" w:hAnsiTheme="majorBidi" w:cstheme="majorBidi"/>
        </w:rPr>
        <w:t>infrastructures”,</w:t>
      </w:r>
      <w:r w:rsidRPr="00BB11D1">
        <w:rPr>
          <w:rFonts w:asciiTheme="majorBidi" w:hAnsiTheme="majorBidi" w:cstheme="majorBidi"/>
          <w:spacing w:val="-19"/>
        </w:rPr>
        <w:t xml:space="preserve"> </w:t>
      </w:r>
      <w:r w:rsidRPr="00BB11D1">
        <w:rPr>
          <w:rFonts w:asciiTheme="majorBidi" w:hAnsiTheme="majorBidi" w:cstheme="majorBidi"/>
        </w:rPr>
        <w:t>ECB</w:t>
      </w:r>
      <w:r w:rsidRPr="00BB11D1">
        <w:rPr>
          <w:rFonts w:asciiTheme="majorBidi" w:hAnsiTheme="majorBidi" w:cstheme="majorBidi"/>
          <w:spacing w:val="-16"/>
        </w:rPr>
        <w:t xml:space="preserve"> </w:t>
      </w:r>
      <w:r w:rsidRPr="00BB11D1">
        <w:rPr>
          <w:rFonts w:asciiTheme="majorBidi" w:hAnsiTheme="majorBidi" w:cstheme="majorBidi"/>
        </w:rPr>
        <w:t>Occasional</w:t>
      </w:r>
      <w:r w:rsidRPr="00BB11D1">
        <w:rPr>
          <w:rFonts w:asciiTheme="majorBidi" w:hAnsiTheme="majorBidi" w:cstheme="majorBidi"/>
          <w:spacing w:val="-19"/>
        </w:rPr>
        <w:t xml:space="preserve"> </w:t>
      </w:r>
      <w:r w:rsidRPr="00BB11D1">
        <w:rPr>
          <w:rFonts w:asciiTheme="majorBidi" w:hAnsiTheme="majorBidi" w:cstheme="majorBidi"/>
        </w:rPr>
        <w:t>Paper</w:t>
      </w:r>
      <w:r w:rsidRPr="00BB11D1">
        <w:rPr>
          <w:rFonts w:asciiTheme="majorBidi" w:hAnsiTheme="majorBidi" w:cstheme="majorBidi"/>
          <w:spacing w:val="-16"/>
        </w:rPr>
        <w:t xml:space="preserve"> </w:t>
      </w:r>
      <w:r w:rsidRPr="00BB11D1">
        <w:rPr>
          <w:rFonts w:asciiTheme="majorBidi" w:hAnsiTheme="majorBidi" w:cstheme="majorBidi"/>
        </w:rPr>
        <w:t>No.</w:t>
      </w:r>
      <w:r w:rsidRPr="00BB11D1">
        <w:rPr>
          <w:rFonts w:asciiTheme="majorBidi" w:hAnsiTheme="majorBidi" w:cstheme="majorBidi"/>
          <w:spacing w:val="-18"/>
        </w:rPr>
        <w:t xml:space="preserve"> </w:t>
      </w:r>
      <w:r w:rsidRPr="00BB11D1">
        <w:rPr>
          <w:rFonts w:asciiTheme="majorBidi" w:hAnsiTheme="majorBidi" w:cstheme="majorBidi"/>
        </w:rPr>
        <w:t>223.</w:t>
      </w:r>
    </w:p>
    <w:p w:rsidR="00BB11D1" w:rsidRPr="00BB11D1" w:rsidRDefault="00BB11D1" w:rsidP="00BB11D1">
      <w:pPr>
        <w:pStyle w:val="BodyText"/>
        <w:numPr>
          <w:ilvl w:val="0"/>
          <w:numId w:val="17"/>
        </w:numPr>
        <w:spacing w:before="61"/>
        <w:jc w:val="both"/>
        <w:rPr>
          <w:rFonts w:asciiTheme="majorBidi" w:hAnsiTheme="majorBidi" w:cstheme="majorBidi"/>
        </w:rPr>
      </w:pPr>
      <w:r w:rsidRPr="00BB11D1">
        <w:rPr>
          <w:rFonts w:asciiTheme="majorBidi" w:hAnsiTheme="majorBidi" w:cstheme="majorBidi"/>
        </w:rPr>
        <w:t>ECB (2019b), “Exploring anonymity in central bank digital currencies”, forthcoming memo.</w:t>
      </w:r>
    </w:p>
    <w:p w:rsidR="00BB11D1" w:rsidRPr="00BB11D1" w:rsidRDefault="00BB11D1" w:rsidP="00BB11D1">
      <w:pPr>
        <w:pStyle w:val="BodyText"/>
        <w:numPr>
          <w:ilvl w:val="0"/>
          <w:numId w:val="17"/>
        </w:numPr>
        <w:spacing w:before="73" w:line="254" w:lineRule="auto"/>
        <w:ind w:right="769"/>
        <w:jc w:val="both"/>
        <w:rPr>
          <w:rFonts w:asciiTheme="majorBidi" w:hAnsiTheme="majorBidi" w:cstheme="majorBidi"/>
        </w:rPr>
      </w:pPr>
      <w:r w:rsidRPr="00BB11D1">
        <w:rPr>
          <w:rFonts w:asciiTheme="majorBidi" w:hAnsiTheme="majorBidi" w:cstheme="majorBidi"/>
          <w:w w:val="95"/>
        </w:rPr>
        <w:t>G7</w:t>
      </w:r>
      <w:r w:rsidRPr="00BB11D1">
        <w:rPr>
          <w:rFonts w:asciiTheme="majorBidi" w:hAnsiTheme="majorBidi" w:cstheme="majorBidi"/>
          <w:spacing w:val="-19"/>
          <w:w w:val="95"/>
        </w:rPr>
        <w:t xml:space="preserve"> </w:t>
      </w:r>
      <w:r w:rsidRPr="00BB11D1">
        <w:rPr>
          <w:rFonts w:asciiTheme="majorBidi" w:hAnsiTheme="majorBidi" w:cstheme="majorBidi"/>
          <w:w w:val="95"/>
        </w:rPr>
        <w:t>Working</w:t>
      </w:r>
      <w:r w:rsidRPr="00BB11D1">
        <w:rPr>
          <w:rFonts w:asciiTheme="majorBidi" w:hAnsiTheme="majorBidi" w:cstheme="majorBidi"/>
          <w:spacing w:val="-22"/>
          <w:w w:val="95"/>
        </w:rPr>
        <w:t xml:space="preserve"> </w:t>
      </w:r>
      <w:r w:rsidRPr="00BB11D1">
        <w:rPr>
          <w:rFonts w:asciiTheme="majorBidi" w:hAnsiTheme="majorBidi" w:cstheme="majorBidi"/>
          <w:w w:val="95"/>
        </w:rPr>
        <w:t>Group</w:t>
      </w:r>
      <w:r w:rsidRPr="00BB11D1">
        <w:rPr>
          <w:rFonts w:asciiTheme="majorBidi" w:hAnsiTheme="majorBidi" w:cstheme="majorBidi"/>
          <w:spacing w:val="-22"/>
          <w:w w:val="95"/>
        </w:rPr>
        <w:t xml:space="preserve"> </w:t>
      </w:r>
      <w:r w:rsidRPr="00BB11D1">
        <w:rPr>
          <w:rFonts w:asciiTheme="majorBidi" w:hAnsiTheme="majorBidi" w:cstheme="majorBidi"/>
          <w:w w:val="95"/>
        </w:rPr>
        <w:t>on</w:t>
      </w:r>
      <w:r w:rsidRPr="00BB11D1">
        <w:rPr>
          <w:rFonts w:asciiTheme="majorBidi" w:hAnsiTheme="majorBidi" w:cstheme="majorBidi"/>
          <w:spacing w:val="-19"/>
          <w:w w:val="95"/>
        </w:rPr>
        <w:t xml:space="preserve"> </w:t>
      </w:r>
      <w:r w:rsidRPr="00BB11D1">
        <w:rPr>
          <w:rFonts w:asciiTheme="majorBidi" w:hAnsiTheme="majorBidi" w:cstheme="majorBidi"/>
          <w:w w:val="95"/>
        </w:rPr>
        <w:t>Stablecoins</w:t>
      </w:r>
      <w:r w:rsidRPr="00BB11D1">
        <w:rPr>
          <w:rFonts w:asciiTheme="majorBidi" w:hAnsiTheme="majorBidi" w:cstheme="majorBidi"/>
          <w:spacing w:val="-21"/>
          <w:w w:val="95"/>
        </w:rPr>
        <w:t xml:space="preserve"> </w:t>
      </w:r>
      <w:r w:rsidRPr="00BB11D1">
        <w:rPr>
          <w:rFonts w:asciiTheme="majorBidi" w:hAnsiTheme="majorBidi" w:cstheme="majorBidi"/>
          <w:w w:val="95"/>
        </w:rPr>
        <w:t>(2019),</w:t>
      </w:r>
      <w:r w:rsidRPr="00BB11D1">
        <w:rPr>
          <w:rFonts w:asciiTheme="majorBidi" w:hAnsiTheme="majorBidi" w:cstheme="majorBidi"/>
          <w:spacing w:val="-21"/>
          <w:w w:val="95"/>
        </w:rPr>
        <w:t xml:space="preserve"> </w:t>
      </w:r>
      <w:r w:rsidRPr="00BB11D1">
        <w:rPr>
          <w:rFonts w:asciiTheme="majorBidi" w:hAnsiTheme="majorBidi" w:cstheme="majorBidi"/>
          <w:w w:val="95"/>
        </w:rPr>
        <w:t>“Investigating</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18"/>
          <w:w w:val="95"/>
        </w:rPr>
        <w:t xml:space="preserve"> </w:t>
      </w:r>
      <w:r w:rsidRPr="00BB11D1">
        <w:rPr>
          <w:rFonts w:asciiTheme="majorBidi" w:hAnsiTheme="majorBidi" w:cstheme="majorBidi"/>
          <w:w w:val="95"/>
        </w:rPr>
        <w:t>impact</w:t>
      </w:r>
      <w:r w:rsidRPr="00BB11D1">
        <w:rPr>
          <w:rFonts w:asciiTheme="majorBidi" w:hAnsiTheme="majorBidi" w:cstheme="majorBidi"/>
          <w:spacing w:val="-21"/>
          <w:w w:val="95"/>
        </w:rPr>
        <w:t xml:space="preserve"> </w:t>
      </w:r>
      <w:r w:rsidRPr="00BB11D1">
        <w:rPr>
          <w:rFonts w:asciiTheme="majorBidi" w:hAnsiTheme="majorBidi" w:cstheme="majorBidi"/>
          <w:w w:val="95"/>
        </w:rPr>
        <w:t>of</w:t>
      </w:r>
      <w:r w:rsidRPr="00BB11D1">
        <w:rPr>
          <w:rFonts w:asciiTheme="majorBidi" w:hAnsiTheme="majorBidi" w:cstheme="majorBidi"/>
          <w:spacing w:val="-19"/>
          <w:w w:val="95"/>
        </w:rPr>
        <w:t xml:space="preserve"> </w:t>
      </w:r>
      <w:r w:rsidRPr="00BB11D1">
        <w:rPr>
          <w:rFonts w:asciiTheme="majorBidi" w:hAnsiTheme="majorBidi" w:cstheme="majorBidi"/>
          <w:w w:val="95"/>
        </w:rPr>
        <w:t>global</w:t>
      </w:r>
      <w:r w:rsidRPr="00BB11D1">
        <w:rPr>
          <w:rFonts w:asciiTheme="majorBidi" w:hAnsiTheme="majorBidi" w:cstheme="majorBidi"/>
          <w:spacing w:val="-20"/>
          <w:w w:val="95"/>
        </w:rPr>
        <w:t xml:space="preserve"> </w:t>
      </w:r>
      <w:r w:rsidRPr="00BB11D1">
        <w:rPr>
          <w:rFonts w:asciiTheme="majorBidi" w:hAnsiTheme="majorBidi" w:cstheme="majorBidi"/>
          <w:w w:val="95"/>
        </w:rPr>
        <w:t>stablecoins.”</w:t>
      </w:r>
      <w:r w:rsidRPr="00BB11D1">
        <w:rPr>
          <w:rFonts w:asciiTheme="majorBidi" w:hAnsiTheme="majorBidi" w:cstheme="majorBidi"/>
          <w:spacing w:val="-18"/>
          <w:w w:val="95"/>
        </w:rPr>
        <w:t xml:space="preserve"> </w:t>
      </w:r>
      <w:r w:rsidRPr="00BB11D1">
        <w:rPr>
          <w:rFonts w:asciiTheme="majorBidi" w:hAnsiTheme="majorBidi" w:cstheme="majorBidi"/>
          <w:w w:val="95"/>
        </w:rPr>
        <w:t>Joint</w:t>
      </w:r>
      <w:r w:rsidRPr="00BB11D1">
        <w:rPr>
          <w:rFonts w:asciiTheme="majorBidi" w:hAnsiTheme="majorBidi" w:cstheme="majorBidi"/>
          <w:spacing w:val="-20"/>
          <w:w w:val="95"/>
        </w:rPr>
        <w:t xml:space="preserve"> </w:t>
      </w:r>
      <w:r w:rsidRPr="00BB11D1">
        <w:rPr>
          <w:rFonts w:asciiTheme="majorBidi" w:hAnsiTheme="majorBidi" w:cstheme="majorBidi"/>
          <w:w w:val="95"/>
        </w:rPr>
        <w:t>group</w:t>
      </w:r>
      <w:r w:rsidRPr="00BB11D1">
        <w:rPr>
          <w:rFonts w:asciiTheme="majorBidi" w:hAnsiTheme="majorBidi" w:cstheme="majorBidi"/>
          <w:spacing w:val="-20"/>
          <w:w w:val="95"/>
        </w:rPr>
        <w:t xml:space="preserve"> </w:t>
      </w:r>
      <w:r w:rsidRPr="00BB11D1">
        <w:rPr>
          <w:rFonts w:asciiTheme="majorBidi" w:hAnsiTheme="majorBidi" w:cstheme="majorBidi"/>
          <w:spacing w:val="-3"/>
          <w:w w:val="95"/>
        </w:rPr>
        <w:t xml:space="preserve">by </w:t>
      </w:r>
      <w:r w:rsidRPr="00BB11D1">
        <w:rPr>
          <w:rFonts w:asciiTheme="majorBidi" w:hAnsiTheme="majorBidi" w:cstheme="majorBidi"/>
        </w:rPr>
        <w:t>the</w:t>
      </w:r>
      <w:r w:rsidRPr="00BB11D1">
        <w:rPr>
          <w:rFonts w:asciiTheme="majorBidi" w:hAnsiTheme="majorBidi" w:cstheme="majorBidi"/>
          <w:spacing w:val="-14"/>
        </w:rPr>
        <w:t xml:space="preserve"> </w:t>
      </w:r>
      <w:r w:rsidRPr="00BB11D1">
        <w:rPr>
          <w:rFonts w:asciiTheme="majorBidi" w:hAnsiTheme="majorBidi" w:cstheme="majorBidi"/>
        </w:rPr>
        <w:t>BIS,</w:t>
      </w:r>
      <w:r w:rsidRPr="00BB11D1">
        <w:rPr>
          <w:rFonts w:asciiTheme="majorBidi" w:hAnsiTheme="majorBidi" w:cstheme="majorBidi"/>
          <w:spacing w:val="-13"/>
        </w:rPr>
        <w:t xml:space="preserve"> </w:t>
      </w:r>
      <w:r w:rsidRPr="00BB11D1">
        <w:rPr>
          <w:rFonts w:asciiTheme="majorBidi" w:hAnsiTheme="majorBidi" w:cstheme="majorBidi"/>
        </w:rPr>
        <w:t>CPMI,</w:t>
      </w:r>
      <w:r w:rsidRPr="00BB11D1">
        <w:rPr>
          <w:rFonts w:asciiTheme="majorBidi" w:hAnsiTheme="majorBidi" w:cstheme="majorBidi"/>
          <w:spacing w:val="-13"/>
        </w:rPr>
        <w:t xml:space="preserve"> </w:t>
      </w:r>
      <w:r w:rsidRPr="00BB11D1">
        <w:rPr>
          <w:rFonts w:asciiTheme="majorBidi" w:hAnsiTheme="majorBidi" w:cstheme="majorBidi"/>
        </w:rPr>
        <w:t>IMF,</w:t>
      </w:r>
      <w:r w:rsidRPr="00BB11D1">
        <w:rPr>
          <w:rFonts w:asciiTheme="majorBidi" w:hAnsiTheme="majorBidi" w:cstheme="majorBidi"/>
          <w:spacing w:val="-16"/>
        </w:rPr>
        <w:t xml:space="preserve"> </w:t>
      </w:r>
      <w:r w:rsidRPr="00BB11D1">
        <w:rPr>
          <w:rFonts w:asciiTheme="majorBidi" w:hAnsiTheme="majorBidi" w:cstheme="majorBidi"/>
        </w:rPr>
        <w:t>and</w:t>
      </w:r>
      <w:r w:rsidRPr="00BB11D1">
        <w:rPr>
          <w:rFonts w:asciiTheme="majorBidi" w:hAnsiTheme="majorBidi" w:cstheme="majorBidi"/>
          <w:spacing w:val="-14"/>
        </w:rPr>
        <w:t xml:space="preserve"> </w:t>
      </w:r>
      <w:r w:rsidRPr="00BB11D1">
        <w:rPr>
          <w:rFonts w:asciiTheme="majorBidi" w:hAnsiTheme="majorBidi" w:cstheme="majorBidi"/>
        </w:rPr>
        <w:t>G7.</w:t>
      </w:r>
    </w:p>
    <w:p w:rsidR="00BB11D1" w:rsidRPr="00BB11D1" w:rsidRDefault="00BB11D1" w:rsidP="00BB11D1">
      <w:pPr>
        <w:pStyle w:val="ListParagraph"/>
        <w:numPr>
          <w:ilvl w:val="0"/>
          <w:numId w:val="17"/>
        </w:numPr>
        <w:spacing w:before="62"/>
        <w:rPr>
          <w:rFonts w:asciiTheme="majorBidi" w:hAnsiTheme="majorBidi" w:cstheme="majorBidi"/>
        </w:rPr>
      </w:pPr>
      <w:r w:rsidRPr="00BB11D1">
        <w:rPr>
          <w:rFonts w:asciiTheme="majorBidi" w:hAnsiTheme="majorBidi" w:cstheme="majorBidi"/>
        </w:rPr>
        <w:t xml:space="preserve">Häring, N. (2018), </w:t>
      </w:r>
      <w:r w:rsidRPr="00BB11D1">
        <w:rPr>
          <w:rFonts w:asciiTheme="majorBidi" w:hAnsiTheme="majorBidi" w:cstheme="majorBidi"/>
          <w:i/>
        </w:rPr>
        <w:t xml:space="preserve">Die Abschaffung des Bargelds und </w:t>
      </w:r>
      <w:proofErr w:type="gramStart"/>
      <w:r w:rsidRPr="00BB11D1">
        <w:rPr>
          <w:rFonts w:asciiTheme="majorBidi" w:hAnsiTheme="majorBidi" w:cstheme="majorBidi"/>
          <w:i/>
        </w:rPr>
        <w:t>die</w:t>
      </w:r>
      <w:proofErr w:type="gramEnd"/>
      <w:r w:rsidRPr="00BB11D1">
        <w:rPr>
          <w:rFonts w:asciiTheme="majorBidi" w:hAnsiTheme="majorBidi" w:cstheme="majorBidi"/>
          <w:i/>
        </w:rPr>
        <w:t xml:space="preserve"> Folgen</w:t>
      </w:r>
      <w:r w:rsidRPr="00BB11D1">
        <w:rPr>
          <w:rFonts w:asciiTheme="majorBidi" w:hAnsiTheme="majorBidi" w:cstheme="majorBidi"/>
        </w:rPr>
        <w:t>, Bastei Lübbe Taschenbuch.</w:t>
      </w:r>
    </w:p>
    <w:p w:rsidR="00BB11D1" w:rsidRPr="00BB11D1" w:rsidRDefault="00BB11D1" w:rsidP="00BB11D1">
      <w:pPr>
        <w:pStyle w:val="BodyText"/>
        <w:numPr>
          <w:ilvl w:val="0"/>
          <w:numId w:val="17"/>
        </w:numPr>
        <w:spacing w:before="75" w:line="254" w:lineRule="auto"/>
        <w:ind w:right="766"/>
        <w:jc w:val="both"/>
        <w:rPr>
          <w:rFonts w:asciiTheme="majorBidi" w:hAnsiTheme="majorBidi" w:cstheme="majorBidi"/>
        </w:rPr>
      </w:pPr>
      <w:r w:rsidRPr="00BB11D1">
        <w:rPr>
          <w:rFonts w:asciiTheme="majorBidi" w:hAnsiTheme="majorBidi" w:cstheme="majorBidi"/>
          <w:w w:val="95"/>
        </w:rPr>
        <w:t>Huber,</w:t>
      </w:r>
      <w:r w:rsidRPr="00BB11D1">
        <w:rPr>
          <w:rFonts w:asciiTheme="majorBidi" w:hAnsiTheme="majorBidi" w:cstheme="majorBidi"/>
          <w:spacing w:val="-12"/>
          <w:w w:val="95"/>
        </w:rPr>
        <w:t xml:space="preserve"> </w:t>
      </w:r>
      <w:r w:rsidRPr="00BB11D1">
        <w:rPr>
          <w:rFonts w:asciiTheme="majorBidi" w:hAnsiTheme="majorBidi" w:cstheme="majorBidi"/>
          <w:w w:val="95"/>
        </w:rPr>
        <w:t>J.</w:t>
      </w:r>
      <w:r w:rsidRPr="00BB11D1">
        <w:rPr>
          <w:rFonts w:asciiTheme="majorBidi" w:hAnsiTheme="majorBidi" w:cstheme="majorBidi"/>
          <w:spacing w:val="-12"/>
          <w:w w:val="95"/>
        </w:rPr>
        <w:t xml:space="preserve"> </w:t>
      </w:r>
      <w:r w:rsidRPr="00BB11D1">
        <w:rPr>
          <w:rFonts w:asciiTheme="majorBidi" w:hAnsiTheme="majorBidi" w:cstheme="majorBidi"/>
          <w:w w:val="95"/>
        </w:rPr>
        <w:t>(1999),</w:t>
      </w:r>
      <w:r w:rsidRPr="00BB11D1">
        <w:rPr>
          <w:rFonts w:asciiTheme="majorBidi" w:hAnsiTheme="majorBidi" w:cstheme="majorBidi"/>
          <w:spacing w:val="-15"/>
          <w:w w:val="95"/>
        </w:rPr>
        <w:t xml:space="preserve"> </w:t>
      </w:r>
      <w:r w:rsidRPr="00BB11D1">
        <w:rPr>
          <w:rFonts w:asciiTheme="majorBidi" w:hAnsiTheme="majorBidi" w:cstheme="majorBidi"/>
          <w:w w:val="95"/>
        </w:rPr>
        <w:t>“A</w:t>
      </w:r>
      <w:r w:rsidRPr="00BB11D1">
        <w:rPr>
          <w:rFonts w:asciiTheme="majorBidi" w:hAnsiTheme="majorBidi" w:cstheme="majorBidi"/>
          <w:spacing w:val="-12"/>
          <w:w w:val="95"/>
        </w:rPr>
        <w:t xml:space="preserve"> </w:t>
      </w:r>
      <w:r w:rsidRPr="00BB11D1">
        <w:rPr>
          <w:rFonts w:asciiTheme="majorBidi" w:hAnsiTheme="majorBidi" w:cstheme="majorBidi"/>
          <w:w w:val="95"/>
        </w:rPr>
        <w:t>proposal</w:t>
      </w:r>
      <w:r w:rsidRPr="00BB11D1">
        <w:rPr>
          <w:rFonts w:asciiTheme="majorBidi" w:hAnsiTheme="majorBidi" w:cstheme="majorBidi"/>
          <w:spacing w:val="-12"/>
          <w:w w:val="95"/>
        </w:rPr>
        <w:t xml:space="preserve"> </w:t>
      </w:r>
      <w:r w:rsidRPr="00BB11D1">
        <w:rPr>
          <w:rFonts w:asciiTheme="majorBidi" w:hAnsiTheme="majorBidi" w:cstheme="majorBidi"/>
          <w:w w:val="95"/>
        </w:rPr>
        <w:t>for</w:t>
      </w:r>
      <w:r w:rsidRPr="00BB11D1">
        <w:rPr>
          <w:rFonts w:asciiTheme="majorBidi" w:hAnsiTheme="majorBidi" w:cstheme="majorBidi"/>
          <w:spacing w:val="-14"/>
          <w:w w:val="95"/>
        </w:rPr>
        <w:t xml:space="preserve"> </w:t>
      </w:r>
      <w:r w:rsidRPr="00BB11D1">
        <w:rPr>
          <w:rFonts w:asciiTheme="majorBidi" w:hAnsiTheme="majorBidi" w:cstheme="majorBidi"/>
          <w:w w:val="95"/>
        </w:rPr>
        <w:t>supplying</w:t>
      </w:r>
      <w:r w:rsidRPr="00BB11D1">
        <w:rPr>
          <w:rFonts w:asciiTheme="majorBidi" w:hAnsiTheme="majorBidi" w:cstheme="majorBidi"/>
          <w:spacing w:val="-12"/>
          <w:w w:val="95"/>
        </w:rPr>
        <w:t xml:space="preserve"> </w:t>
      </w:r>
      <w:r w:rsidRPr="00BB11D1">
        <w:rPr>
          <w:rFonts w:asciiTheme="majorBidi" w:hAnsiTheme="majorBidi" w:cstheme="majorBidi"/>
          <w:w w:val="95"/>
        </w:rPr>
        <w:t>the</w:t>
      </w:r>
      <w:r w:rsidRPr="00BB11D1">
        <w:rPr>
          <w:rFonts w:asciiTheme="majorBidi" w:hAnsiTheme="majorBidi" w:cstheme="majorBidi"/>
          <w:spacing w:val="-12"/>
          <w:w w:val="95"/>
        </w:rPr>
        <w:t xml:space="preserve"> </w:t>
      </w:r>
      <w:r w:rsidRPr="00BB11D1">
        <w:rPr>
          <w:rFonts w:asciiTheme="majorBidi" w:hAnsiTheme="majorBidi" w:cstheme="majorBidi"/>
          <w:w w:val="95"/>
        </w:rPr>
        <w:t>nations</w:t>
      </w:r>
      <w:r w:rsidRPr="00BB11D1">
        <w:rPr>
          <w:rFonts w:asciiTheme="majorBidi" w:hAnsiTheme="majorBidi" w:cstheme="majorBidi"/>
          <w:spacing w:val="-12"/>
          <w:w w:val="95"/>
        </w:rPr>
        <w:t xml:space="preserve"> </w:t>
      </w:r>
      <w:r w:rsidRPr="00BB11D1">
        <w:rPr>
          <w:rFonts w:asciiTheme="majorBidi" w:hAnsiTheme="majorBidi" w:cstheme="majorBidi"/>
          <w:w w:val="95"/>
        </w:rPr>
        <w:t>with</w:t>
      </w:r>
      <w:r w:rsidRPr="00BB11D1">
        <w:rPr>
          <w:rFonts w:asciiTheme="majorBidi" w:hAnsiTheme="majorBidi" w:cstheme="majorBidi"/>
          <w:spacing w:val="-14"/>
          <w:w w:val="95"/>
        </w:rPr>
        <w:t xml:space="preserve"> </w:t>
      </w:r>
      <w:r w:rsidRPr="00BB11D1">
        <w:rPr>
          <w:rFonts w:asciiTheme="majorBidi" w:hAnsiTheme="majorBidi" w:cstheme="majorBidi"/>
          <w:w w:val="95"/>
        </w:rPr>
        <w:t>the</w:t>
      </w:r>
      <w:r w:rsidRPr="00BB11D1">
        <w:rPr>
          <w:rFonts w:asciiTheme="majorBidi" w:hAnsiTheme="majorBidi" w:cstheme="majorBidi"/>
          <w:spacing w:val="-13"/>
          <w:w w:val="95"/>
        </w:rPr>
        <w:t xml:space="preserve"> </w:t>
      </w:r>
      <w:r w:rsidRPr="00BB11D1">
        <w:rPr>
          <w:rFonts w:asciiTheme="majorBidi" w:hAnsiTheme="majorBidi" w:cstheme="majorBidi"/>
          <w:w w:val="95"/>
        </w:rPr>
        <w:t>necessary</w:t>
      </w:r>
      <w:r w:rsidRPr="00BB11D1">
        <w:rPr>
          <w:rFonts w:asciiTheme="majorBidi" w:hAnsiTheme="majorBidi" w:cstheme="majorBidi"/>
          <w:spacing w:val="-13"/>
          <w:w w:val="95"/>
        </w:rPr>
        <w:t xml:space="preserve"> </w:t>
      </w:r>
      <w:r w:rsidRPr="00BB11D1">
        <w:rPr>
          <w:rFonts w:asciiTheme="majorBidi" w:hAnsiTheme="majorBidi" w:cstheme="majorBidi"/>
          <w:w w:val="95"/>
        </w:rPr>
        <w:t>means</w:t>
      </w:r>
      <w:r w:rsidRPr="00BB11D1">
        <w:rPr>
          <w:rFonts w:asciiTheme="majorBidi" w:hAnsiTheme="majorBidi" w:cstheme="majorBidi"/>
          <w:spacing w:val="-12"/>
          <w:w w:val="95"/>
        </w:rPr>
        <w:t xml:space="preserve"> </w:t>
      </w:r>
      <w:r w:rsidRPr="00BB11D1">
        <w:rPr>
          <w:rFonts w:asciiTheme="majorBidi" w:hAnsiTheme="majorBidi" w:cstheme="majorBidi"/>
          <w:w w:val="95"/>
        </w:rPr>
        <w:t>in</w:t>
      </w:r>
      <w:r w:rsidRPr="00BB11D1">
        <w:rPr>
          <w:rFonts w:asciiTheme="majorBidi" w:hAnsiTheme="majorBidi" w:cstheme="majorBidi"/>
          <w:spacing w:val="-12"/>
          <w:w w:val="95"/>
        </w:rPr>
        <w:t xml:space="preserve"> </w:t>
      </w:r>
      <w:r w:rsidRPr="00BB11D1">
        <w:rPr>
          <w:rFonts w:asciiTheme="majorBidi" w:hAnsiTheme="majorBidi" w:cstheme="majorBidi"/>
          <w:w w:val="95"/>
        </w:rPr>
        <w:t>a</w:t>
      </w:r>
      <w:r w:rsidRPr="00BB11D1">
        <w:rPr>
          <w:rFonts w:asciiTheme="majorBidi" w:hAnsiTheme="majorBidi" w:cstheme="majorBidi"/>
          <w:spacing w:val="-14"/>
          <w:w w:val="95"/>
        </w:rPr>
        <w:t xml:space="preserve"> </w:t>
      </w:r>
      <w:r w:rsidRPr="00BB11D1">
        <w:rPr>
          <w:rFonts w:asciiTheme="majorBidi" w:hAnsiTheme="majorBidi" w:cstheme="majorBidi"/>
          <w:w w:val="95"/>
        </w:rPr>
        <w:t>modern</w:t>
      </w:r>
      <w:r w:rsidRPr="00BB11D1">
        <w:rPr>
          <w:rFonts w:asciiTheme="majorBidi" w:hAnsiTheme="majorBidi" w:cstheme="majorBidi"/>
          <w:spacing w:val="-14"/>
          <w:w w:val="95"/>
        </w:rPr>
        <w:t xml:space="preserve"> </w:t>
      </w:r>
      <w:r w:rsidRPr="00BB11D1">
        <w:rPr>
          <w:rFonts w:asciiTheme="majorBidi" w:hAnsiTheme="majorBidi" w:cstheme="majorBidi"/>
          <w:w w:val="95"/>
        </w:rPr>
        <w:t xml:space="preserve">monetary </w:t>
      </w:r>
      <w:r w:rsidRPr="00BB11D1">
        <w:rPr>
          <w:rFonts w:asciiTheme="majorBidi" w:hAnsiTheme="majorBidi" w:cstheme="majorBidi"/>
        </w:rPr>
        <w:t>system,”</w:t>
      </w:r>
      <w:r w:rsidRPr="00BB11D1">
        <w:rPr>
          <w:rFonts w:asciiTheme="majorBidi" w:hAnsiTheme="majorBidi" w:cstheme="majorBidi"/>
          <w:spacing w:val="-21"/>
        </w:rPr>
        <w:t xml:space="preserve"> </w:t>
      </w:r>
      <w:r w:rsidRPr="00BB11D1">
        <w:rPr>
          <w:rFonts w:asciiTheme="majorBidi" w:hAnsiTheme="majorBidi" w:cstheme="majorBidi"/>
        </w:rPr>
        <w:t>Der</w:t>
      </w:r>
      <w:r w:rsidRPr="00BB11D1">
        <w:rPr>
          <w:rFonts w:asciiTheme="majorBidi" w:hAnsiTheme="majorBidi" w:cstheme="majorBidi"/>
          <w:spacing w:val="-22"/>
        </w:rPr>
        <w:t xml:space="preserve"> </w:t>
      </w:r>
      <w:r w:rsidRPr="00BB11D1">
        <w:rPr>
          <w:rFonts w:asciiTheme="majorBidi" w:hAnsiTheme="majorBidi" w:cstheme="majorBidi"/>
        </w:rPr>
        <w:t>Hallesche</w:t>
      </w:r>
      <w:r w:rsidRPr="00BB11D1">
        <w:rPr>
          <w:rFonts w:asciiTheme="majorBidi" w:hAnsiTheme="majorBidi" w:cstheme="majorBidi"/>
          <w:spacing w:val="-22"/>
        </w:rPr>
        <w:t xml:space="preserve"> </w:t>
      </w:r>
      <w:r w:rsidRPr="00BB11D1">
        <w:rPr>
          <w:rFonts w:asciiTheme="majorBidi" w:hAnsiTheme="majorBidi" w:cstheme="majorBidi"/>
        </w:rPr>
        <w:t>Graureiher</w:t>
      </w:r>
      <w:r w:rsidRPr="00BB11D1">
        <w:rPr>
          <w:rFonts w:asciiTheme="majorBidi" w:hAnsiTheme="majorBidi" w:cstheme="majorBidi"/>
          <w:spacing w:val="-20"/>
        </w:rPr>
        <w:t xml:space="preserve"> </w:t>
      </w:r>
      <w:r w:rsidRPr="00BB11D1">
        <w:rPr>
          <w:rFonts w:asciiTheme="majorBidi" w:hAnsiTheme="majorBidi" w:cstheme="majorBidi"/>
        </w:rPr>
        <w:t>99</w:t>
      </w:r>
      <w:r w:rsidRPr="00BB11D1">
        <w:rPr>
          <w:rFonts w:asciiTheme="majorBidi" w:hAnsiTheme="majorBidi" w:cstheme="majorBidi"/>
          <w:spacing w:val="-19"/>
        </w:rPr>
        <w:t xml:space="preserve"> </w:t>
      </w:r>
      <w:r w:rsidRPr="00BB11D1">
        <w:rPr>
          <w:rFonts w:asciiTheme="majorBidi" w:hAnsiTheme="majorBidi" w:cstheme="majorBidi"/>
        </w:rPr>
        <w:t>–</w:t>
      </w:r>
      <w:r w:rsidRPr="00BB11D1">
        <w:rPr>
          <w:rFonts w:asciiTheme="majorBidi" w:hAnsiTheme="majorBidi" w:cstheme="majorBidi"/>
          <w:spacing w:val="-21"/>
        </w:rPr>
        <w:t xml:space="preserve"> </w:t>
      </w:r>
      <w:r w:rsidRPr="00BB11D1">
        <w:rPr>
          <w:rFonts w:asciiTheme="majorBidi" w:hAnsiTheme="majorBidi" w:cstheme="majorBidi"/>
        </w:rPr>
        <w:t>3,</w:t>
      </w:r>
      <w:r w:rsidRPr="00BB11D1">
        <w:rPr>
          <w:rFonts w:asciiTheme="majorBidi" w:hAnsiTheme="majorBidi" w:cstheme="majorBidi"/>
          <w:spacing w:val="-22"/>
        </w:rPr>
        <w:t xml:space="preserve"> </w:t>
      </w:r>
      <w:r w:rsidRPr="00BB11D1">
        <w:rPr>
          <w:rFonts w:asciiTheme="majorBidi" w:hAnsiTheme="majorBidi" w:cstheme="majorBidi"/>
        </w:rPr>
        <w:t>Revised</w:t>
      </w:r>
      <w:r w:rsidRPr="00BB11D1">
        <w:rPr>
          <w:rFonts w:asciiTheme="majorBidi" w:hAnsiTheme="majorBidi" w:cstheme="majorBidi"/>
          <w:spacing w:val="-22"/>
        </w:rPr>
        <w:t xml:space="preserve"> </w:t>
      </w:r>
      <w:r w:rsidRPr="00BB11D1">
        <w:rPr>
          <w:rFonts w:asciiTheme="majorBidi" w:hAnsiTheme="majorBidi" w:cstheme="majorBidi"/>
        </w:rPr>
        <w:t>version</w:t>
      </w:r>
      <w:r w:rsidRPr="00BB11D1">
        <w:rPr>
          <w:rFonts w:asciiTheme="majorBidi" w:hAnsiTheme="majorBidi" w:cstheme="majorBidi"/>
          <w:spacing w:val="-21"/>
        </w:rPr>
        <w:t xml:space="preserve"> </w:t>
      </w:r>
      <w:r w:rsidRPr="00BB11D1">
        <w:rPr>
          <w:rFonts w:asciiTheme="majorBidi" w:hAnsiTheme="majorBidi" w:cstheme="majorBidi"/>
        </w:rPr>
        <w:t>October</w:t>
      </w:r>
      <w:r w:rsidRPr="00BB11D1">
        <w:rPr>
          <w:rFonts w:asciiTheme="majorBidi" w:hAnsiTheme="majorBidi" w:cstheme="majorBidi"/>
          <w:spacing w:val="-20"/>
        </w:rPr>
        <w:t xml:space="preserve"> </w:t>
      </w:r>
      <w:r w:rsidRPr="00BB11D1">
        <w:rPr>
          <w:rFonts w:asciiTheme="majorBidi" w:hAnsiTheme="majorBidi" w:cstheme="majorBidi"/>
        </w:rPr>
        <w:lastRenderedPageBreak/>
        <w:t>1999.</w:t>
      </w:r>
    </w:p>
    <w:p w:rsidR="00BB11D1" w:rsidRPr="00BB11D1" w:rsidRDefault="00BB11D1" w:rsidP="00BB11D1">
      <w:pPr>
        <w:pStyle w:val="BodyText"/>
        <w:numPr>
          <w:ilvl w:val="0"/>
          <w:numId w:val="17"/>
        </w:numPr>
        <w:spacing w:before="62" w:line="254" w:lineRule="auto"/>
        <w:ind w:right="766"/>
        <w:jc w:val="both"/>
        <w:rPr>
          <w:rFonts w:asciiTheme="majorBidi" w:hAnsiTheme="majorBidi" w:cstheme="majorBidi"/>
        </w:rPr>
      </w:pPr>
      <w:r w:rsidRPr="00BB11D1">
        <w:rPr>
          <w:rFonts w:asciiTheme="majorBidi" w:hAnsiTheme="majorBidi" w:cstheme="majorBidi"/>
        </w:rPr>
        <w:t>Niepelt,</w:t>
      </w:r>
      <w:r w:rsidRPr="00BB11D1">
        <w:rPr>
          <w:rFonts w:asciiTheme="majorBidi" w:hAnsiTheme="majorBidi" w:cstheme="majorBidi"/>
          <w:spacing w:val="-32"/>
        </w:rPr>
        <w:t xml:space="preserve"> </w:t>
      </w:r>
      <w:r w:rsidRPr="00BB11D1">
        <w:rPr>
          <w:rFonts w:asciiTheme="majorBidi" w:hAnsiTheme="majorBidi" w:cstheme="majorBidi"/>
        </w:rPr>
        <w:t>D.</w:t>
      </w:r>
      <w:r w:rsidRPr="00BB11D1">
        <w:rPr>
          <w:rFonts w:asciiTheme="majorBidi" w:hAnsiTheme="majorBidi" w:cstheme="majorBidi"/>
          <w:spacing w:val="-32"/>
        </w:rPr>
        <w:t xml:space="preserve"> </w:t>
      </w:r>
      <w:r w:rsidRPr="00BB11D1">
        <w:rPr>
          <w:rFonts w:asciiTheme="majorBidi" w:hAnsiTheme="majorBidi" w:cstheme="majorBidi"/>
        </w:rPr>
        <w:t>(2018),</w:t>
      </w:r>
      <w:r w:rsidRPr="00BB11D1">
        <w:rPr>
          <w:rFonts w:asciiTheme="majorBidi" w:hAnsiTheme="majorBidi" w:cstheme="majorBidi"/>
          <w:spacing w:val="-33"/>
        </w:rPr>
        <w:t xml:space="preserve"> </w:t>
      </w:r>
      <w:r w:rsidRPr="00BB11D1">
        <w:rPr>
          <w:rFonts w:asciiTheme="majorBidi" w:hAnsiTheme="majorBidi" w:cstheme="majorBidi"/>
        </w:rPr>
        <w:t>“Central</w:t>
      </w:r>
      <w:r w:rsidRPr="00BB11D1">
        <w:rPr>
          <w:rFonts w:asciiTheme="majorBidi" w:hAnsiTheme="majorBidi" w:cstheme="majorBidi"/>
          <w:spacing w:val="-31"/>
        </w:rPr>
        <w:t xml:space="preserve"> </w:t>
      </w:r>
      <w:r w:rsidRPr="00BB11D1">
        <w:rPr>
          <w:rFonts w:asciiTheme="majorBidi" w:hAnsiTheme="majorBidi" w:cstheme="majorBidi"/>
        </w:rPr>
        <w:t>bank</w:t>
      </w:r>
      <w:r w:rsidRPr="00BB11D1">
        <w:rPr>
          <w:rFonts w:asciiTheme="majorBidi" w:hAnsiTheme="majorBidi" w:cstheme="majorBidi"/>
          <w:spacing w:val="-31"/>
        </w:rPr>
        <w:t xml:space="preserve"> </w:t>
      </w:r>
      <w:r w:rsidRPr="00BB11D1">
        <w:rPr>
          <w:rFonts w:asciiTheme="majorBidi" w:hAnsiTheme="majorBidi" w:cstheme="majorBidi"/>
        </w:rPr>
        <w:t>digital</w:t>
      </w:r>
      <w:r w:rsidRPr="00BB11D1">
        <w:rPr>
          <w:rFonts w:asciiTheme="majorBidi" w:hAnsiTheme="majorBidi" w:cstheme="majorBidi"/>
          <w:spacing w:val="-31"/>
        </w:rPr>
        <w:t xml:space="preserve"> </w:t>
      </w:r>
      <w:r w:rsidRPr="00BB11D1">
        <w:rPr>
          <w:rFonts w:asciiTheme="majorBidi" w:hAnsiTheme="majorBidi" w:cstheme="majorBidi"/>
        </w:rPr>
        <w:t>currencies</w:t>
      </w:r>
      <w:r w:rsidRPr="00BB11D1">
        <w:rPr>
          <w:rFonts w:asciiTheme="majorBidi" w:hAnsiTheme="majorBidi" w:cstheme="majorBidi"/>
          <w:spacing w:val="-32"/>
        </w:rPr>
        <w:t xml:space="preserve"> </w:t>
      </w:r>
      <w:r w:rsidRPr="00BB11D1">
        <w:rPr>
          <w:rFonts w:asciiTheme="majorBidi" w:hAnsiTheme="majorBidi" w:cstheme="majorBidi"/>
        </w:rPr>
        <w:t>–</w:t>
      </w:r>
      <w:r w:rsidRPr="00BB11D1">
        <w:rPr>
          <w:rFonts w:asciiTheme="majorBidi" w:hAnsiTheme="majorBidi" w:cstheme="majorBidi"/>
          <w:spacing w:val="-32"/>
        </w:rPr>
        <w:t xml:space="preserve"> </w:t>
      </w:r>
      <w:r w:rsidRPr="00BB11D1">
        <w:rPr>
          <w:rFonts w:asciiTheme="majorBidi" w:hAnsiTheme="majorBidi" w:cstheme="majorBidi"/>
        </w:rPr>
        <w:t>what</w:t>
      </w:r>
      <w:r w:rsidRPr="00BB11D1">
        <w:rPr>
          <w:rFonts w:asciiTheme="majorBidi" w:hAnsiTheme="majorBidi" w:cstheme="majorBidi"/>
          <w:spacing w:val="-31"/>
        </w:rPr>
        <w:t xml:space="preserve"> </w:t>
      </w:r>
      <w:r w:rsidRPr="00BB11D1">
        <w:rPr>
          <w:rFonts w:asciiTheme="majorBidi" w:hAnsiTheme="majorBidi" w:cstheme="majorBidi"/>
        </w:rPr>
        <w:t>difference</w:t>
      </w:r>
      <w:r w:rsidRPr="00BB11D1">
        <w:rPr>
          <w:rFonts w:asciiTheme="majorBidi" w:hAnsiTheme="majorBidi" w:cstheme="majorBidi"/>
          <w:spacing w:val="-31"/>
        </w:rPr>
        <w:t xml:space="preserve"> </w:t>
      </w:r>
      <w:r w:rsidRPr="00BB11D1">
        <w:rPr>
          <w:rFonts w:asciiTheme="majorBidi" w:hAnsiTheme="majorBidi" w:cstheme="majorBidi"/>
        </w:rPr>
        <w:t>does</w:t>
      </w:r>
      <w:r w:rsidRPr="00BB11D1">
        <w:rPr>
          <w:rFonts w:asciiTheme="majorBidi" w:hAnsiTheme="majorBidi" w:cstheme="majorBidi"/>
          <w:spacing w:val="-31"/>
        </w:rPr>
        <w:t xml:space="preserve"> </w:t>
      </w:r>
      <w:r w:rsidRPr="00BB11D1">
        <w:rPr>
          <w:rFonts w:asciiTheme="majorBidi" w:hAnsiTheme="majorBidi" w:cstheme="majorBidi"/>
        </w:rPr>
        <w:t>it</w:t>
      </w:r>
      <w:r w:rsidRPr="00BB11D1">
        <w:rPr>
          <w:rFonts w:asciiTheme="majorBidi" w:hAnsiTheme="majorBidi" w:cstheme="majorBidi"/>
          <w:spacing w:val="-32"/>
        </w:rPr>
        <w:t xml:space="preserve"> </w:t>
      </w:r>
      <w:r w:rsidRPr="00BB11D1">
        <w:rPr>
          <w:rFonts w:asciiTheme="majorBidi" w:hAnsiTheme="majorBidi" w:cstheme="majorBidi"/>
        </w:rPr>
        <w:t>make?”</w:t>
      </w:r>
      <w:r w:rsidRPr="00BB11D1">
        <w:rPr>
          <w:rFonts w:asciiTheme="majorBidi" w:hAnsiTheme="majorBidi" w:cstheme="majorBidi"/>
          <w:spacing w:val="-31"/>
        </w:rPr>
        <w:t xml:space="preserve"> </w:t>
      </w:r>
      <w:r w:rsidRPr="00BB11D1">
        <w:rPr>
          <w:rFonts w:asciiTheme="majorBidi" w:hAnsiTheme="majorBidi" w:cstheme="majorBidi"/>
        </w:rPr>
        <w:t>in</w:t>
      </w:r>
      <w:r w:rsidRPr="00BB11D1">
        <w:rPr>
          <w:rFonts w:asciiTheme="majorBidi" w:hAnsiTheme="majorBidi" w:cstheme="majorBidi"/>
          <w:spacing w:val="-32"/>
        </w:rPr>
        <w:t xml:space="preserve"> </w:t>
      </w:r>
      <w:r w:rsidRPr="00BB11D1">
        <w:rPr>
          <w:rFonts w:asciiTheme="majorBidi" w:hAnsiTheme="majorBidi" w:cstheme="majorBidi"/>
        </w:rPr>
        <w:t>E.</w:t>
      </w:r>
      <w:r w:rsidRPr="00BB11D1">
        <w:rPr>
          <w:rFonts w:asciiTheme="majorBidi" w:hAnsiTheme="majorBidi" w:cstheme="majorBidi"/>
          <w:spacing w:val="-31"/>
        </w:rPr>
        <w:t xml:space="preserve"> </w:t>
      </w:r>
      <w:r w:rsidRPr="00BB11D1">
        <w:rPr>
          <w:rFonts w:asciiTheme="majorBidi" w:hAnsiTheme="majorBidi" w:cstheme="majorBidi"/>
        </w:rPr>
        <w:t>Gnan</w:t>
      </w:r>
      <w:r w:rsidRPr="00BB11D1">
        <w:rPr>
          <w:rFonts w:asciiTheme="majorBidi" w:hAnsiTheme="majorBidi" w:cstheme="majorBidi"/>
          <w:spacing w:val="-32"/>
        </w:rPr>
        <w:t xml:space="preserve"> </w:t>
      </w:r>
      <w:r w:rsidRPr="00BB11D1">
        <w:rPr>
          <w:rFonts w:asciiTheme="majorBidi" w:hAnsiTheme="majorBidi" w:cstheme="majorBidi"/>
        </w:rPr>
        <w:t>and</w:t>
      </w:r>
      <w:r w:rsidRPr="00BB11D1">
        <w:rPr>
          <w:rFonts w:asciiTheme="majorBidi" w:hAnsiTheme="majorBidi" w:cstheme="majorBidi"/>
          <w:spacing w:val="-32"/>
        </w:rPr>
        <w:t xml:space="preserve"> </w:t>
      </w:r>
      <w:r w:rsidRPr="00BB11D1">
        <w:rPr>
          <w:rFonts w:asciiTheme="majorBidi" w:hAnsiTheme="majorBidi" w:cstheme="majorBidi"/>
        </w:rPr>
        <w:t xml:space="preserve">D. </w:t>
      </w:r>
      <w:r w:rsidRPr="00BB11D1">
        <w:rPr>
          <w:rFonts w:asciiTheme="majorBidi" w:hAnsiTheme="majorBidi" w:cstheme="majorBidi"/>
          <w:w w:val="90"/>
        </w:rPr>
        <w:t>Masciandaro</w:t>
      </w:r>
      <w:r w:rsidRPr="00BB11D1">
        <w:rPr>
          <w:rFonts w:asciiTheme="majorBidi" w:hAnsiTheme="majorBidi" w:cstheme="majorBidi"/>
          <w:spacing w:val="-5"/>
          <w:w w:val="90"/>
        </w:rPr>
        <w:t xml:space="preserve"> </w:t>
      </w:r>
      <w:r w:rsidRPr="00BB11D1">
        <w:rPr>
          <w:rFonts w:asciiTheme="majorBidi" w:hAnsiTheme="majorBidi" w:cstheme="majorBidi"/>
          <w:w w:val="90"/>
        </w:rPr>
        <w:t>(eds.),</w:t>
      </w:r>
      <w:r w:rsidRPr="00BB11D1">
        <w:rPr>
          <w:rFonts w:asciiTheme="majorBidi" w:hAnsiTheme="majorBidi" w:cstheme="majorBidi"/>
          <w:spacing w:val="-6"/>
          <w:w w:val="90"/>
        </w:rPr>
        <w:t xml:space="preserve"> </w:t>
      </w:r>
      <w:r w:rsidRPr="00BB11D1">
        <w:rPr>
          <w:rFonts w:asciiTheme="majorBidi" w:hAnsiTheme="majorBidi" w:cstheme="majorBidi"/>
          <w:i/>
          <w:w w:val="90"/>
        </w:rPr>
        <w:t>Do</w:t>
      </w:r>
      <w:r w:rsidRPr="00BB11D1">
        <w:rPr>
          <w:rFonts w:asciiTheme="majorBidi" w:hAnsiTheme="majorBidi" w:cstheme="majorBidi"/>
          <w:i/>
          <w:spacing w:val="-6"/>
          <w:w w:val="90"/>
        </w:rPr>
        <w:t xml:space="preserve"> </w:t>
      </w:r>
      <w:r w:rsidRPr="00BB11D1">
        <w:rPr>
          <w:rFonts w:asciiTheme="majorBidi" w:hAnsiTheme="majorBidi" w:cstheme="majorBidi"/>
          <w:i/>
          <w:w w:val="90"/>
        </w:rPr>
        <w:t>We</w:t>
      </w:r>
      <w:r w:rsidRPr="00BB11D1">
        <w:rPr>
          <w:rFonts w:asciiTheme="majorBidi" w:hAnsiTheme="majorBidi" w:cstheme="majorBidi"/>
          <w:i/>
          <w:spacing w:val="-6"/>
          <w:w w:val="90"/>
        </w:rPr>
        <w:t xml:space="preserve"> </w:t>
      </w:r>
      <w:r w:rsidRPr="00BB11D1">
        <w:rPr>
          <w:rFonts w:asciiTheme="majorBidi" w:hAnsiTheme="majorBidi" w:cstheme="majorBidi"/>
          <w:i/>
          <w:w w:val="90"/>
        </w:rPr>
        <w:t>Need</w:t>
      </w:r>
      <w:r w:rsidRPr="00BB11D1">
        <w:rPr>
          <w:rFonts w:asciiTheme="majorBidi" w:hAnsiTheme="majorBidi" w:cstheme="majorBidi"/>
          <w:i/>
          <w:spacing w:val="-6"/>
          <w:w w:val="90"/>
        </w:rPr>
        <w:t xml:space="preserve"> </w:t>
      </w:r>
      <w:r w:rsidRPr="00BB11D1">
        <w:rPr>
          <w:rFonts w:asciiTheme="majorBidi" w:hAnsiTheme="majorBidi" w:cstheme="majorBidi"/>
          <w:i/>
          <w:w w:val="90"/>
        </w:rPr>
        <w:t>Central</w:t>
      </w:r>
      <w:r w:rsidRPr="00BB11D1">
        <w:rPr>
          <w:rFonts w:asciiTheme="majorBidi" w:hAnsiTheme="majorBidi" w:cstheme="majorBidi"/>
          <w:i/>
          <w:spacing w:val="-4"/>
          <w:w w:val="90"/>
        </w:rPr>
        <w:t xml:space="preserve"> </w:t>
      </w:r>
      <w:r w:rsidRPr="00BB11D1">
        <w:rPr>
          <w:rFonts w:asciiTheme="majorBidi" w:hAnsiTheme="majorBidi" w:cstheme="majorBidi"/>
          <w:i/>
          <w:w w:val="90"/>
        </w:rPr>
        <w:t>Bank</w:t>
      </w:r>
      <w:r w:rsidRPr="00BB11D1">
        <w:rPr>
          <w:rFonts w:asciiTheme="majorBidi" w:hAnsiTheme="majorBidi" w:cstheme="majorBidi"/>
          <w:i/>
          <w:spacing w:val="-5"/>
          <w:w w:val="90"/>
        </w:rPr>
        <w:t xml:space="preserve"> </w:t>
      </w:r>
      <w:r w:rsidRPr="00BB11D1">
        <w:rPr>
          <w:rFonts w:asciiTheme="majorBidi" w:hAnsiTheme="majorBidi" w:cstheme="majorBidi"/>
          <w:i/>
          <w:w w:val="90"/>
        </w:rPr>
        <w:t>Digital</w:t>
      </w:r>
      <w:r w:rsidRPr="00BB11D1">
        <w:rPr>
          <w:rFonts w:asciiTheme="majorBidi" w:hAnsiTheme="majorBidi" w:cstheme="majorBidi"/>
          <w:i/>
          <w:spacing w:val="-7"/>
          <w:w w:val="90"/>
        </w:rPr>
        <w:t xml:space="preserve"> </w:t>
      </w:r>
      <w:r w:rsidRPr="00BB11D1">
        <w:rPr>
          <w:rFonts w:asciiTheme="majorBidi" w:hAnsiTheme="majorBidi" w:cstheme="majorBidi"/>
          <w:i/>
          <w:w w:val="90"/>
        </w:rPr>
        <w:t>Currency</w:t>
      </w:r>
      <w:proofErr w:type="gramStart"/>
      <w:r w:rsidRPr="00BB11D1">
        <w:rPr>
          <w:rFonts w:asciiTheme="majorBidi" w:hAnsiTheme="majorBidi" w:cstheme="majorBidi"/>
          <w:i/>
          <w:w w:val="90"/>
        </w:rPr>
        <w:t>?</w:t>
      </w:r>
      <w:r w:rsidRPr="00BB11D1">
        <w:rPr>
          <w:rFonts w:asciiTheme="majorBidi" w:hAnsiTheme="majorBidi" w:cstheme="majorBidi"/>
          <w:w w:val="90"/>
        </w:rPr>
        <w:t>,</w:t>
      </w:r>
      <w:proofErr w:type="gramEnd"/>
      <w:r w:rsidRPr="00BB11D1">
        <w:rPr>
          <w:rFonts w:asciiTheme="majorBidi" w:hAnsiTheme="majorBidi" w:cstheme="majorBidi"/>
          <w:spacing w:val="-4"/>
          <w:w w:val="90"/>
        </w:rPr>
        <w:t xml:space="preserve"> </w:t>
      </w:r>
      <w:r w:rsidRPr="00BB11D1">
        <w:rPr>
          <w:rFonts w:asciiTheme="majorBidi" w:hAnsiTheme="majorBidi" w:cstheme="majorBidi"/>
          <w:w w:val="90"/>
        </w:rPr>
        <w:t>SUERF</w:t>
      </w:r>
      <w:r w:rsidRPr="00BB11D1">
        <w:rPr>
          <w:rFonts w:asciiTheme="majorBidi" w:hAnsiTheme="majorBidi" w:cstheme="majorBidi"/>
          <w:spacing w:val="-6"/>
          <w:w w:val="90"/>
        </w:rPr>
        <w:t xml:space="preserve"> </w:t>
      </w:r>
      <w:r w:rsidRPr="00BB11D1">
        <w:rPr>
          <w:rFonts w:asciiTheme="majorBidi" w:hAnsiTheme="majorBidi" w:cstheme="majorBidi"/>
          <w:w w:val="90"/>
        </w:rPr>
        <w:t>Conference</w:t>
      </w:r>
      <w:r w:rsidRPr="00BB11D1">
        <w:rPr>
          <w:rFonts w:asciiTheme="majorBidi" w:hAnsiTheme="majorBidi" w:cstheme="majorBidi"/>
          <w:spacing w:val="-6"/>
          <w:w w:val="90"/>
        </w:rPr>
        <w:t xml:space="preserve"> </w:t>
      </w:r>
      <w:r w:rsidRPr="00BB11D1">
        <w:rPr>
          <w:rFonts w:asciiTheme="majorBidi" w:hAnsiTheme="majorBidi" w:cstheme="majorBidi"/>
          <w:w w:val="90"/>
        </w:rPr>
        <w:t>Proceedings</w:t>
      </w:r>
      <w:r w:rsidRPr="00BB11D1">
        <w:rPr>
          <w:rFonts w:asciiTheme="majorBidi" w:hAnsiTheme="majorBidi" w:cstheme="majorBidi"/>
          <w:spacing w:val="-5"/>
          <w:w w:val="90"/>
        </w:rPr>
        <w:t xml:space="preserve"> </w:t>
      </w:r>
      <w:r w:rsidRPr="00BB11D1">
        <w:rPr>
          <w:rFonts w:asciiTheme="majorBidi" w:hAnsiTheme="majorBidi" w:cstheme="majorBidi"/>
          <w:w w:val="90"/>
        </w:rPr>
        <w:t xml:space="preserve">2018/2, </w:t>
      </w:r>
      <w:r w:rsidRPr="00BB11D1">
        <w:rPr>
          <w:rFonts w:asciiTheme="majorBidi" w:hAnsiTheme="majorBidi" w:cstheme="majorBidi"/>
        </w:rPr>
        <w:t>99-12.</w:t>
      </w:r>
    </w:p>
    <w:p w:rsidR="00BB11D1" w:rsidRPr="00BB11D1" w:rsidRDefault="00BB11D1" w:rsidP="00BB11D1">
      <w:pPr>
        <w:pStyle w:val="BodyText"/>
        <w:numPr>
          <w:ilvl w:val="0"/>
          <w:numId w:val="17"/>
        </w:numPr>
        <w:spacing w:before="59" w:line="254" w:lineRule="auto"/>
        <w:rPr>
          <w:rFonts w:asciiTheme="majorBidi" w:hAnsiTheme="majorBidi" w:cstheme="majorBidi"/>
        </w:rPr>
      </w:pPr>
      <w:r w:rsidRPr="00BB11D1">
        <w:rPr>
          <w:rFonts w:asciiTheme="majorBidi" w:hAnsiTheme="majorBidi" w:cstheme="majorBidi"/>
          <w:w w:val="95"/>
        </w:rPr>
        <w:t>Jobst,</w:t>
      </w:r>
      <w:r w:rsidRPr="00BB11D1">
        <w:rPr>
          <w:rFonts w:asciiTheme="majorBidi" w:hAnsiTheme="majorBidi" w:cstheme="majorBidi"/>
          <w:spacing w:val="-24"/>
          <w:w w:val="95"/>
        </w:rPr>
        <w:t xml:space="preserve"> </w:t>
      </w:r>
      <w:r w:rsidRPr="00BB11D1">
        <w:rPr>
          <w:rFonts w:asciiTheme="majorBidi" w:hAnsiTheme="majorBidi" w:cstheme="majorBidi"/>
          <w:w w:val="95"/>
        </w:rPr>
        <w:t>C.</w:t>
      </w:r>
      <w:r w:rsidRPr="00BB11D1">
        <w:rPr>
          <w:rFonts w:asciiTheme="majorBidi" w:hAnsiTheme="majorBidi" w:cstheme="majorBidi"/>
          <w:spacing w:val="-25"/>
          <w:w w:val="95"/>
        </w:rPr>
        <w:t xml:space="preserve"> </w:t>
      </w:r>
      <w:r w:rsidRPr="00BB11D1">
        <w:rPr>
          <w:rFonts w:asciiTheme="majorBidi" w:hAnsiTheme="majorBidi" w:cstheme="majorBidi"/>
          <w:w w:val="95"/>
        </w:rPr>
        <w:t>and</w:t>
      </w:r>
      <w:r w:rsidRPr="00BB11D1">
        <w:rPr>
          <w:rFonts w:asciiTheme="majorBidi" w:hAnsiTheme="majorBidi" w:cstheme="majorBidi"/>
          <w:spacing w:val="-24"/>
          <w:w w:val="95"/>
        </w:rPr>
        <w:t xml:space="preserve"> </w:t>
      </w:r>
      <w:r w:rsidRPr="00BB11D1">
        <w:rPr>
          <w:rFonts w:asciiTheme="majorBidi" w:hAnsiTheme="majorBidi" w:cstheme="majorBidi"/>
          <w:w w:val="95"/>
        </w:rPr>
        <w:t>H.</w:t>
      </w:r>
      <w:r w:rsidRPr="00BB11D1">
        <w:rPr>
          <w:rFonts w:asciiTheme="majorBidi" w:hAnsiTheme="majorBidi" w:cstheme="majorBidi"/>
          <w:spacing w:val="-24"/>
          <w:w w:val="95"/>
        </w:rPr>
        <w:t xml:space="preserve"> </w:t>
      </w:r>
      <w:r w:rsidRPr="00BB11D1">
        <w:rPr>
          <w:rFonts w:asciiTheme="majorBidi" w:hAnsiTheme="majorBidi" w:cstheme="majorBidi"/>
          <w:w w:val="95"/>
        </w:rPr>
        <w:t>Stix</w:t>
      </w:r>
      <w:r w:rsidRPr="00BB11D1">
        <w:rPr>
          <w:rFonts w:asciiTheme="majorBidi" w:hAnsiTheme="majorBidi" w:cstheme="majorBidi"/>
          <w:spacing w:val="-24"/>
          <w:w w:val="95"/>
        </w:rPr>
        <w:t xml:space="preserve"> </w:t>
      </w:r>
      <w:r w:rsidRPr="00BB11D1">
        <w:rPr>
          <w:rFonts w:asciiTheme="majorBidi" w:hAnsiTheme="majorBidi" w:cstheme="majorBidi"/>
          <w:w w:val="95"/>
        </w:rPr>
        <w:t>(2017),</w:t>
      </w:r>
      <w:r w:rsidRPr="00BB11D1">
        <w:rPr>
          <w:rFonts w:asciiTheme="majorBidi" w:hAnsiTheme="majorBidi" w:cstheme="majorBidi"/>
          <w:spacing w:val="-24"/>
          <w:w w:val="95"/>
        </w:rPr>
        <w:t xml:space="preserve"> </w:t>
      </w:r>
      <w:r w:rsidRPr="00BB11D1">
        <w:rPr>
          <w:rFonts w:asciiTheme="majorBidi" w:hAnsiTheme="majorBidi" w:cstheme="majorBidi"/>
          <w:w w:val="95"/>
        </w:rPr>
        <w:t>“Doomed</w:t>
      </w:r>
      <w:r w:rsidRPr="00BB11D1">
        <w:rPr>
          <w:rFonts w:asciiTheme="majorBidi" w:hAnsiTheme="majorBidi" w:cstheme="majorBidi"/>
          <w:spacing w:val="-24"/>
          <w:w w:val="95"/>
        </w:rPr>
        <w:t xml:space="preserve"> </w:t>
      </w:r>
      <w:r w:rsidRPr="00BB11D1">
        <w:rPr>
          <w:rFonts w:asciiTheme="majorBidi" w:hAnsiTheme="majorBidi" w:cstheme="majorBidi"/>
          <w:w w:val="95"/>
        </w:rPr>
        <w:t>to</w:t>
      </w:r>
      <w:r w:rsidRPr="00BB11D1">
        <w:rPr>
          <w:rFonts w:asciiTheme="majorBidi" w:hAnsiTheme="majorBidi" w:cstheme="majorBidi"/>
          <w:spacing w:val="-23"/>
          <w:w w:val="95"/>
        </w:rPr>
        <w:t xml:space="preserve"> </w:t>
      </w:r>
      <w:r w:rsidRPr="00BB11D1">
        <w:rPr>
          <w:rFonts w:asciiTheme="majorBidi" w:hAnsiTheme="majorBidi" w:cstheme="majorBidi"/>
          <w:w w:val="95"/>
        </w:rPr>
        <w:t>disappear?</w:t>
      </w:r>
      <w:r w:rsidRPr="00BB11D1">
        <w:rPr>
          <w:rFonts w:asciiTheme="majorBidi" w:hAnsiTheme="majorBidi" w:cstheme="majorBidi"/>
          <w:spacing w:val="-25"/>
          <w:w w:val="95"/>
        </w:rPr>
        <w:t xml:space="preserve"> </w:t>
      </w:r>
      <w:r w:rsidRPr="00BB11D1">
        <w:rPr>
          <w:rFonts w:asciiTheme="majorBidi" w:hAnsiTheme="majorBidi" w:cstheme="majorBidi"/>
          <w:w w:val="95"/>
        </w:rPr>
        <w:t>The</w:t>
      </w:r>
      <w:r w:rsidRPr="00BB11D1">
        <w:rPr>
          <w:rFonts w:asciiTheme="majorBidi" w:hAnsiTheme="majorBidi" w:cstheme="majorBidi"/>
          <w:spacing w:val="-23"/>
          <w:w w:val="95"/>
        </w:rPr>
        <w:t xml:space="preserve"> </w:t>
      </w:r>
      <w:r w:rsidRPr="00BB11D1">
        <w:rPr>
          <w:rFonts w:asciiTheme="majorBidi" w:hAnsiTheme="majorBidi" w:cstheme="majorBidi"/>
          <w:w w:val="95"/>
        </w:rPr>
        <w:t>surprising</w:t>
      </w:r>
      <w:r w:rsidRPr="00BB11D1">
        <w:rPr>
          <w:rFonts w:asciiTheme="majorBidi" w:hAnsiTheme="majorBidi" w:cstheme="majorBidi"/>
          <w:spacing w:val="-24"/>
          <w:w w:val="95"/>
        </w:rPr>
        <w:t xml:space="preserve"> </w:t>
      </w:r>
      <w:r w:rsidRPr="00BB11D1">
        <w:rPr>
          <w:rFonts w:asciiTheme="majorBidi" w:hAnsiTheme="majorBidi" w:cstheme="majorBidi"/>
          <w:w w:val="95"/>
        </w:rPr>
        <w:t>return</w:t>
      </w:r>
      <w:r w:rsidRPr="00BB11D1">
        <w:rPr>
          <w:rFonts w:asciiTheme="majorBidi" w:hAnsiTheme="majorBidi" w:cstheme="majorBidi"/>
          <w:spacing w:val="-26"/>
          <w:w w:val="95"/>
        </w:rPr>
        <w:t xml:space="preserve"> </w:t>
      </w:r>
      <w:r w:rsidRPr="00BB11D1">
        <w:rPr>
          <w:rFonts w:asciiTheme="majorBidi" w:hAnsiTheme="majorBidi" w:cstheme="majorBidi"/>
          <w:w w:val="95"/>
        </w:rPr>
        <w:t>of</w:t>
      </w:r>
      <w:r w:rsidRPr="00BB11D1">
        <w:rPr>
          <w:rFonts w:asciiTheme="majorBidi" w:hAnsiTheme="majorBidi" w:cstheme="majorBidi"/>
          <w:spacing w:val="-24"/>
          <w:w w:val="95"/>
        </w:rPr>
        <w:t xml:space="preserve"> </w:t>
      </w:r>
      <w:r w:rsidRPr="00BB11D1">
        <w:rPr>
          <w:rFonts w:asciiTheme="majorBidi" w:hAnsiTheme="majorBidi" w:cstheme="majorBidi"/>
          <w:w w:val="95"/>
        </w:rPr>
        <w:t>cash</w:t>
      </w:r>
      <w:r w:rsidRPr="00BB11D1">
        <w:rPr>
          <w:rFonts w:asciiTheme="majorBidi" w:hAnsiTheme="majorBidi" w:cstheme="majorBidi"/>
          <w:spacing w:val="-24"/>
          <w:w w:val="95"/>
        </w:rPr>
        <w:t xml:space="preserve"> </w:t>
      </w:r>
      <w:r w:rsidRPr="00BB11D1">
        <w:rPr>
          <w:rFonts w:asciiTheme="majorBidi" w:hAnsiTheme="majorBidi" w:cstheme="majorBidi"/>
          <w:w w:val="95"/>
        </w:rPr>
        <w:t>across</w:t>
      </w:r>
      <w:r w:rsidRPr="00BB11D1">
        <w:rPr>
          <w:rFonts w:asciiTheme="majorBidi" w:hAnsiTheme="majorBidi" w:cstheme="majorBidi"/>
          <w:spacing w:val="-25"/>
          <w:w w:val="95"/>
        </w:rPr>
        <w:t xml:space="preserve"> </w:t>
      </w:r>
      <w:r w:rsidRPr="00BB11D1">
        <w:rPr>
          <w:rFonts w:asciiTheme="majorBidi" w:hAnsiTheme="majorBidi" w:cstheme="majorBidi"/>
          <w:w w:val="95"/>
        </w:rPr>
        <w:t>time</w:t>
      </w:r>
      <w:r w:rsidRPr="00BB11D1">
        <w:rPr>
          <w:rFonts w:asciiTheme="majorBidi" w:hAnsiTheme="majorBidi" w:cstheme="majorBidi"/>
          <w:spacing w:val="-23"/>
          <w:w w:val="95"/>
        </w:rPr>
        <w:t xml:space="preserve"> </w:t>
      </w:r>
      <w:r w:rsidRPr="00BB11D1">
        <w:rPr>
          <w:rFonts w:asciiTheme="majorBidi" w:hAnsiTheme="majorBidi" w:cstheme="majorBidi"/>
          <w:w w:val="95"/>
        </w:rPr>
        <w:t>and</w:t>
      </w:r>
      <w:r w:rsidRPr="00BB11D1">
        <w:rPr>
          <w:rFonts w:asciiTheme="majorBidi" w:hAnsiTheme="majorBidi" w:cstheme="majorBidi"/>
          <w:spacing w:val="-24"/>
          <w:w w:val="95"/>
        </w:rPr>
        <w:t xml:space="preserve"> </w:t>
      </w:r>
      <w:r w:rsidRPr="00BB11D1">
        <w:rPr>
          <w:rFonts w:asciiTheme="majorBidi" w:hAnsiTheme="majorBidi" w:cstheme="majorBidi"/>
          <w:w w:val="95"/>
        </w:rPr>
        <w:t xml:space="preserve">across </w:t>
      </w:r>
      <w:r w:rsidRPr="00BB11D1">
        <w:rPr>
          <w:rFonts w:asciiTheme="majorBidi" w:hAnsiTheme="majorBidi" w:cstheme="majorBidi"/>
        </w:rPr>
        <w:t>countries”,</w:t>
      </w:r>
      <w:r w:rsidRPr="00BB11D1">
        <w:rPr>
          <w:rFonts w:asciiTheme="majorBidi" w:hAnsiTheme="majorBidi" w:cstheme="majorBidi"/>
          <w:spacing w:val="-17"/>
        </w:rPr>
        <w:t xml:space="preserve"> </w:t>
      </w:r>
      <w:r w:rsidRPr="00BB11D1">
        <w:rPr>
          <w:rFonts w:asciiTheme="majorBidi" w:hAnsiTheme="majorBidi" w:cstheme="majorBidi"/>
        </w:rPr>
        <w:t>CEPR</w:t>
      </w:r>
      <w:r w:rsidRPr="00BB11D1">
        <w:rPr>
          <w:rFonts w:asciiTheme="majorBidi" w:hAnsiTheme="majorBidi" w:cstheme="majorBidi"/>
          <w:spacing w:val="-17"/>
        </w:rPr>
        <w:t xml:space="preserve"> </w:t>
      </w:r>
      <w:r w:rsidRPr="00BB11D1">
        <w:rPr>
          <w:rFonts w:asciiTheme="majorBidi" w:hAnsiTheme="majorBidi" w:cstheme="majorBidi"/>
        </w:rPr>
        <w:t>Paper</w:t>
      </w:r>
      <w:r w:rsidRPr="00BB11D1">
        <w:rPr>
          <w:rFonts w:asciiTheme="majorBidi" w:hAnsiTheme="majorBidi" w:cstheme="majorBidi"/>
          <w:spacing w:val="-17"/>
        </w:rPr>
        <w:t xml:space="preserve"> </w:t>
      </w:r>
      <w:r w:rsidRPr="00BB11D1">
        <w:rPr>
          <w:rFonts w:asciiTheme="majorBidi" w:hAnsiTheme="majorBidi" w:cstheme="majorBidi"/>
        </w:rPr>
        <w:t>DP12327.,</w:t>
      </w:r>
    </w:p>
    <w:p w:rsidR="00BB11D1" w:rsidRPr="00BB11D1" w:rsidRDefault="00BB11D1" w:rsidP="00BB11D1">
      <w:pPr>
        <w:pStyle w:val="BodyText"/>
        <w:numPr>
          <w:ilvl w:val="0"/>
          <w:numId w:val="17"/>
        </w:numPr>
        <w:spacing w:before="61" w:line="254" w:lineRule="auto"/>
        <w:ind w:right="681"/>
        <w:rPr>
          <w:rFonts w:asciiTheme="majorBidi" w:hAnsiTheme="majorBidi" w:cstheme="majorBidi"/>
        </w:rPr>
      </w:pPr>
      <w:r w:rsidRPr="00BB11D1">
        <w:rPr>
          <w:rFonts w:asciiTheme="majorBidi" w:hAnsiTheme="majorBidi" w:cstheme="majorBidi"/>
        </w:rPr>
        <w:t>Juks,</w:t>
      </w:r>
      <w:r w:rsidRPr="00BB11D1">
        <w:rPr>
          <w:rFonts w:asciiTheme="majorBidi" w:hAnsiTheme="majorBidi" w:cstheme="majorBidi"/>
          <w:spacing w:val="-24"/>
        </w:rPr>
        <w:t xml:space="preserve"> </w:t>
      </w:r>
      <w:r w:rsidRPr="00BB11D1">
        <w:rPr>
          <w:rFonts w:asciiTheme="majorBidi" w:hAnsiTheme="majorBidi" w:cstheme="majorBidi"/>
        </w:rPr>
        <w:t>R.</w:t>
      </w:r>
      <w:r w:rsidRPr="00BB11D1">
        <w:rPr>
          <w:rFonts w:asciiTheme="majorBidi" w:hAnsiTheme="majorBidi" w:cstheme="majorBidi"/>
          <w:spacing w:val="-24"/>
        </w:rPr>
        <w:t xml:space="preserve"> </w:t>
      </w:r>
      <w:r w:rsidRPr="00BB11D1">
        <w:rPr>
          <w:rFonts w:asciiTheme="majorBidi" w:hAnsiTheme="majorBidi" w:cstheme="majorBidi"/>
        </w:rPr>
        <w:t>(2018),</w:t>
      </w:r>
      <w:r w:rsidRPr="00BB11D1">
        <w:rPr>
          <w:rFonts w:asciiTheme="majorBidi" w:hAnsiTheme="majorBidi" w:cstheme="majorBidi"/>
          <w:spacing w:val="-25"/>
        </w:rPr>
        <w:t xml:space="preserve"> </w:t>
      </w:r>
      <w:r w:rsidRPr="00BB11D1">
        <w:rPr>
          <w:rFonts w:asciiTheme="majorBidi" w:hAnsiTheme="majorBidi" w:cstheme="majorBidi"/>
        </w:rPr>
        <w:t>“When</w:t>
      </w:r>
      <w:r w:rsidRPr="00BB11D1">
        <w:rPr>
          <w:rFonts w:asciiTheme="majorBidi" w:hAnsiTheme="majorBidi" w:cstheme="majorBidi"/>
          <w:spacing w:val="-25"/>
        </w:rPr>
        <w:t xml:space="preserve"> </w:t>
      </w:r>
      <w:r w:rsidRPr="00BB11D1">
        <w:rPr>
          <w:rFonts w:asciiTheme="majorBidi" w:hAnsiTheme="majorBidi" w:cstheme="majorBidi"/>
        </w:rPr>
        <w:t>a</w:t>
      </w:r>
      <w:r w:rsidRPr="00BB11D1">
        <w:rPr>
          <w:rFonts w:asciiTheme="majorBidi" w:hAnsiTheme="majorBidi" w:cstheme="majorBidi"/>
          <w:spacing w:val="-24"/>
        </w:rPr>
        <w:t xml:space="preserve"> </w:t>
      </w:r>
      <w:r w:rsidRPr="00BB11D1">
        <w:rPr>
          <w:rFonts w:asciiTheme="majorBidi" w:hAnsiTheme="majorBidi" w:cstheme="majorBidi"/>
        </w:rPr>
        <w:t>central</w:t>
      </w:r>
      <w:r w:rsidRPr="00BB11D1">
        <w:rPr>
          <w:rFonts w:asciiTheme="majorBidi" w:hAnsiTheme="majorBidi" w:cstheme="majorBidi"/>
          <w:spacing w:val="-24"/>
        </w:rPr>
        <w:t xml:space="preserve"> </w:t>
      </w:r>
      <w:r w:rsidRPr="00BB11D1">
        <w:rPr>
          <w:rFonts w:asciiTheme="majorBidi" w:hAnsiTheme="majorBidi" w:cstheme="majorBidi"/>
        </w:rPr>
        <w:t>bank</w:t>
      </w:r>
      <w:r w:rsidRPr="00BB11D1">
        <w:rPr>
          <w:rFonts w:asciiTheme="majorBidi" w:hAnsiTheme="majorBidi" w:cstheme="majorBidi"/>
          <w:spacing w:val="-23"/>
        </w:rPr>
        <w:t xml:space="preserve"> </w:t>
      </w:r>
      <w:r w:rsidRPr="00BB11D1">
        <w:rPr>
          <w:rFonts w:asciiTheme="majorBidi" w:hAnsiTheme="majorBidi" w:cstheme="majorBidi"/>
        </w:rPr>
        <w:t>digital</w:t>
      </w:r>
      <w:r w:rsidRPr="00BB11D1">
        <w:rPr>
          <w:rFonts w:asciiTheme="majorBidi" w:hAnsiTheme="majorBidi" w:cstheme="majorBidi"/>
          <w:spacing w:val="-25"/>
        </w:rPr>
        <w:t xml:space="preserve"> </w:t>
      </w:r>
      <w:r w:rsidRPr="00BB11D1">
        <w:rPr>
          <w:rFonts w:asciiTheme="majorBidi" w:hAnsiTheme="majorBidi" w:cstheme="majorBidi"/>
        </w:rPr>
        <w:t>currency</w:t>
      </w:r>
      <w:r w:rsidRPr="00BB11D1">
        <w:rPr>
          <w:rFonts w:asciiTheme="majorBidi" w:hAnsiTheme="majorBidi" w:cstheme="majorBidi"/>
          <w:spacing w:val="-24"/>
        </w:rPr>
        <w:t xml:space="preserve"> </w:t>
      </w:r>
      <w:r w:rsidRPr="00BB11D1">
        <w:rPr>
          <w:rFonts w:asciiTheme="majorBidi" w:hAnsiTheme="majorBidi" w:cstheme="majorBidi"/>
        </w:rPr>
        <w:t>meets</w:t>
      </w:r>
      <w:r w:rsidRPr="00BB11D1">
        <w:rPr>
          <w:rFonts w:asciiTheme="majorBidi" w:hAnsiTheme="majorBidi" w:cstheme="majorBidi"/>
          <w:spacing w:val="-24"/>
        </w:rPr>
        <w:t xml:space="preserve"> </w:t>
      </w:r>
      <w:r w:rsidRPr="00BB11D1">
        <w:rPr>
          <w:rFonts w:asciiTheme="majorBidi" w:hAnsiTheme="majorBidi" w:cstheme="majorBidi"/>
        </w:rPr>
        <w:t>private</w:t>
      </w:r>
      <w:r w:rsidRPr="00BB11D1">
        <w:rPr>
          <w:rFonts w:asciiTheme="majorBidi" w:hAnsiTheme="majorBidi" w:cstheme="majorBidi"/>
          <w:spacing w:val="-25"/>
        </w:rPr>
        <w:t xml:space="preserve"> </w:t>
      </w:r>
      <w:r w:rsidRPr="00BB11D1">
        <w:rPr>
          <w:rFonts w:asciiTheme="majorBidi" w:hAnsiTheme="majorBidi" w:cstheme="majorBidi"/>
        </w:rPr>
        <w:t>money:</w:t>
      </w:r>
      <w:r w:rsidRPr="00BB11D1">
        <w:rPr>
          <w:rFonts w:asciiTheme="majorBidi" w:hAnsiTheme="majorBidi" w:cstheme="majorBidi"/>
          <w:spacing w:val="-25"/>
        </w:rPr>
        <w:t xml:space="preserve"> </w:t>
      </w:r>
      <w:r w:rsidRPr="00BB11D1">
        <w:rPr>
          <w:rFonts w:asciiTheme="majorBidi" w:hAnsiTheme="majorBidi" w:cstheme="majorBidi"/>
        </w:rPr>
        <w:t>effects</w:t>
      </w:r>
      <w:r w:rsidRPr="00BB11D1">
        <w:rPr>
          <w:rFonts w:asciiTheme="majorBidi" w:hAnsiTheme="majorBidi" w:cstheme="majorBidi"/>
          <w:spacing w:val="-25"/>
        </w:rPr>
        <w:t xml:space="preserve"> </w:t>
      </w:r>
      <w:r w:rsidRPr="00BB11D1">
        <w:rPr>
          <w:rFonts w:asciiTheme="majorBidi" w:hAnsiTheme="majorBidi" w:cstheme="majorBidi"/>
        </w:rPr>
        <w:t>of</w:t>
      </w:r>
      <w:r w:rsidRPr="00BB11D1">
        <w:rPr>
          <w:rFonts w:asciiTheme="majorBidi" w:hAnsiTheme="majorBidi" w:cstheme="majorBidi"/>
          <w:spacing w:val="-25"/>
        </w:rPr>
        <w:t xml:space="preserve"> </w:t>
      </w:r>
      <w:r w:rsidRPr="00BB11D1">
        <w:rPr>
          <w:rFonts w:asciiTheme="majorBidi" w:hAnsiTheme="majorBidi" w:cstheme="majorBidi"/>
        </w:rPr>
        <w:t>an</w:t>
      </w:r>
      <w:r w:rsidRPr="00BB11D1">
        <w:rPr>
          <w:rFonts w:asciiTheme="majorBidi" w:hAnsiTheme="majorBidi" w:cstheme="majorBidi"/>
          <w:spacing w:val="-23"/>
        </w:rPr>
        <w:t xml:space="preserve"> </w:t>
      </w:r>
      <w:r w:rsidRPr="00BB11D1">
        <w:rPr>
          <w:rFonts w:asciiTheme="majorBidi" w:hAnsiTheme="majorBidi" w:cstheme="majorBidi"/>
        </w:rPr>
        <w:t>e-krona</w:t>
      </w:r>
      <w:r w:rsidRPr="00BB11D1">
        <w:rPr>
          <w:rFonts w:asciiTheme="majorBidi" w:hAnsiTheme="majorBidi" w:cstheme="majorBidi"/>
          <w:spacing w:val="-25"/>
        </w:rPr>
        <w:t xml:space="preserve"> </w:t>
      </w:r>
      <w:r w:rsidRPr="00BB11D1">
        <w:rPr>
          <w:rFonts w:asciiTheme="majorBidi" w:hAnsiTheme="majorBidi" w:cstheme="majorBidi"/>
        </w:rPr>
        <w:t>on banks”,</w:t>
      </w:r>
      <w:r w:rsidRPr="00BB11D1">
        <w:rPr>
          <w:rFonts w:asciiTheme="majorBidi" w:hAnsiTheme="majorBidi" w:cstheme="majorBidi"/>
          <w:spacing w:val="-18"/>
        </w:rPr>
        <w:t xml:space="preserve"> </w:t>
      </w:r>
      <w:r w:rsidRPr="00BB11D1">
        <w:rPr>
          <w:rFonts w:asciiTheme="majorBidi" w:hAnsiTheme="majorBidi" w:cstheme="majorBidi"/>
        </w:rPr>
        <w:t>Sveriges</w:t>
      </w:r>
      <w:r w:rsidRPr="00BB11D1">
        <w:rPr>
          <w:rFonts w:asciiTheme="majorBidi" w:hAnsiTheme="majorBidi" w:cstheme="majorBidi"/>
          <w:spacing w:val="-18"/>
        </w:rPr>
        <w:t xml:space="preserve"> </w:t>
      </w:r>
      <w:r w:rsidRPr="00BB11D1">
        <w:rPr>
          <w:rFonts w:asciiTheme="majorBidi" w:hAnsiTheme="majorBidi" w:cstheme="majorBidi"/>
        </w:rPr>
        <w:t>Riksbank</w:t>
      </w:r>
      <w:r w:rsidRPr="00BB11D1">
        <w:rPr>
          <w:rFonts w:asciiTheme="majorBidi" w:hAnsiTheme="majorBidi" w:cstheme="majorBidi"/>
          <w:spacing w:val="-18"/>
        </w:rPr>
        <w:t xml:space="preserve"> </w:t>
      </w:r>
      <w:r w:rsidRPr="00BB11D1">
        <w:rPr>
          <w:rFonts w:asciiTheme="majorBidi" w:hAnsiTheme="majorBidi" w:cstheme="majorBidi"/>
        </w:rPr>
        <w:t>Economic</w:t>
      </w:r>
      <w:r w:rsidRPr="00BB11D1">
        <w:rPr>
          <w:rFonts w:asciiTheme="majorBidi" w:hAnsiTheme="majorBidi" w:cstheme="majorBidi"/>
          <w:spacing w:val="-20"/>
        </w:rPr>
        <w:t xml:space="preserve"> </w:t>
      </w:r>
      <w:r w:rsidRPr="00BB11D1">
        <w:rPr>
          <w:rFonts w:asciiTheme="majorBidi" w:hAnsiTheme="majorBidi" w:cstheme="majorBidi"/>
        </w:rPr>
        <w:t>Review,</w:t>
      </w:r>
      <w:r w:rsidRPr="00BB11D1">
        <w:rPr>
          <w:rFonts w:asciiTheme="majorBidi" w:hAnsiTheme="majorBidi" w:cstheme="majorBidi"/>
          <w:spacing w:val="-21"/>
        </w:rPr>
        <w:t xml:space="preserve"> </w:t>
      </w:r>
      <w:r w:rsidRPr="00BB11D1">
        <w:rPr>
          <w:rFonts w:asciiTheme="majorBidi" w:hAnsiTheme="majorBidi" w:cstheme="majorBidi"/>
        </w:rPr>
        <w:t>2018:3,</w:t>
      </w:r>
      <w:r w:rsidRPr="00BB11D1">
        <w:rPr>
          <w:rFonts w:asciiTheme="majorBidi" w:hAnsiTheme="majorBidi" w:cstheme="majorBidi"/>
          <w:spacing w:val="-20"/>
        </w:rPr>
        <w:t xml:space="preserve"> </w:t>
      </w:r>
      <w:r w:rsidRPr="00BB11D1">
        <w:rPr>
          <w:rFonts w:asciiTheme="majorBidi" w:hAnsiTheme="majorBidi" w:cstheme="majorBidi"/>
        </w:rPr>
        <w:t>79-98.</w:t>
      </w:r>
    </w:p>
    <w:p w:rsidR="00BB11D1" w:rsidRPr="00BB11D1" w:rsidRDefault="00BB11D1" w:rsidP="00BB11D1">
      <w:pPr>
        <w:pStyle w:val="BodyText"/>
        <w:numPr>
          <w:ilvl w:val="0"/>
          <w:numId w:val="17"/>
        </w:numPr>
        <w:spacing w:before="62"/>
        <w:rPr>
          <w:rFonts w:asciiTheme="majorBidi" w:hAnsiTheme="majorBidi" w:cstheme="majorBidi"/>
        </w:rPr>
      </w:pPr>
      <w:r w:rsidRPr="00BB11D1">
        <w:rPr>
          <w:rFonts w:asciiTheme="majorBidi" w:hAnsiTheme="majorBidi" w:cstheme="majorBidi"/>
        </w:rPr>
        <w:t>Klein, B. and K. B. Leffler (1981), “The Role of Market Forces in Assuring Contractual Performance”,</w:t>
      </w:r>
    </w:p>
    <w:p w:rsidR="00BB11D1" w:rsidRPr="00BB11D1" w:rsidRDefault="00BB11D1" w:rsidP="00BB11D1">
      <w:pPr>
        <w:pStyle w:val="ListParagraph"/>
        <w:numPr>
          <w:ilvl w:val="0"/>
          <w:numId w:val="17"/>
        </w:numPr>
        <w:spacing w:before="15"/>
        <w:rPr>
          <w:rFonts w:asciiTheme="majorBidi" w:hAnsiTheme="majorBidi" w:cstheme="majorBidi"/>
        </w:rPr>
      </w:pPr>
      <w:r w:rsidRPr="00BB11D1">
        <w:rPr>
          <w:rFonts w:asciiTheme="majorBidi" w:hAnsiTheme="majorBidi" w:cstheme="majorBidi"/>
          <w:i/>
        </w:rPr>
        <w:t>Journal of Political Economy</w:t>
      </w:r>
      <w:r w:rsidRPr="00BB11D1">
        <w:rPr>
          <w:rFonts w:asciiTheme="majorBidi" w:hAnsiTheme="majorBidi" w:cstheme="majorBidi"/>
        </w:rPr>
        <w:t>, 89, 615-641.</w:t>
      </w:r>
    </w:p>
    <w:p w:rsidR="00BB11D1" w:rsidRPr="00BB11D1" w:rsidRDefault="00BB11D1" w:rsidP="00BB11D1">
      <w:pPr>
        <w:pStyle w:val="BodyText"/>
        <w:numPr>
          <w:ilvl w:val="0"/>
          <w:numId w:val="17"/>
        </w:numPr>
        <w:spacing w:before="76" w:line="254" w:lineRule="auto"/>
        <w:rPr>
          <w:rFonts w:asciiTheme="majorBidi" w:hAnsiTheme="majorBidi" w:cstheme="majorBidi"/>
        </w:rPr>
      </w:pPr>
      <w:r w:rsidRPr="00BB11D1">
        <w:rPr>
          <w:rFonts w:asciiTheme="majorBidi" w:hAnsiTheme="majorBidi" w:cstheme="majorBidi"/>
          <w:w w:val="95"/>
        </w:rPr>
        <w:t>Kumhof,</w:t>
      </w:r>
      <w:r w:rsidRPr="00BB11D1">
        <w:rPr>
          <w:rFonts w:asciiTheme="majorBidi" w:hAnsiTheme="majorBidi" w:cstheme="majorBidi"/>
          <w:spacing w:val="-18"/>
          <w:w w:val="95"/>
        </w:rPr>
        <w:t xml:space="preserve"> </w:t>
      </w:r>
      <w:r w:rsidRPr="00BB11D1">
        <w:rPr>
          <w:rFonts w:asciiTheme="majorBidi" w:hAnsiTheme="majorBidi" w:cstheme="majorBidi"/>
          <w:w w:val="95"/>
        </w:rPr>
        <w:t>M.</w:t>
      </w:r>
      <w:r w:rsidRPr="00BB11D1">
        <w:rPr>
          <w:rFonts w:asciiTheme="majorBidi" w:hAnsiTheme="majorBidi" w:cstheme="majorBidi"/>
          <w:spacing w:val="-17"/>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C.</w:t>
      </w:r>
      <w:r w:rsidRPr="00BB11D1">
        <w:rPr>
          <w:rFonts w:asciiTheme="majorBidi" w:hAnsiTheme="majorBidi" w:cstheme="majorBidi"/>
          <w:spacing w:val="-17"/>
          <w:w w:val="95"/>
        </w:rPr>
        <w:t xml:space="preserve"> </w:t>
      </w:r>
      <w:r w:rsidRPr="00BB11D1">
        <w:rPr>
          <w:rFonts w:asciiTheme="majorBidi" w:hAnsiTheme="majorBidi" w:cstheme="majorBidi"/>
          <w:w w:val="95"/>
        </w:rPr>
        <w:t>Noone,</w:t>
      </w:r>
      <w:r w:rsidRPr="00BB11D1">
        <w:rPr>
          <w:rFonts w:asciiTheme="majorBidi" w:hAnsiTheme="majorBidi" w:cstheme="majorBidi"/>
          <w:spacing w:val="-17"/>
          <w:w w:val="95"/>
        </w:rPr>
        <w:t xml:space="preserve"> </w:t>
      </w:r>
      <w:r w:rsidRPr="00BB11D1">
        <w:rPr>
          <w:rFonts w:asciiTheme="majorBidi" w:hAnsiTheme="majorBidi" w:cstheme="majorBidi"/>
          <w:w w:val="95"/>
        </w:rPr>
        <w:t>(2018),</w:t>
      </w:r>
      <w:r w:rsidRPr="00BB11D1">
        <w:rPr>
          <w:rFonts w:asciiTheme="majorBidi" w:hAnsiTheme="majorBidi" w:cstheme="majorBidi"/>
          <w:spacing w:val="-18"/>
          <w:w w:val="95"/>
        </w:rPr>
        <w:t xml:space="preserve"> </w:t>
      </w:r>
      <w:r w:rsidRPr="00BB11D1">
        <w:rPr>
          <w:rFonts w:asciiTheme="majorBidi" w:hAnsiTheme="majorBidi" w:cstheme="majorBidi"/>
          <w:w w:val="95"/>
        </w:rPr>
        <w:t>“Central</w:t>
      </w:r>
      <w:r w:rsidRPr="00BB11D1">
        <w:rPr>
          <w:rFonts w:asciiTheme="majorBidi" w:hAnsiTheme="majorBidi" w:cstheme="majorBidi"/>
          <w:spacing w:val="-18"/>
          <w:w w:val="95"/>
        </w:rPr>
        <w:t xml:space="preserve"> </w:t>
      </w:r>
      <w:r w:rsidRPr="00BB11D1">
        <w:rPr>
          <w:rFonts w:asciiTheme="majorBidi" w:hAnsiTheme="majorBidi" w:cstheme="majorBidi"/>
          <w:w w:val="95"/>
        </w:rPr>
        <w:t>bank</w:t>
      </w:r>
      <w:r w:rsidRPr="00BB11D1">
        <w:rPr>
          <w:rFonts w:asciiTheme="majorBidi" w:hAnsiTheme="majorBidi" w:cstheme="majorBidi"/>
          <w:spacing w:val="-17"/>
          <w:w w:val="95"/>
        </w:rPr>
        <w:t xml:space="preserve"> </w:t>
      </w:r>
      <w:r w:rsidRPr="00BB11D1">
        <w:rPr>
          <w:rFonts w:asciiTheme="majorBidi" w:hAnsiTheme="majorBidi" w:cstheme="majorBidi"/>
          <w:w w:val="95"/>
        </w:rPr>
        <w:t>digital</w:t>
      </w:r>
      <w:r w:rsidRPr="00BB11D1">
        <w:rPr>
          <w:rFonts w:asciiTheme="majorBidi" w:hAnsiTheme="majorBidi" w:cstheme="majorBidi"/>
          <w:spacing w:val="-16"/>
          <w:w w:val="95"/>
        </w:rPr>
        <w:t xml:space="preserve"> </w:t>
      </w:r>
      <w:r w:rsidRPr="00BB11D1">
        <w:rPr>
          <w:rFonts w:asciiTheme="majorBidi" w:hAnsiTheme="majorBidi" w:cstheme="majorBidi"/>
          <w:w w:val="95"/>
        </w:rPr>
        <w:t>currencies</w:t>
      </w:r>
      <w:r w:rsidRPr="00BB11D1">
        <w:rPr>
          <w:rFonts w:asciiTheme="majorBidi" w:hAnsiTheme="majorBidi" w:cstheme="majorBidi"/>
          <w:spacing w:val="-17"/>
          <w:w w:val="95"/>
        </w:rPr>
        <w:t xml:space="preserve"> </w:t>
      </w:r>
      <w:r w:rsidRPr="00BB11D1">
        <w:rPr>
          <w:rFonts w:asciiTheme="majorBidi" w:hAnsiTheme="majorBidi" w:cstheme="majorBidi"/>
          <w:w w:val="95"/>
        </w:rPr>
        <w:t>-</w:t>
      </w:r>
      <w:r w:rsidRPr="00BB11D1">
        <w:rPr>
          <w:rFonts w:asciiTheme="majorBidi" w:hAnsiTheme="majorBidi" w:cstheme="majorBidi"/>
          <w:spacing w:val="-18"/>
          <w:w w:val="95"/>
        </w:rPr>
        <w:t xml:space="preserve"> </w:t>
      </w:r>
      <w:r w:rsidRPr="00BB11D1">
        <w:rPr>
          <w:rFonts w:asciiTheme="majorBidi" w:hAnsiTheme="majorBidi" w:cstheme="majorBidi"/>
          <w:w w:val="95"/>
        </w:rPr>
        <w:t>design</w:t>
      </w:r>
      <w:r w:rsidRPr="00BB11D1">
        <w:rPr>
          <w:rFonts w:asciiTheme="majorBidi" w:hAnsiTheme="majorBidi" w:cstheme="majorBidi"/>
          <w:spacing w:val="-17"/>
          <w:w w:val="95"/>
        </w:rPr>
        <w:t xml:space="preserve"> </w:t>
      </w:r>
      <w:r w:rsidRPr="00BB11D1">
        <w:rPr>
          <w:rFonts w:asciiTheme="majorBidi" w:hAnsiTheme="majorBidi" w:cstheme="majorBidi"/>
          <w:w w:val="95"/>
        </w:rPr>
        <w:t>principles</w:t>
      </w:r>
      <w:r w:rsidRPr="00BB11D1">
        <w:rPr>
          <w:rFonts w:asciiTheme="majorBidi" w:hAnsiTheme="majorBidi" w:cstheme="majorBidi"/>
          <w:spacing w:val="-16"/>
          <w:w w:val="95"/>
        </w:rPr>
        <w:t xml:space="preserve"> </w:t>
      </w:r>
      <w:r w:rsidRPr="00BB11D1">
        <w:rPr>
          <w:rFonts w:asciiTheme="majorBidi" w:hAnsiTheme="majorBidi" w:cstheme="majorBidi"/>
          <w:w w:val="95"/>
        </w:rPr>
        <w:t>and</w:t>
      </w:r>
      <w:r w:rsidRPr="00BB11D1">
        <w:rPr>
          <w:rFonts w:asciiTheme="majorBidi" w:hAnsiTheme="majorBidi" w:cstheme="majorBidi"/>
          <w:spacing w:val="-17"/>
          <w:w w:val="95"/>
        </w:rPr>
        <w:t xml:space="preserve"> </w:t>
      </w:r>
      <w:r w:rsidRPr="00BB11D1">
        <w:rPr>
          <w:rFonts w:asciiTheme="majorBidi" w:hAnsiTheme="majorBidi" w:cstheme="majorBidi"/>
          <w:w w:val="95"/>
        </w:rPr>
        <w:t>balance</w:t>
      </w:r>
      <w:r w:rsidRPr="00BB11D1">
        <w:rPr>
          <w:rFonts w:asciiTheme="majorBidi" w:hAnsiTheme="majorBidi" w:cstheme="majorBidi"/>
          <w:spacing w:val="-17"/>
          <w:w w:val="95"/>
        </w:rPr>
        <w:t xml:space="preserve"> </w:t>
      </w:r>
      <w:r w:rsidRPr="00BB11D1">
        <w:rPr>
          <w:rFonts w:asciiTheme="majorBidi" w:hAnsiTheme="majorBidi" w:cstheme="majorBidi"/>
          <w:w w:val="95"/>
        </w:rPr>
        <w:t xml:space="preserve">sheet </w:t>
      </w:r>
      <w:r w:rsidRPr="00BB11D1">
        <w:rPr>
          <w:rFonts w:asciiTheme="majorBidi" w:hAnsiTheme="majorBidi" w:cstheme="majorBidi"/>
        </w:rPr>
        <w:t>implications”,</w:t>
      </w:r>
      <w:r w:rsidRPr="00BB11D1">
        <w:rPr>
          <w:rFonts w:asciiTheme="majorBidi" w:hAnsiTheme="majorBidi" w:cstheme="majorBidi"/>
          <w:spacing w:val="-18"/>
        </w:rPr>
        <w:t xml:space="preserve"> </w:t>
      </w:r>
      <w:r w:rsidRPr="00BB11D1">
        <w:rPr>
          <w:rFonts w:asciiTheme="majorBidi" w:hAnsiTheme="majorBidi" w:cstheme="majorBidi"/>
        </w:rPr>
        <w:t>Bank</w:t>
      </w:r>
      <w:r w:rsidRPr="00BB11D1">
        <w:rPr>
          <w:rFonts w:asciiTheme="majorBidi" w:hAnsiTheme="majorBidi" w:cstheme="majorBidi"/>
          <w:spacing w:val="-16"/>
        </w:rPr>
        <w:t xml:space="preserve"> </w:t>
      </w:r>
      <w:r w:rsidRPr="00BB11D1">
        <w:rPr>
          <w:rFonts w:asciiTheme="majorBidi" w:hAnsiTheme="majorBidi" w:cstheme="majorBidi"/>
        </w:rPr>
        <w:t>of</w:t>
      </w:r>
      <w:r w:rsidRPr="00BB11D1">
        <w:rPr>
          <w:rFonts w:asciiTheme="majorBidi" w:hAnsiTheme="majorBidi" w:cstheme="majorBidi"/>
          <w:spacing w:val="-17"/>
        </w:rPr>
        <w:t xml:space="preserve"> </w:t>
      </w:r>
      <w:r w:rsidRPr="00BB11D1">
        <w:rPr>
          <w:rFonts w:asciiTheme="majorBidi" w:hAnsiTheme="majorBidi" w:cstheme="majorBidi"/>
        </w:rPr>
        <w:t>England,</w:t>
      </w:r>
      <w:r w:rsidRPr="00BB11D1">
        <w:rPr>
          <w:rFonts w:asciiTheme="majorBidi" w:hAnsiTheme="majorBidi" w:cstheme="majorBidi"/>
          <w:spacing w:val="-15"/>
        </w:rPr>
        <w:t xml:space="preserve"> </w:t>
      </w:r>
      <w:r w:rsidRPr="00BB11D1">
        <w:rPr>
          <w:rFonts w:asciiTheme="majorBidi" w:hAnsiTheme="majorBidi" w:cstheme="majorBidi"/>
        </w:rPr>
        <w:t>Staff</w:t>
      </w:r>
      <w:r w:rsidRPr="00BB11D1">
        <w:rPr>
          <w:rFonts w:asciiTheme="majorBidi" w:hAnsiTheme="majorBidi" w:cstheme="majorBidi"/>
          <w:spacing w:val="-14"/>
        </w:rPr>
        <w:t xml:space="preserve"> </w:t>
      </w:r>
      <w:r w:rsidRPr="00BB11D1">
        <w:rPr>
          <w:rFonts w:asciiTheme="majorBidi" w:hAnsiTheme="majorBidi" w:cstheme="majorBidi"/>
        </w:rPr>
        <w:t>WP</w:t>
      </w:r>
      <w:r w:rsidRPr="00BB11D1">
        <w:rPr>
          <w:rFonts w:asciiTheme="majorBidi" w:hAnsiTheme="majorBidi" w:cstheme="majorBidi"/>
          <w:spacing w:val="-14"/>
        </w:rPr>
        <w:t xml:space="preserve"> </w:t>
      </w:r>
      <w:r w:rsidRPr="00BB11D1">
        <w:rPr>
          <w:rFonts w:asciiTheme="majorBidi" w:hAnsiTheme="majorBidi" w:cstheme="majorBidi"/>
        </w:rPr>
        <w:t>No.</w:t>
      </w:r>
      <w:r w:rsidRPr="00BB11D1">
        <w:rPr>
          <w:rFonts w:asciiTheme="majorBidi" w:hAnsiTheme="majorBidi" w:cstheme="majorBidi"/>
          <w:spacing w:val="-15"/>
        </w:rPr>
        <w:t xml:space="preserve"> </w:t>
      </w:r>
      <w:r w:rsidRPr="00BB11D1">
        <w:rPr>
          <w:rFonts w:asciiTheme="majorBidi" w:hAnsiTheme="majorBidi" w:cstheme="majorBidi"/>
        </w:rPr>
        <w:t>725.</w:t>
      </w:r>
    </w:p>
    <w:p w:rsidR="00BB11D1" w:rsidRPr="00BB11D1" w:rsidRDefault="00BB11D1" w:rsidP="00BB11D1">
      <w:pPr>
        <w:pStyle w:val="BodyText"/>
        <w:numPr>
          <w:ilvl w:val="0"/>
          <w:numId w:val="17"/>
        </w:numPr>
        <w:spacing w:before="59" w:line="254" w:lineRule="auto"/>
        <w:ind w:right="681"/>
        <w:rPr>
          <w:rFonts w:asciiTheme="majorBidi" w:hAnsiTheme="majorBidi" w:cstheme="majorBidi"/>
        </w:rPr>
      </w:pPr>
      <w:r w:rsidRPr="00BB11D1">
        <w:rPr>
          <w:rFonts w:asciiTheme="majorBidi" w:hAnsiTheme="majorBidi" w:cstheme="majorBidi"/>
          <w:w w:val="95"/>
        </w:rPr>
        <w:t>Lalouette,</w:t>
      </w:r>
      <w:r w:rsidRPr="00BB11D1">
        <w:rPr>
          <w:rFonts w:asciiTheme="majorBidi" w:hAnsiTheme="majorBidi" w:cstheme="majorBidi"/>
          <w:spacing w:val="-19"/>
          <w:w w:val="95"/>
        </w:rPr>
        <w:t xml:space="preserve"> </w:t>
      </w:r>
      <w:r w:rsidRPr="00BB11D1">
        <w:rPr>
          <w:rFonts w:asciiTheme="majorBidi" w:hAnsiTheme="majorBidi" w:cstheme="majorBidi"/>
          <w:w w:val="95"/>
        </w:rPr>
        <w:t>L.</w:t>
      </w:r>
      <w:r w:rsidRPr="00BB11D1">
        <w:rPr>
          <w:rFonts w:asciiTheme="majorBidi" w:hAnsiTheme="majorBidi" w:cstheme="majorBidi"/>
          <w:spacing w:val="-19"/>
          <w:w w:val="95"/>
        </w:rPr>
        <w:t xml:space="preserve"> </w:t>
      </w:r>
      <w:r w:rsidRPr="00BB11D1">
        <w:rPr>
          <w:rFonts w:asciiTheme="majorBidi" w:hAnsiTheme="majorBidi" w:cstheme="majorBidi"/>
          <w:w w:val="95"/>
        </w:rPr>
        <w:t>and</w:t>
      </w:r>
      <w:r w:rsidRPr="00BB11D1">
        <w:rPr>
          <w:rFonts w:asciiTheme="majorBidi" w:hAnsiTheme="majorBidi" w:cstheme="majorBidi"/>
          <w:spacing w:val="-18"/>
          <w:w w:val="95"/>
        </w:rPr>
        <w:t xml:space="preserve"> </w:t>
      </w:r>
      <w:r w:rsidRPr="00BB11D1">
        <w:rPr>
          <w:rFonts w:asciiTheme="majorBidi" w:hAnsiTheme="majorBidi" w:cstheme="majorBidi"/>
          <w:w w:val="95"/>
        </w:rPr>
        <w:t>H.</w:t>
      </w:r>
      <w:r w:rsidRPr="00BB11D1">
        <w:rPr>
          <w:rFonts w:asciiTheme="majorBidi" w:hAnsiTheme="majorBidi" w:cstheme="majorBidi"/>
          <w:spacing w:val="-20"/>
          <w:w w:val="95"/>
        </w:rPr>
        <w:t xml:space="preserve"> </w:t>
      </w:r>
      <w:r w:rsidRPr="00BB11D1">
        <w:rPr>
          <w:rFonts w:asciiTheme="majorBidi" w:hAnsiTheme="majorBidi" w:cstheme="majorBidi"/>
          <w:w w:val="95"/>
        </w:rPr>
        <w:t>Esselink</w:t>
      </w:r>
      <w:r w:rsidRPr="00BB11D1">
        <w:rPr>
          <w:rFonts w:asciiTheme="majorBidi" w:hAnsiTheme="majorBidi" w:cstheme="majorBidi"/>
          <w:spacing w:val="-17"/>
          <w:w w:val="95"/>
        </w:rPr>
        <w:t xml:space="preserve"> </w:t>
      </w:r>
      <w:r w:rsidRPr="00BB11D1">
        <w:rPr>
          <w:rFonts w:asciiTheme="majorBidi" w:hAnsiTheme="majorBidi" w:cstheme="majorBidi"/>
          <w:w w:val="95"/>
        </w:rPr>
        <w:t>(2018),</w:t>
      </w:r>
      <w:r w:rsidRPr="00BB11D1">
        <w:rPr>
          <w:rFonts w:asciiTheme="majorBidi" w:hAnsiTheme="majorBidi" w:cstheme="majorBidi"/>
          <w:spacing w:val="-20"/>
          <w:w w:val="95"/>
        </w:rPr>
        <w:t xml:space="preserve"> </w:t>
      </w:r>
      <w:r w:rsidRPr="00BB11D1">
        <w:rPr>
          <w:rFonts w:asciiTheme="majorBidi" w:hAnsiTheme="majorBidi" w:cstheme="majorBidi"/>
          <w:w w:val="95"/>
        </w:rPr>
        <w:t>“Trends</w:t>
      </w:r>
      <w:r w:rsidRPr="00BB11D1">
        <w:rPr>
          <w:rFonts w:asciiTheme="majorBidi" w:hAnsiTheme="majorBidi" w:cstheme="majorBidi"/>
          <w:spacing w:val="-19"/>
          <w:w w:val="95"/>
        </w:rPr>
        <w:t xml:space="preserve"> </w:t>
      </w:r>
      <w:r w:rsidRPr="00BB11D1">
        <w:rPr>
          <w:rFonts w:asciiTheme="majorBidi" w:hAnsiTheme="majorBidi" w:cstheme="majorBidi"/>
          <w:w w:val="95"/>
        </w:rPr>
        <w:t>and</w:t>
      </w:r>
      <w:r w:rsidRPr="00BB11D1">
        <w:rPr>
          <w:rFonts w:asciiTheme="majorBidi" w:hAnsiTheme="majorBidi" w:cstheme="majorBidi"/>
          <w:spacing w:val="-18"/>
          <w:w w:val="95"/>
        </w:rPr>
        <w:t xml:space="preserve"> </w:t>
      </w:r>
      <w:r w:rsidRPr="00BB11D1">
        <w:rPr>
          <w:rFonts w:asciiTheme="majorBidi" w:hAnsiTheme="majorBidi" w:cstheme="majorBidi"/>
          <w:w w:val="95"/>
        </w:rPr>
        <w:t>developments</w:t>
      </w:r>
      <w:r w:rsidRPr="00BB11D1">
        <w:rPr>
          <w:rFonts w:asciiTheme="majorBidi" w:hAnsiTheme="majorBidi" w:cstheme="majorBidi"/>
          <w:spacing w:val="-17"/>
          <w:w w:val="95"/>
        </w:rPr>
        <w:t xml:space="preserve"> </w:t>
      </w:r>
      <w:r w:rsidRPr="00BB11D1">
        <w:rPr>
          <w:rFonts w:asciiTheme="majorBidi" w:hAnsiTheme="majorBidi" w:cstheme="majorBidi"/>
          <w:w w:val="95"/>
        </w:rPr>
        <w:t>in</w:t>
      </w:r>
      <w:r w:rsidRPr="00BB11D1">
        <w:rPr>
          <w:rFonts w:asciiTheme="majorBidi" w:hAnsiTheme="majorBidi" w:cstheme="majorBidi"/>
          <w:spacing w:val="-19"/>
          <w:w w:val="95"/>
        </w:rPr>
        <w:t xml:space="preserve"> </w:t>
      </w:r>
      <w:r w:rsidRPr="00BB11D1">
        <w:rPr>
          <w:rFonts w:asciiTheme="majorBidi" w:hAnsiTheme="majorBidi" w:cstheme="majorBidi"/>
          <w:w w:val="95"/>
        </w:rPr>
        <w:t>the</w:t>
      </w:r>
      <w:r w:rsidRPr="00BB11D1">
        <w:rPr>
          <w:rFonts w:asciiTheme="majorBidi" w:hAnsiTheme="majorBidi" w:cstheme="majorBidi"/>
          <w:spacing w:val="-19"/>
          <w:w w:val="95"/>
        </w:rPr>
        <w:t xml:space="preserve"> </w:t>
      </w:r>
      <w:r w:rsidRPr="00BB11D1">
        <w:rPr>
          <w:rFonts w:asciiTheme="majorBidi" w:hAnsiTheme="majorBidi" w:cstheme="majorBidi"/>
          <w:w w:val="95"/>
        </w:rPr>
        <w:t>use</w:t>
      </w:r>
      <w:r w:rsidRPr="00BB11D1">
        <w:rPr>
          <w:rFonts w:asciiTheme="majorBidi" w:hAnsiTheme="majorBidi" w:cstheme="majorBidi"/>
          <w:spacing w:val="-18"/>
          <w:w w:val="95"/>
        </w:rPr>
        <w:t xml:space="preserve"> </w:t>
      </w:r>
      <w:r w:rsidRPr="00BB11D1">
        <w:rPr>
          <w:rFonts w:asciiTheme="majorBidi" w:hAnsiTheme="majorBidi" w:cstheme="majorBidi"/>
          <w:w w:val="95"/>
        </w:rPr>
        <w:t>of</w:t>
      </w:r>
      <w:r w:rsidRPr="00BB11D1">
        <w:rPr>
          <w:rFonts w:asciiTheme="majorBidi" w:hAnsiTheme="majorBidi" w:cstheme="majorBidi"/>
          <w:spacing w:val="-20"/>
          <w:w w:val="95"/>
        </w:rPr>
        <w:t xml:space="preserve"> </w:t>
      </w:r>
      <w:r w:rsidRPr="00BB11D1">
        <w:rPr>
          <w:rFonts w:asciiTheme="majorBidi" w:hAnsiTheme="majorBidi" w:cstheme="majorBidi"/>
          <w:w w:val="95"/>
        </w:rPr>
        <w:t>euro</w:t>
      </w:r>
      <w:r w:rsidRPr="00BB11D1">
        <w:rPr>
          <w:rFonts w:asciiTheme="majorBidi" w:hAnsiTheme="majorBidi" w:cstheme="majorBidi"/>
          <w:spacing w:val="-16"/>
          <w:w w:val="95"/>
        </w:rPr>
        <w:t xml:space="preserve"> </w:t>
      </w:r>
      <w:r w:rsidRPr="00BB11D1">
        <w:rPr>
          <w:rFonts w:asciiTheme="majorBidi" w:hAnsiTheme="majorBidi" w:cstheme="majorBidi"/>
          <w:w w:val="95"/>
        </w:rPr>
        <w:t>cash</w:t>
      </w:r>
      <w:r w:rsidRPr="00BB11D1">
        <w:rPr>
          <w:rFonts w:asciiTheme="majorBidi" w:hAnsiTheme="majorBidi" w:cstheme="majorBidi"/>
          <w:spacing w:val="-19"/>
          <w:w w:val="95"/>
        </w:rPr>
        <w:t xml:space="preserve"> </w:t>
      </w:r>
      <w:r w:rsidRPr="00BB11D1">
        <w:rPr>
          <w:rFonts w:asciiTheme="majorBidi" w:hAnsiTheme="majorBidi" w:cstheme="majorBidi"/>
          <w:w w:val="95"/>
        </w:rPr>
        <w:t>over</w:t>
      </w:r>
      <w:r w:rsidRPr="00BB11D1">
        <w:rPr>
          <w:rFonts w:asciiTheme="majorBidi" w:hAnsiTheme="majorBidi" w:cstheme="majorBidi"/>
          <w:spacing w:val="-18"/>
          <w:w w:val="95"/>
        </w:rPr>
        <w:t xml:space="preserve"> </w:t>
      </w:r>
      <w:r w:rsidRPr="00BB11D1">
        <w:rPr>
          <w:rFonts w:asciiTheme="majorBidi" w:hAnsiTheme="majorBidi" w:cstheme="majorBidi"/>
          <w:w w:val="95"/>
        </w:rPr>
        <w:t>the</w:t>
      </w:r>
      <w:r w:rsidRPr="00BB11D1">
        <w:rPr>
          <w:rFonts w:asciiTheme="majorBidi" w:hAnsiTheme="majorBidi" w:cstheme="majorBidi"/>
          <w:spacing w:val="-16"/>
          <w:w w:val="95"/>
        </w:rPr>
        <w:t xml:space="preserve"> </w:t>
      </w:r>
      <w:r w:rsidRPr="00BB11D1">
        <w:rPr>
          <w:rFonts w:asciiTheme="majorBidi" w:hAnsiTheme="majorBidi" w:cstheme="majorBidi"/>
          <w:w w:val="95"/>
        </w:rPr>
        <w:t>past</w:t>
      </w:r>
      <w:r w:rsidRPr="00BB11D1">
        <w:rPr>
          <w:rFonts w:asciiTheme="majorBidi" w:hAnsiTheme="majorBidi" w:cstheme="majorBidi"/>
          <w:spacing w:val="-19"/>
          <w:w w:val="95"/>
        </w:rPr>
        <w:t xml:space="preserve"> </w:t>
      </w:r>
      <w:r w:rsidRPr="00BB11D1">
        <w:rPr>
          <w:rFonts w:asciiTheme="majorBidi" w:hAnsiTheme="majorBidi" w:cstheme="majorBidi"/>
          <w:w w:val="95"/>
        </w:rPr>
        <w:t xml:space="preserve">ten </w:t>
      </w:r>
      <w:r w:rsidRPr="00BB11D1">
        <w:rPr>
          <w:rFonts w:asciiTheme="majorBidi" w:hAnsiTheme="majorBidi" w:cstheme="majorBidi"/>
        </w:rPr>
        <w:t>years”,</w:t>
      </w:r>
      <w:r w:rsidRPr="00BB11D1">
        <w:rPr>
          <w:rFonts w:asciiTheme="majorBidi" w:hAnsiTheme="majorBidi" w:cstheme="majorBidi"/>
          <w:spacing w:val="-15"/>
        </w:rPr>
        <w:t xml:space="preserve"> </w:t>
      </w:r>
      <w:r w:rsidRPr="00BB11D1">
        <w:rPr>
          <w:rFonts w:asciiTheme="majorBidi" w:hAnsiTheme="majorBidi" w:cstheme="majorBidi"/>
        </w:rPr>
        <w:t>ECB</w:t>
      </w:r>
      <w:r w:rsidRPr="00BB11D1">
        <w:rPr>
          <w:rFonts w:asciiTheme="majorBidi" w:hAnsiTheme="majorBidi" w:cstheme="majorBidi"/>
          <w:spacing w:val="-14"/>
        </w:rPr>
        <w:t xml:space="preserve"> </w:t>
      </w:r>
      <w:r w:rsidRPr="00BB11D1">
        <w:rPr>
          <w:rFonts w:asciiTheme="majorBidi" w:hAnsiTheme="majorBidi" w:cstheme="majorBidi"/>
        </w:rPr>
        <w:t>economic</w:t>
      </w:r>
      <w:r w:rsidRPr="00BB11D1">
        <w:rPr>
          <w:rFonts w:asciiTheme="majorBidi" w:hAnsiTheme="majorBidi" w:cstheme="majorBidi"/>
          <w:spacing w:val="-14"/>
        </w:rPr>
        <w:t xml:space="preserve"> </w:t>
      </w:r>
      <w:r w:rsidRPr="00BB11D1">
        <w:rPr>
          <w:rFonts w:asciiTheme="majorBidi" w:hAnsiTheme="majorBidi" w:cstheme="majorBidi"/>
        </w:rPr>
        <w:t>bulletin,</w:t>
      </w:r>
      <w:r w:rsidRPr="00BB11D1">
        <w:rPr>
          <w:rFonts w:asciiTheme="majorBidi" w:hAnsiTheme="majorBidi" w:cstheme="majorBidi"/>
          <w:spacing w:val="-14"/>
        </w:rPr>
        <w:t xml:space="preserve"> </w:t>
      </w:r>
      <w:r w:rsidRPr="00BB11D1">
        <w:rPr>
          <w:rFonts w:asciiTheme="majorBidi" w:hAnsiTheme="majorBidi" w:cstheme="majorBidi"/>
        </w:rPr>
        <w:t>June</w:t>
      </w:r>
      <w:r w:rsidRPr="00BB11D1">
        <w:rPr>
          <w:rFonts w:asciiTheme="majorBidi" w:hAnsiTheme="majorBidi" w:cstheme="majorBidi"/>
          <w:spacing w:val="-15"/>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before="61" w:line="254" w:lineRule="auto"/>
        <w:ind w:right="681"/>
        <w:rPr>
          <w:rFonts w:asciiTheme="majorBidi" w:hAnsiTheme="majorBidi" w:cstheme="majorBidi"/>
        </w:rPr>
      </w:pPr>
      <w:r w:rsidRPr="00BB11D1">
        <w:rPr>
          <w:rFonts w:asciiTheme="majorBidi" w:hAnsiTheme="majorBidi" w:cstheme="majorBidi"/>
          <w:w w:val="95"/>
        </w:rPr>
        <w:t>Mancini-Griffoli,</w:t>
      </w:r>
      <w:r w:rsidRPr="00BB11D1">
        <w:rPr>
          <w:rFonts w:asciiTheme="majorBidi" w:hAnsiTheme="majorBidi" w:cstheme="majorBidi"/>
          <w:spacing w:val="-26"/>
          <w:w w:val="95"/>
        </w:rPr>
        <w:t xml:space="preserve"> </w:t>
      </w:r>
      <w:r w:rsidRPr="00BB11D1">
        <w:rPr>
          <w:rFonts w:asciiTheme="majorBidi" w:hAnsiTheme="majorBidi" w:cstheme="majorBidi"/>
          <w:w w:val="95"/>
        </w:rPr>
        <w:t>T.,</w:t>
      </w:r>
      <w:r w:rsidRPr="00BB11D1">
        <w:rPr>
          <w:rFonts w:asciiTheme="majorBidi" w:hAnsiTheme="majorBidi" w:cstheme="majorBidi"/>
          <w:spacing w:val="-25"/>
          <w:w w:val="95"/>
        </w:rPr>
        <w:t xml:space="preserve"> </w:t>
      </w:r>
      <w:r w:rsidRPr="00BB11D1">
        <w:rPr>
          <w:rFonts w:asciiTheme="majorBidi" w:hAnsiTheme="majorBidi" w:cstheme="majorBidi"/>
          <w:w w:val="95"/>
        </w:rPr>
        <w:t>M.</w:t>
      </w:r>
      <w:r w:rsidRPr="00BB11D1">
        <w:rPr>
          <w:rFonts w:asciiTheme="majorBidi" w:hAnsiTheme="majorBidi" w:cstheme="majorBidi"/>
          <w:spacing w:val="-25"/>
          <w:w w:val="95"/>
        </w:rPr>
        <w:t xml:space="preserve"> </w:t>
      </w:r>
      <w:r w:rsidRPr="00BB11D1">
        <w:rPr>
          <w:rFonts w:asciiTheme="majorBidi" w:hAnsiTheme="majorBidi" w:cstheme="majorBidi"/>
          <w:w w:val="95"/>
        </w:rPr>
        <w:t>S.Martinez</w:t>
      </w:r>
      <w:r w:rsidRPr="00BB11D1">
        <w:rPr>
          <w:rFonts w:asciiTheme="majorBidi" w:hAnsiTheme="majorBidi" w:cstheme="majorBidi"/>
          <w:spacing w:val="-24"/>
          <w:w w:val="95"/>
        </w:rPr>
        <w:t xml:space="preserve"> </w:t>
      </w:r>
      <w:r w:rsidRPr="00BB11D1">
        <w:rPr>
          <w:rFonts w:asciiTheme="majorBidi" w:hAnsiTheme="majorBidi" w:cstheme="majorBidi"/>
          <w:w w:val="95"/>
        </w:rPr>
        <w:t>Peria,</w:t>
      </w:r>
      <w:r w:rsidRPr="00BB11D1">
        <w:rPr>
          <w:rFonts w:asciiTheme="majorBidi" w:hAnsiTheme="majorBidi" w:cstheme="majorBidi"/>
          <w:spacing w:val="-25"/>
          <w:w w:val="95"/>
        </w:rPr>
        <w:t xml:space="preserve"> </w:t>
      </w:r>
      <w:r w:rsidRPr="00BB11D1">
        <w:rPr>
          <w:rFonts w:asciiTheme="majorBidi" w:hAnsiTheme="majorBidi" w:cstheme="majorBidi"/>
          <w:w w:val="95"/>
        </w:rPr>
        <w:t>I.</w:t>
      </w:r>
      <w:r w:rsidRPr="00BB11D1">
        <w:rPr>
          <w:rFonts w:asciiTheme="majorBidi" w:hAnsiTheme="majorBidi" w:cstheme="majorBidi"/>
          <w:spacing w:val="-24"/>
          <w:w w:val="95"/>
        </w:rPr>
        <w:t xml:space="preserve"> </w:t>
      </w:r>
      <w:r w:rsidRPr="00BB11D1">
        <w:rPr>
          <w:rFonts w:asciiTheme="majorBidi" w:hAnsiTheme="majorBidi" w:cstheme="majorBidi"/>
          <w:w w:val="95"/>
        </w:rPr>
        <w:t>Agur,</w:t>
      </w:r>
      <w:r w:rsidRPr="00BB11D1">
        <w:rPr>
          <w:rFonts w:asciiTheme="majorBidi" w:hAnsiTheme="majorBidi" w:cstheme="majorBidi"/>
          <w:spacing w:val="-25"/>
          <w:w w:val="95"/>
        </w:rPr>
        <w:t xml:space="preserve"> </w:t>
      </w:r>
      <w:r w:rsidRPr="00BB11D1">
        <w:rPr>
          <w:rFonts w:asciiTheme="majorBidi" w:hAnsiTheme="majorBidi" w:cstheme="majorBidi"/>
          <w:w w:val="95"/>
        </w:rPr>
        <w:t>J.</w:t>
      </w:r>
      <w:r w:rsidRPr="00BB11D1">
        <w:rPr>
          <w:rFonts w:asciiTheme="majorBidi" w:hAnsiTheme="majorBidi" w:cstheme="majorBidi"/>
          <w:spacing w:val="-25"/>
          <w:w w:val="95"/>
        </w:rPr>
        <w:t xml:space="preserve"> </w:t>
      </w:r>
      <w:r w:rsidRPr="00BB11D1">
        <w:rPr>
          <w:rFonts w:asciiTheme="majorBidi" w:hAnsiTheme="majorBidi" w:cstheme="majorBidi"/>
          <w:w w:val="95"/>
        </w:rPr>
        <w:t>Kiff,</w:t>
      </w:r>
      <w:r w:rsidRPr="00BB11D1">
        <w:rPr>
          <w:rFonts w:asciiTheme="majorBidi" w:hAnsiTheme="majorBidi" w:cstheme="majorBidi"/>
          <w:spacing w:val="-24"/>
          <w:w w:val="95"/>
        </w:rPr>
        <w:t xml:space="preserve"> </w:t>
      </w:r>
      <w:r w:rsidRPr="00BB11D1">
        <w:rPr>
          <w:rFonts w:asciiTheme="majorBidi" w:hAnsiTheme="majorBidi" w:cstheme="majorBidi"/>
          <w:w w:val="95"/>
        </w:rPr>
        <w:t>A.</w:t>
      </w:r>
      <w:r w:rsidRPr="00BB11D1">
        <w:rPr>
          <w:rFonts w:asciiTheme="majorBidi" w:hAnsiTheme="majorBidi" w:cstheme="majorBidi"/>
          <w:spacing w:val="-25"/>
          <w:w w:val="95"/>
        </w:rPr>
        <w:t xml:space="preserve"> </w:t>
      </w:r>
      <w:r w:rsidRPr="00BB11D1">
        <w:rPr>
          <w:rFonts w:asciiTheme="majorBidi" w:hAnsiTheme="majorBidi" w:cstheme="majorBidi"/>
          <w:w w:val="95"/>
        </w:rPr>
        <w:t>Popescu,</w:t>
      </w:r>
      <w:r w:rsidRPr="00BB11D1">
        <w:rPr>
          <w:rFonts w:asciiTheme="majorBidi" w:hAnsiTheme="majorBidi" w:cstheme="majorBidi"/>
          <w:spacing w:val="-25"/>
          <w:w w:val="95"/>
        </w:rPr>
        <w:t xml:space="preserve"> </w:t>
      </w:r>
      <w:r w:rsidRPr="00BB11D1">
        <w:rPr>
          <w:rFonts w:asciiTheme="majorBidi" w:hAnsiTheme="majorBidi" w:cstheme="majorBidi"/>
          <w:w w:val="95"/>
        </w:rPr>
        <w:t>and</w:t>
      </w:r>
      <w:r w:rsidRPr="00BB11D1">
        <w:rPr>
          <w:rFonts w:asciiTheme="majorBidi" w:hAnsiTheme="majorBidi" w:cstheme="majorBidi"/>
          <w:spacing w:val="-24"/>
          <w:w w:val="95"/>
        </w:rPr>
        <w:t xml:space="preserve"> </w:t>
      </w:r>
      <w:r w:rsidRPr="00BB11D1">
        <w:rPr>
          <w:rFonts w:asciiTheme="majorBidi" w:hAnsiTheme="majorBidi" w:cstheme="majorBidi"/>
          <w:w w:val="95"/>
        </w:rPr>
        <w:t>C.</w:t>
      </w:r>
      <w:r w:rsidRPr="00BB11D1">
        <w:rPr>
          <w:rFonts w:asciiTheme="majorBidi" w:hAnsiTheme="majorBidi" w:cstheme="majorBidi"/>
          <w:spacing w:val="-25"/>
          <w:w w:val="95"/>
        </w:rPr>
        <w:t xml:space="preserve"> </w:t>
      </w:r>
      <w:r w:rsidRPr="00BB11D1">
        <w:rPr>
          <w:rFonts w:asciiTheme="majorBidi" w:hAnsiTheme="majorBidi" w:cstheme="majorBidi"/>
          <w:w w:val="95"/>
        </w:rPr>
        <w:t>Rochon</w:t>
      </w:r>
      <w:r w:rsidRPr="00BB11D1">
        <w:rPr>
          <w:rFonts w:asciiTheme="majorBidi" w:hAnsiTheme="majorBidi" w:cstheme="majorBidi"/>
          <w:spacing w:val="-25"/>
          <w:w w:val="95"/>
        </w:rPr>
        <w:t xml:space="preserve"> </w:t>
      </w:r>
      <w:r w:rsidRPr="00BB11D1">
        <w:rPr>
          <w:rFonts w:asciiTheme="majorBidi" w:hAnsiTheme="majorBidi" w:cstheme="majorBidi"/>
          <w:w w:val="95"/>
        </w:rPr>
        <w:t>(2018),</w:t>
      </w:r>
      <w:r w:rsidRPr="00BB11D1">
        <w:rPr>
          <w:rFonts w:asciiTheme="majorBidi" w:hAnsiTheme="majorBidi" w:cstheme="majorBidi"/>
          <w:spacing w:val="-24"/>
          <w:w w:val="95"/>
        </w:rPr>
        <w:t xml:space="preserve"> </w:t>
      </w:r>
      <w:r w:rsidRPr="00BB11D1">
        <w:rPr>
          <w:rFonts w:asciiTheme="majorBidi" w:hAnsiTheme="majorBidi" w:cstheme="majorBidi"/>
          <w:w w:val="95"/>
        </w:rPr>
        <w:t>“Casting</w:t>
      </w:r>
      <w:r w:rsidRPr="00BB11D1">
        <w:rPr>
          <w:rFonts w:asciiTheme="majorBidi" w:hAnsiTheme="majorBidi" w:cstheme="majorBidi"/>
          <w:spacing w:val="-25"/>
          <w:w w:val="95"/>
        </w:rPr>
        <w:t xml:space="preserve"> </w:t>
      </w:r>
      <w:r w:rsidRPr="00BB11D1">
        <w:rPr>
          <w:rFonts w:asciiTheme="majorBidi" w:hAnsiTheme="majorBidi" w:cstheme="majorBidi"/>
          <w:w w:val="95"/>
        </w:rPr>
        <w:t xml:space="preserve">Light </w:t>
      </w:r>
      <w:r w:rsidRPr="00BB11D1">
        <w:rPr>
          <w:rFonts w:asciiTheme="majorBidi" w:hAnsiTheme="majorBidi" w:cstheme="majorBidi"/>
        </w:rPr>
        <w:t>on</w:t>
      </w:r>
      <w:r w:rsidRPr="00BB11D1">
        <w:rPr>
          <w:rFonts w:asciiTheme="majorBidi" w:hAnsiTheme="majorBidi" w:cstheme="majorBidi"/>
          <w:spacing w:val="-19"/>
        </w:rPr>
        <w:t xml:space="preserve"> </w:t>
      </w:r>
      <w:r w:rsidRPr="00BB11D1">
        <w:rPr>
          <w:rFonts w:asciiTheme="majorBidi" w:hAnsiTheme="majorBidi" w:cstheme="majorBidi"/>
        </w:rPr>
        <w:t>Central</w:t>
      </w:r>
      <w:r w:rsidRPr="00BB11D1">
        <w:rPr>
          <w:rFonts w:asciiTheme="majorBidi" w:hAnsiTheme="majorBidi" w:cstheme="majorBidi"/>
          <w:spacing w:val="-18"/>
        </w:rPr>
        <w:t xml:space="preserve"> </w:t>
      </w:r>
      <w:r w:rsidRPr="00BB11D1">
        <w:rPr>
          <w:rFonts w:asciiTheme="majorBidi" w:hAnsiTheme="majorBidi" w:cstheme="majorBidi"/>
        </w:rPr>
        <w:t>Bank</w:t>
      </w:r>
      <w:r w:rsidRPr="00BB11D1">
        <w:rPr>
          <w:rFonts w:asciiTheme="majorBidi" w:hAnsiTheme="majorBidi" w:cstheme="majorBidi"/>
          <w:spacing w:val="-20"/>
        </w:rPr>
        <w:t xml:space="preserve"> </w:t>
      </w:r>
      <w:r w:rsidRPr="00BB11D1">
        <w:rPr>
          <w:rFonts w:asciiTheme="majorBidi" w:hAnsiTheme="majorBidi" w:cstheme="majorBidi"/>
        </w:rPr>
        <w:t>Digital</w:t>
      </w:r>
      <w:r w:rsidRPr="00BB11D1">
        <w:rPr>
          <w:rFonts w:asciiTheme="majorBidi" w:hAnsiTheme="majorBidi" w:cstheme="majorBidi"/>
          <w:spacing w:val="-20"/>
        </w:rPr>
        <w:t xml:space="preserve"> </w:t>
      </w:r>
      <w:r w:rsidRPr="00BB11D1">
        <w:rPr>
          <w:rFonts w:asciiTheme="majorBidi" w:hAnsiTheme="majorBidi" w:cstheme="majorBidi"/>
        </w:rPr>
        <w:t>Currency”,</w:t>
      </w:r>
      <w:r w:rsidRPr="00BB11D1">
        <w:rPr>
          <w:rFonts w:asciiTheme="majorBidi" w:hAnsiTheme="majorBidi" w:cstheme="majorBidi"/>
          <w:spacing w:val="-18"/>
        </w:rPr>
        <w:t xml:space="preserve"> </w:t>
      </w:r>
      <w:r w:rsidRPr="00BB11D1">
        <w:rPr>
          <w:rFonts w:asciiTheme="majorBidi" w:hAnsiTheme="majorBidi" w:cstheme="majorBidi"/>
        </w:rPr>
        <w:t>IMF</w:t>
      </w:r>
      <w:r w:rsidRPr="00BB11D1">
        <w:rPr>
          <w:rFonts w:asciiTheme="majorBidi" w:hAnsiTheme="majorBidi" w:cstheme="majorBidi"/>
          <w:spacing w:val="-19"/>
        </w:rPr>
        <w:t xml:space="preserve"> </w:t>
      </w:r>
      <w:r w:rsidRPr="00BB11D1">
        <w:rPr>
          <w:rFonts w:asciiTheme="majorBidi" w:hAnsiTheme="majorBidi" w:cstheme="majorBidi"/>
        </w:rPr>
        <w:t>Staff</w:t>
      </w:r>
      <w:r w:rsidRPr="00BB11D1">
        <w:rPr>
          <w:rFonts w:asciiTheme="majorBidi" w:hAnsiTheme="majorBidi" w:cstheme="majorBidi"/>
          <w:spacing w:val="-20"/>
        </w:rPr>
        <w:t xml:space="preserve"> </w:t>
      </w:r>
      <w:r w:rsidRPr="00BB11D1">
        <w:rPr>
          <w:rFonts w:asciiTheme="majorBidi" w:hAnsiTheme="majorBidi" w:cstheme="majorBidi"/>
        </w:rPr>
        <w:t>Discussion</w:t>
      </w:r>
      <w:r w:rsidRPr="00BB11D1">
        <w:rPr>
          <w:rFonts w:asciiTheme="majorBidi" w:hAnsiTheme="majorBidi" w:cstheme="majorBidi"/>
          <w:spacing w:val="-19"/>
        </w:rPr>
        <w:t xml:space="preserve"> </w:t>
      </w:r>
      <w:r w:rsidRPr="00BB11D1">
        <w:rPr>
          <w:rFonts w:asciiTheme="majorBidi" w:hAnsiTheme="majorBidi" w:cstheme="majorBidi"/>
        </w:rPr>
        <w:t>Note,</w:t>
      </w:r>
      <w:r w:rsidRPr="00BB11D1">
        <w:rPr>
          <w:rFonts w:asciiTheme="majorBidi" w:hAnsiTheme="majorBidi" w:cstheme="majorBidi"/>
          <w:spacing w:val="-21"/>
        </w:rPr>
        <w:t xml:space="preserve"> </w:t>
      </w:r>
      <w:r w:rsidRPr="00BB11D1">
        <w:rPr>
          <w:rFonts w:asciiTheme="majorBidi" w:hAnsiTheme="majorBidi" w:cstheme="majorBidi"/>
        </w:rPr>
        <w:t>18/08.</w:t>
      </w:r>
    </w:p>
    <w:p w:rsidR="00BB11D1" w:rsidRPr="00BB11D1" w:rsidRDefault="00BB11D1" w:rsidP="00BB11D1">
      <w:pPr>
        <w:pStyle w:val="ListParagraph"/>
        <w:numPr>
          <w:ilvl w:val="0"/>
          <w:numId w:val="17"/>
        </w:numPr>
        <w:spacing w:before="61"/>
        <w:rPr>
          <w:rFonts w:asciiTheme="majorBidi" w:hAnsiTheme="majorBidi" w:cstheme="majorBidi"/>
          <w:i/>
        </w:rPr>
      </w:pPr>
      <w:r w:rsidRPr="00BB11D1">
        <w:rPr>
          <w:rFonts w:asciiTheme="majorBidi" w:hAnsiTheme="majorBidi" w:cstheme="majorBidi"/>
        </w:rPr>
        <w:t xml:space="preserve">Mayer, T. and R. Huber (2014), </w:t>
      </w:r>
      <w:r w:rsidRPr="00BB11D1">
        <w:rPr>
          <w:rFonts w:asciiTheme="majorBidi" w:hAnsiTheme="majorBidi" w:cstheme="majorBidi"/>
          <w:i/>
        </w:rPr>
        <w:t>Vollgeld. Das Geldsystem der Zukunft. Unser Weg aus der Finanzkrise.</w:t>
      </w:r>
    </w:p>
    <w:p w:rsidR="00BB11D1" w:rsidRPr="00BB11D1" w:rsidRDefault="00BB11D1" w:rsidP="00BB11D1">
      <w:pPr>
        <w:pStyle w:val="BodyText"/>
        <w:numPr>
          <w:ilvl w:val="0"/>
          <w:numId w:val="17"/>
        </w:numPr>
        <w:spacing w:before="16"/>
        <w:rPr>
          <w:rFonts w:asciiTheme="majorBidi" w:hAnsiTheme="majorBidi" w:cstheme="majorBidi"/>
        </w:rPr>
      </w:pPr>
      <w:r w:rsidRPr="00BB11D1">
        <w:rPr>
          <w:rFonts w:asciiTheme="majorBidi" w:hAnsiTheme="majorBidi" w:cstheme="majorBidi"/>
        </w:rPr>
        <w:t>Tectum.</w:t>
      </w:r>
    </w:p>
    <w:p w:rsidR="00BB11D1" w:rsidRPr="00BB11D1" w:rsidRDefault="00BB11D1" w:rsidP="00BB11D1">
      <w:pPr>
        <w:pStyle w:val="BodyText"/>
        <w:numPr>
          <w:ilvl w:val="0"/>
          <w:numId w:val="17"/>
        </w:numPr>
        <w:spacing w:before="76" w:line="254" w:lineRule="auto"/>
        <w:ind w:right="768"/>
        <w:jc w:val="both"/>
        <w:rPr>
          <w:rFonts w:asciiTheme="majorBidi" w:hAnsiTheme="majorBidi" w:cstheme="majorBidi"/>
        </w:rPr>
      </w:pPr>
      <w:r w:rsidRPr="00BB11D1">
        <w:rPr>
          <w:rFonts w:asciiTheme="majorBidi" w:hAnsiTheme="majorBidi" w:cstheme="majorBidi"/>
          <w:w w:val="95"/>
        </w:rPr>
        <w:t>Meaning,</w:t>
      </w:r>
      <w:r w:rsidRPr="00BB11D1">
        <w:rPr>
          <w:rFonts w:asciiTheme="majorBidi" w:hAnsiTheme="majorBidi" w:cstheme="majorBidi"/>
          <w:spacing w:val="-19"/>
          <w:w w:val="95"/>
        </w:rPr>
        <w:t xml:space="preserve"> </w:t>
      </w:r>
      <w:r w:rsidRPr="00BB11D1">
        <w:rPr>
          <w:rFonts w:asciiTheme="majorBidi" w:hAnsiTheme="majorBidi" w:cstheme="majorBidi"/>
          <w:w w:val="95"/>
        </w:rPr>
        <w:t>J,</w:t>
      </w:r>
      <w:r w:rsidRPr="00BB11D1">
        <w:rPr>
          <w:rFonts w:asciiTheme="majorBidi" w:hAnsiTheme="majorBidi" w:cstheme="majorBidi"/>
          <w:spacing w:val="-19"/>
          <w:w w:val="95"/>
        </w:rPr>
        <w:t xml:space="preserve"> </w:t>
      </w:r>
      <w:r w:rsidRPr="00BB11D1">
        <w:rPr>
          <w:rFonts w:asciiTheme="majorBidi" w:hAnsiTheme="majorBidi" w:cstheme="majorBidi"/>
          <w:w w:val="95"/>
        </w:rPr>
        <w:t>J.</w:t>
      </w:r>
      <w:r w:rsidRPr="00BB11D1">
        <w:rPr>
          <w:rFonts w:asciiTheme="majorBidi" w:hAnsiTheme="majorBidi" w:cstheme="majorBidi"/>
          <w:spacing w:val="-19"/>
          <w:w w:val="95"/>
        </w:rPr>
        <w:t xml:space="preserve"> </w:t>
      </w:r>
      <w:r w:rsidRPr="00BB11D1">
        <w:rPr>
          <w:rFonts w:asciiTheme="majorBidi" w:hAnsiTheme="majorBidi" w:cstheme="majorBidi"/>
          <w:w w:val="95"/>
        </w:rPr>
        <w:t>Barker,</w:t>
      </w:r>
      <w:r w:rsidRPr="00BB11D1">
        <w:rPr>
          <w:rFonts w:asciiTheme="majorBidi" w:hAnsiTheme="majorBidi" w:cstheme="majorBidi"/>
          <w:spacing w:val="-20"/>
          <w:w w:val="95"/>
        </w:rPr>
        <w:t xml:space="preserve"> </w:t>
      </w:r>
      <w:r w:rsidRPr="00BB11D1">
        <w:rPr>
          <w:rFonts w:asciiTheme="majorBidi" w:hAnsiTheme="majorBidi" w:cstheme="majorBidi"/>
          <w:w w:val="95"/>
        </w:rPr>
        <w:t>E.</w:t>
      </w:r>
      <w:r w:rsidRPr="00BB11D1">
        <w:rPr>
          <w:rFonts w:asciiTheme="majorBidi" w:hAnsiTheme="majorBidi" w:cstheme="majorBidi"/>
          <w:spacing w:val="-19"/>
          <w:w w:val="95"/>
        </w:rPr>
        <w:t xml:space="preserve"> </w:t>
      </w:r>
      <w:r w:rsidRPr="00BB11D1">
        <w:rPr>
          <w:rFonts w:asciiTheme="majorBidi" w:hAnsiTheme="majorBidi" w:cstheme="majorBidi"/>
          <w:w w:val="95"/>
        </w:rPr>
        <w:t>Clayton</w:t>
      </w:r>
      <w:r w:rsidRPr="00BB11D1">
        <w:rPr>
          <w:rFonts w:asciiTheme="majorBidi" w:hAnsiTheme="majorBidi" w:cstheme="majorBidi"/>
          <w:spacing w:val="-20"/>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B.</w:t>
      </w:r>
      <w:r w:rsidRPr="00BB11D1">
        <w:rPr>
          <w:rFonts w:asciiTheme="majorBidi" w:hAnsiTheme="majorBidi" w:cstheme="majorBidi"/>
          <w:spacing w:val="-20"/>
          <w:w w:val="95"/>
        </w:rPr>
        <w:t xml:space="preserve"> </w:t>
      </w:r>
      <w:r w:rsidRPr="00BB11D1">
        <w:rPr>
          <w:rFonts w:asciiTheme="majorBidi" w:hAnsiTheme="majorBidi" w:cstheme="majorBidi"/>
          <w:w w:val="95"/>
        </w:rPr>
        <w:t>Dyson</w:t>
      </w:r>
      <w:r w:rsidRPr="00BB11D1">
        <w:rPr>
          <w:rFonts w:asciiTheme="majorBidi" w:hAnsiTheme="majorBidi" w:cstheme="majorBidi"/>
          <w:spacing w:val="-20"/>
          <w:w w:val="95"/>
        </w:rPr>
        <w:t xml:space="preserve"> </w:t>
      </w:r>
      <w:r w:rsidRPr="00BB11D1">
        <w:rPr>
          <w:rFonts w:asciiTheme="majorBidi" w:hAnsiTheme="majorBidi" w:cstheme="majorBidi"/>
          <w:w w:val="95"/>
        </w:rPr>
        <w:t>(2018);</w:t>
      </w:r>
      <w:r w:rsidRPr="00BB11D1">
        <w:rPr>
          <w:rFonts w:asciiTheme="majorBidi" w:hAnsiTheme="majorBidi" w:cstheme="majorBidi"/>
          <w:spacing w:val="-19"/>
          <w:w w:val="95"/>
        </w:rPr>
        <w:t xml:space="preserve"> </w:t>
      </w:r>
      <w:r w:rsidRPr="00BB11D1">
        <w:rPr>
          <w:rFonts w:asciiTheme="majorBidi" w:hAnsiTheme="majorBidi" w:cstheme="majorBidi"/>
          <w:w w:val="95"/>
        </w:rPr>
        <w:t>“Broadening</w:t>
      </w:r>
      <w:r w:rsidRPr="00BB11D1">
        <w:rPr>
          <w:rFonts w:asciiTheme="majorBidi" w:hAnsiTheme="majorBidi" w:cstheme="majorBidi"/>
          <w:spacing w:val="-20"/>
          <w:w w:val="95"/>
        </w:rPr>
        <w:t xml:space="preserve"> </w:t>
      </w:r>
      <w:r w:rsidRPr="00BB11D1">
        <w:rPr>
          <w:rFonts w:asciiTheme="majorBidi" w:hAnsiTheme="majorBidi" w:cstheme="majorBidi"/>
          <w:w w:val="95"/>
        </w:rPr>
        <w:t>narrow</w:t>
      </w:r>
      <w:r w:rsidRPr="00BB11D1">
        <w:rPr>
          <w:rFonts w:asciiTheme="majorBidi" w:hAnsiTheme="majorBidi" w:cstheme="majorBidi"/>
          <w:spacing w:val="-19"/>
          <w:w w:val="95"/>
        </w:rPr>
        <w:t xml:space="preserve"> </w:t>
      </w:r>
      <w:r w:rsidRPr="00BB11D1">
        <w:rPr>
          <w:rFonts w:asciiTheme="majorBidi" w:hAnsiTheme="majorBidi" w:cstheme="majorBidi"/>
          <w:w w:val="95"/>
        </w:rPr>
        <w:t>money:</w:t>
      </w:r>
      <w:r w:rsidRPr="00BB11D1">
        <w:rPr>
          <w:rFonts w:asciiTheme="majorBidi" w:hAnsiTheme="majorBidi" w:cstheme="majorBidi"/>
          <w:spacing w:val="-20"/>
          <w:w w:val="95"/>
        </w:rPr>
        <w:t xml:space="preserve"> </w:t>
      </w:r>
      <w:r w:rsidRPr="00BB11D1">
        <w:rPr>
          <w:rFonts w:asciiTheme="majorBidi" w:hAnsiTheme="majorBidi" w:cstheme="majorBidi"/>
          <w:w w:val="95"/>
        </w:rPr>
        <w:t>monetary</w:t>
      </w:r>
      <w:r w:rsidRPr="00BB11D1">
        <w:rPr>
          <w:rFonts w:asciiTheme="majorBidi" w:hAnsiTheme="majorBidi" w:cstheme="majorBidi"/>
          <w:spacing w:val="-20"/>
          <w:w w:val="95"/>
        </w:rPr>
        <w:t xml:space="preserve"> </w:t>
      </w:r>
      <w:r w:rsidRPr="00BB11D1">
        <w:rPr>
          <w:rFonts w:asciiTheme="majorBidi" w:hAnsiTheme="majorBidi" w:cstheme="majorBidi"/>
          <w:w w:val="95"/>
        </w:rPr>
        <w:t>policy</w:t>
      </w:r>
      <w:r w:rsidRPr="00BB11D1">
        <w:rPr>
          <w:rFonts w:asciiTheme="majorBidi" w:hAnsiTheme="majorBidi" w:cstheme="majorBidi"/>
          <w:spacing w:val="-20"/>
          <w:w w:val="95"/>
        </w:rPr>
        <w:t xml:space="preserve"> </w:t>
      </w:r>
      <w:r w:rsidRPr="00BB11D1">
        <w:rPr>
          <w:rFonts w:asciiTheme="majorBidi" w:hAnsiTheme="majorBidi" w:cstheme="majorBidi"/>
          <w:w w:val="95"/>
        </w:rPr>
        <w:t xml:space="preserve">with </w:t>
      </w:r>
      <w:r w:rsidRPr="00BB11D1">
        <w:rPr>
          <w:rFonts w:asciiTheme="majorBidi" w:hAnsiTheme="majorBidi" w:cstheme="majorBidi"/>
        </w:rPr>
        <w:t>a</w:t>
      </w:r>
      <w:r w:rsidRPr="00BB11D1">
        <w:rPr>
          <w:rFonts w:asciiTheme="majorBidi" w:hAnsiTheme="majorBidi" w:cstheme="majorBidi"/>
          <w:spacing w:val="-21"/>
        </w:rPr>
        <w:t xml:space="preserve"> </w:t>
      </w:r>
      <w:r w:rsidRPr="00BB11D1">
        <w:rPr>
          <w:rFonts w:asciiTheme="majorBidi" w:hAnsiTheme="majorBidi" w:cstheme="majorBidi"/>
        </w:rPr>
        <w:t>central</w:t>
      </w:r>
      <w:r w:rsidRPr="00BB11D1">
        <w:rPr>
          <w:rFonts w:asciiTheme="majorBidi" w:hAnsiTheme="majorBidi" w:cstheme="majorBidi"/>
          <w:spacing w:val="-20"/>
        </w:rPr>
        <w:t xml:space="preserve"> </w:t>
      </w:r>
      <w:r w:rsidRPr="00BB11D1">
        <w:rPr>
          <w:rFonts w:asciiTheme="majorBidi" w:hAnsiTheme="majorBidi" w:cstheme="majorBidi"/>
        </w:rPr>
        <w:t>bank</w:t>
      </w:r>
      <w:r w:rsidRPr="00BB11D1">
        <w:rPr>
          <w:rFonts w:asciiTheme="majorBidi" w:hAnsiTheme="majorBidi" w:cstheme="majorBidi"/>
          <w:spacing w:val="-20"/>
        </w:rPr>
        <w:t xml:space="preserve"> </w:t>
      </w:r>
      <w:r w:rsidRPr="00BB11D1">
        <w:rPr>
          <w:rFonts w:asciiTheme="majorBidi" w:hAnsiTheme="majorBidi" w:cstheme="majorBidi"/>
        </w:rPr>
        <w:t>digital</w:t>
      </w:r>
      <w:r w:rsidRPr="00BB11D1">
        <w:rPr>
          <w:rFonts w:asciiTheme="majorBidi" w:hAnsiTheme="majorBidi" w:cstheme="majorBidi"/>
          <w:spacing w:val="-20"/>
        </w:rPr>
        <w:t xml:space="preserve"> </w:t>
      </w:r>
      <w:r w:rsidRPr="00BB11D1">
        <w:rPr>
          <w:rFonts w:asciiTheme="majorBidi" w:hAnsiTheme="majorBidi" w:cstheme="majorBidi"/>
        </w:rPr>
        <w:t>currency”,</w:t>
      </w:r>
      <w:r w:rsidRPr="00BB11D1">
        <w:rPr>
          <w:rFonts w:asciiTheme="majorBidi" w:hAnsiTheme="majorBidi" w:cstheme="majorBidi"/>
          <w:spacing w:val="-23"/>
        </w:rPr>
        <w:t xml:space="preserve"> </w:t>
      </w:r>
      <w:r w:rsidRPr="00BB11D1">
        <w:rPr>
          <w:rFonts w:asciiTheme="majorBidi" w:hAnsiTheme="majorBidi" w:cstheme="majorBidi"/>
        </w:rPr>
        <w:t>Bank</w:t>
      </w:r>
      <w:r w:rsidRPr="00BB11D1">
        <w:rPr>
          <w:rFonts w:asciiTheme="majorBidi" w:hAnsiTheme="majorBidi" w:cstheme="majorBidi"/>
          <w:spacing w:val="-21"/>
        </w:rPr>
        <w:t xml:space="preserve"> </w:t>
      </w:r>
      <w:r w:rsidRPr="00BB11D1">
        <w:rPr>
          <w:rFonts w:asciiTheme="majorBidi" w:hAnsiTheme="majorBidi" w:cstheme="majorBidi"/>
        </w:rPr>
        <w:t>of</w:t>
      </w:r>
      <w:r w:rsidRPr="00BB11D1">
        <w:rPr>
          <w:rFonts w:asciiTheme="majorBidi" w:hAnsiTheme="majorBidi" w:cstheme="majorBidi"/>
          <w:spacing w:val="-21"/>
        </w:rPr>
        <w:t xml:space="preserve"> </w:t>
      </w:r>
      <w:r w:rsidRPr="00BB11D1">
        <w:rPr>
          <w:rFonts w:asciiTheme="majorBidi" w:hAnsiTheme="majorBidi" w:cstheme="majorBidi"/>
        </w:rPr>
        <w:t>England</w:t>
      </w:r>
      <w:r w:rsidRPr="00BB11D1">
        <w:rPr>
          <w:rFonts w:asciiTheme="majorBidi" w:hAnsiTheme="majorBidi" w:cstheme="majorBidi"/>
          <w:spacing w:val="-21"/>
        </w:rPr>
        <w:t xml:space="preserve"> </w:t>
      </w:r>
      <w:r w:rsidRPr="00BB11D1">
        <w:rPr>
          <w:rFonts w:asciiTheme="majorBidi" w:hAnsiTheme="majorBidi" w:cstheme="majorBidi"/>
        </w:rPr>
        <w:t>Staff</w:t>
      </w:r>
      <w:r w:rsidRPr="00BB11D1">
        <w:rPr>
          <w:rFonts w:asciiTheme="majorBidi" w:hAnsiTheme="majorBidi" w:cstheme="majorBidi"/>
          <w:spacing w:val="-25"/>
        </w:rPr>
        <w:t xml:space="preserve"> </w:t>
      </w:r>
      <w:r w:rsidRPr="00BB11D1">
        <w:rPr>
          <w:rFonts w:asciiTheme="majorBidi" w:hAnsiTheme="majorBidi" w:cstheme="majorBidi"/>
        </w:rPr>
        <w:t>Working</w:t>
      </w:r>
      <w:r w:rsidRPr="00BB11D1">
        <w:rPr>
          <w:rFonts w:asciiTheme="majorBidi" w:hAnsiTheme="majorBidi" w:cstheme="majorBidi"/>
          <w:spacing w:val="-22"/>
        </w:rPr>
        <w:t xml:space="preserve"> </w:t>
      </w:r>
      <w:r w:rsidRPr="00BB11D1">
        <w:rPr>
          <w:rFonts w:asciiTheme="majorBidi" w:hAnsiTheme="majorBidi" w:cstheme="majorBidi"/>
        </w:rPr>
        <w:t>Paper</w:t>
      </w:r>
      <w:r w:rsidRPr="00BB11D1">
        <w:rPr>
          <w:rFonts w:asciiTheme="majorBidi" w:hAnsiTheme="majorBidi" w:cstheme="majorBidi"/>
          <w:spacing w:val="-23"/>
        </w:rPr>
        <w:t xml:space="preserve"> </w:t>
      </w:r>
      <w:r w:rsidRPr="00BB11D1">
        <w:rPr>
          <w:rFonts w:asciiTheme="majorBidi" w:hAnsiTheme="majorBidi" w:cstheme="majorBidi"/>
        </w:rPr>
        <w:t>No.</w:t>
      </w:r>
      <w:r w:rsidRPr="00BB11D1">
        <w:rPr>
          <w:rFonts w:asciiTheme="majorBidi" w:hAnsiTheme="majorBidi" w:cstheme="majorBidi"/>
          <w:spacing w:val="-22"/>
        </w:rPr>
        <w:t xml:space="preserve"> </w:t>
      </w:r>
      <w:r w:rsidRPr="00BB11D1">
        <w:rPr>
          <w:rFonts w:asciiTheme="majorBidi" w:hAnsiTheme="majorBidi" w:cstheme="majorBidi"/>
        </w:rPr>
        <w:t>724.</w:t>
      </w:r>
    </w:p>
    <w:p w:rsidR="00BB11D1" w:rsidRPr="00BB11D1" w:rsidRDefault="00BB11D1" w:rsidP="00BB11D1">
      <w:pPr>
        <w:pStyle w:val="BodyText"/>
        <w:numPr>
          <w:ilvl w:val="0"/>
          <w:numId w:val="17"/>
        </w:numPr>
        <w:spacing w:before="61" w:line="254" w:lineRule="auto"/>
        <w:ind w:right="767"/>
        <w:jc w:val="both"/>
        <w:rPr>
          <w:rFonts w:asciiTheme="majorBidi" w:hAnsiTheme="majorBidi" w:cstheme="majorBidi"/>
        </w:rPr>
      </w:pPr>
      <w:r w:rsidRPr="00BB11D1">
        <w:rPr>
          <w:rFonts w:asciiTheme="majorBidi" w:hAnsiTheme="majorBidi" w:cstheme="majorBidi"/>
          <w:w w:val="95"/>
        </w:rPr>
        <w:t>Mersch,</w:t>
      </w:r>
      <w:r w:rsidRPr="00BB11D1">
        <w:rPr>
          <w:rFonts w:asciiTheme="majorBidi" w:hAnsiTheme="majorBidi" w:cstheme="majorBidi"/>
          <w:spacing w:val="-21"/>
          <w:w w:val="95"/>
        </w:rPr>
        <w:t xml:space="preserve"> </w:t>
      </w:r>
      <w:r w:rsidRPr="00BB11D1">
        <w:rPr>
          <w:rFonts w:asciiTheme="majorBidi" w:hAnsiTheme="majorBidi" w:cstheme="majorBidi"/>
          <w:w w:val="95"/>
        </w:rPr>
        <w:t>Y.</w:t>
      </w:r>
      <w:r w:rsidRPr="00BB11D1">
        <w:rPr>
          <w:rFonts w:asciiTheme="majorBidi" w:hAnsiTheme="majorBidi" w:cstheme="majorBidi"/>
          <w:spacing w:val="-20"/>
          <w:w w:val="95"/>
        </w:rPr>
        <w:t xml:space="preserve"> </w:t>
      </w:r>
      <w:r w:rsidRPr="00BB11D1">
        <w:rPr>
          <w:rFonts w:asciiTheme="majorBidi" w:hAnsiTheme="majorBidi" w:cstheme="majorBidi"/>
          <w:w w:val="95"/>
        </w:rPr>
        <w:t>(2017),</w:t>
      </w:r>
      <w:r w:rsidRPr="00BB11D1">
        <w:rPr>
          <w:rFonts w:asciiTheme="majorBidi" w:hAnsiTheme="majorBidi" w:cstheme="majorBidi"/>
          <w:spacing w:val="-20"/>
          <w:w w:val="95"/>
        </w:rPr>
        <w:t xml:space="preserve"> </w:t>
      </w:r>
      <w:r w:rsidRPr="00BB11D1">
        <w:rPr>
          <w:rFonts w:asciiTheme="majorBidi" w:hAnsiTheme="majorBidi" w:cstheme="majorBidi"/>
          <w:w w:val="95"/>
        </w:rPr>
        <w:t>“Digital</w:t>
      </w:r>
      <w:r w:rsidRPr="00BB11D1">
        <w:rPr>
          <w:rFonts w:asciiTheme="majorBidi" w:hAnsiTheme="majorBidi" w:cstheme="majorBidi"/>
          <w:spacing w:val="-21"/>
          <w:w w:val="95"/>
        </w:rPr>
        <w:t xml:space="preserve"> </w:t>
      </w:r>
      <w:r w:rsidRPr="00BB11D1">
        <w:rPr>
          <w:rFonts w:asciiTheme="majorBidi" w:hAnsiTheme="majorBidi" w:cstheme="majorBidi"/>
          <w:w w:val="95"/>
        </w:rPr>
        <w:t>base</w:t>
      </w:r>
      <w:r w:rsidRPr="00BB11D1">
        <w:rPr>
          <w:rFonts w:asciiTheme="majorBidi" w:hAnsiTheme="majorBidi" w:cstheme="majorBidi"/>
          <w:spacing w:val="-20"/>
          <w:w w:val="95"/>
        </w:rPr>
        <w:t xml:space="preserve"> </w:t>
      </w:r>
      <w:r w:rsidRPr="00BB11D1">
        <w:rPr>
          <w:rFonts w:asciiTheme="majorBidi" w:hAnsiTheme="majorBidi" w:cstheme="majorBidi"/>
          <w:w w:val="95"/>
        </w:rPr>
        <w:t>money:</w:t>
      </w:r>
      <w:r w:rsidRPr="00BB11D1">
        <w:rPr>
          <w:rFonts w:asciiTheme="majorBidi" w:hAnsiTheme="majorBidi" w:cstheme="majorBidi"/>
          <w:spacing w:val="-20"/>
          <w:w w:val="95"/>
        </w:rPr>
        <w:t xml:space="preserve"> </w:t>
      </w:r>
      <w:r w:rsidRPr="00BB11D1">
        <w:rPr>
          <w:rFonts w:asciiTheme="majorBidi" w:hAnsiTheme="majorBidi" w:cstheme="majorBidi"/>
          <w:w w:val="95"/>
        </w:rPr>
        <w:t>An</w:t>
      </w:r>
      <w:r w:rsidRPr="00BB11D1">
        <w:rPr>
          <w:rFonts w:asciiTheme="majorBidi" w:hAnsiTheme="majorBidi" w:cstheme="majorBidi"/>
          <w:spacing w:val="-19"/>
          <w:w w:val="95"/>
        </w:rPr>
        <w:t xml:space="preserve"> </w:t>
      </w:r>
      <w:r w:rsidRPr="00BB11D1">
        <w:rPr>
          <w:rFonts w:asciiTheme="majorBidi" w:hAnsiTheme="majorBidi" w:cstheme="majorBidi"/>
          <w:w w:val="95"/>
        </w:rPr>
        <w:t>assessment</w:t>
      </w:r>
      <w:r w:rsidRPr="00BB11D1">
        <w:rPr>
          <w:rFonts w:asciiTheme="majorBidi" w:hAnsiTheme="majorBidi" w:cstheme="majorBidi"/>
          <w:spacing w:val="-19"/>
          <w:w w:val="95"/>
        </w:rPr>
        <w:t xml:space="preserve"> </w:t>
      </w:r>
      <w:r w:rsidRPr="00BB11D1">
        <w:rPr>
          <w:rFonts w:asciiTheme="majorBidi" w:hAnsiTheme="majorBidi" w:cstheme="majorBidi"/>
          <w:w w:val="95"/>
        </w:rPr>
        <w:t>from</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19"/>
          <w:w w:val="95"/>
        </w:rPr>
        <w:t xml:space="preserve"> </w:t>
      </w:r>
      <w:r w:rsidRPr="00BB11D1">
        <w:rPr>
          <w:rFonts w:asciiTheme="majorBidi" w:hAnsiTheme="majorBidi" w:cstheme="majorBidi"/>
          <w:w w:val="95"/>
        </w:rPr>
        <w:t>ECB</w:t>
      </w:r>
      <w:r w:rsidRPr="00BB11D1">
        <w:rPr>
          <w:rFonts w:asciiTheme="majorBidi" w:hAnsiTheme="majorBidi" w:cstheme="majorBidi"/>
          <w:spacing w:val="-19"/>
          <w:w w:val="95"/>
        </w:rPr>
        <w:t xml:space="preserve"> </w:t>
      </w:r>
      <w:r w:rsidRPr="00BB11D1">
        <w:rPr>
          <w:rFonts w:asciiTheme="majorBidi" w:hAnsiTheme="majorBidi" w:cstheme="majorBidi"/>
          <w:w w:val="95"/>
        </w:rPr>
        <w:t>perspective”,</w:t>
      </w:r>
      <w:r w:rsidRPr="00BB11D1">
        <w:rPr>
          <w:rFonts w:asciiTheme="majorBidi" w:hAnsiTheme="majorBidi" w:cstheme="majorBidi"/>
          <w:spacing w:val="-19"/>
          <w:w w:val="95"/>
        </w:rPr>
        <w:t xml:space="preserve"> </w:t>
      </w:r>
      <w:r w:rsidRPr="00BB11D1">
        <w:rPr>
          <w:rFonts w:asciiTheme="majorBidi" w:hAnsiTheme="majorBidi" w:cstheme="majorBidi"/>
          <w:w w:val="95"/>
        </w:rPr>
        <w:t>speech,</w:t>
      </w:r>
      <w:r w:rsidRPr="00BB11D1">
        <w:rPr>
          <w:rFonts w:asciiTheme="majorBidi" w:hAnsiTheme="majorBidi" w:cstheme="majorBidi"/>
          <w:spacing w:val="-19"/>
          <w:w w:val="95"/>
        </w:rPr>
        <w:t xml:space="preserve"> </w:t>
      </w:r>
      <w:r w:rsidRPr="00BB11D1">
        <w:rPr>
          <w:rFonts w:asciiTheme="majorBidi" w:hAnsiTheme="majorBidi" w:cstheme="majorBidi"/>
          <w:w w:val="95"/>
        </w:rPr>
        <w:t>Helsinki,</w:t>
      </w:r>
      <w:r w:rsidRPr="00BB11D1">
        <w:rPr>
          <w:rFonts w:asciiTheme="majorBidi" w:hAnsiTheme="majorBidi" w:cstheme="majorBidi"/>
          <w:spacing w:val="-21"/>
          <w:w w:val="95"/>
        </w:rPr>
        <w:t xml:space="preserve"> </w:t>
      </w:r>
      <w:r w:rsidRPr="00BB11D1">
        <w:rPr>
          <w:rFonts w:asciiTheme="majorBidi" w:hAnsiTheme="majorBidi" w:cstheme="majorBidi"/>
          <w:w w:val="95"/>
        </w:rPr>
        <w:t xml:space="preserve">16 </w:t>
      </w:r>
      <w:r w:rsidRPr="00BB11D1">
        <w:rPr>
          <w:rFonts w:asciiTheme="majorBidi" w:hAnsiTheme="majorBidi" w:cstheme="majorBidi"/>
        </w:rPr>
        <w:t>January</w:t>
      </w:r>
      <w:r w:rsidRPr="00BB11D1">
        <w:rPr>
          <w:rFonts w:asciiTheme="majorBidi" w:hAnsiTheme="majorBidi" w:cstheme="majorBidi"/>
          <w:spacing w:val="-11"/>
        </w:rPr>
        <w:t xml:space="preserve"> </w:t>
      </w:r>
      <w:r w:rsidRPr="00BB11D1">
        <w:rPr>
          <w:rFonts w:asciiTheme="majorBidi" w:hAnsiTheme="majorBidi" w:cstheme="majorBidi"/>
        </w:rPr>
        <w:t>2017.</w:t>
      </w:r>
    </w:p>
    <w:p w:rsidR="00BB11D1" w:rsidRPr="00BB11D1" w:rsidRDefault="00BB11D1" w:rsidP="00BB11D1">
      <w:pPr>
        <w:pStyle w:val="BodyText"/>
        <w:numPr>
          <w:ilvl w:val="0"/>
          <w:numId w:val="17"/>
        </w:numPr>
        <w:spacing w:before="59" w:line="254" w:lineRule="auto"/>
        <w:ind w:right="767"/>
        <w:jc w:val="both"/>
        <w:rPr>
          <w:rFonts w:asciiTheme="majorBidi" w:hAnsiTheme="majorBidi" w:cstheme="majorBidi"/>
        </w:rPr>
      </w:pPr>
      <w:r w:rsidRPr="00BB11D1">
        <w:rPr>
          <w:rFonts w:asciiTheme="majorBidi" w:hAnsiTheme="majorBidi" w:cstheme="majorBidi"/>
        </w:rPr>
        <w:t>Mersch,</w:t>
      </w:r>
      <w:r w:rsidRPr="00BB11D1">
        <w:rPr>
          <w:rFonts w:asciiTheme="majorBidi" w:hAnsiTheme="majorBidi" w:cstheme="majorBidi"/>
          <w:spacing w:val="-7"/>
        </w:rPr>
        <w:t xml:space="preserve"> </w:t>
      </w:r>
      <w:r w:rsidRPr="00BB11D1">
        <w:rPr>
          <w:rFonts w:asciiTheme="majorBidi" w:hAnsiTheme="majorBidi" w:cstheme="majorBidi"/>
        </w:rPr>
        <w:t>Y.</w:t>
      </w:r>
      <w:r w:rsidRPr="00BB11D1">
        <w:rPr>
          <w:rFonts w:asciiTheme="majorBidi" w:hAnsiTheme="majorBidi" w:cstheme="majorBidi"/>
          <w:spacing w:val="-7"/>
        </w:rPr>
        <w:t xml:space="preserve"> </w:t>
      </w:r>
      <w:r w:rsidRPr="00BB11D1">
        <w:rPr>
          <w:rFonts w:asciiTheme="majorBidi" w:hAnsiTheme="majorBidi" w:cstheme="majorBidi"/>
        </w:rPr>
        <w:t>(2018),</w:t>
      </w:r>
      <w:r w:rsidRPr="00BB11D1">
        <w:rPr>
          <w:rFonts w:asciiTheme="majorBidi" w:hAnsiTheme="majorBidi" w:cstheme="majorBidi"/>
          <w:spacing w:val="-7"/>
        </w:rPr>
        <w:t xml:space="preserve"> </w:t>
      </w:r>
      <w:r w:rsidRPr="00BB11D1">
        <w:rPr>
          <w:rFonts w:asciiTheme="majorBidi" w:hAnsiTheme="majorBidi" w:cstheme="majorBidi"/>
        </w:rPr>
        <w:t>“Virtual</w:t>
      </w:r>
      <w:r w:rsidRPr="00BB11D1">
        <w:rPr>
          <w:rFonts w:asciiTheme="majorBidi" w:hAnsiTheme="majorBidi" w:cstheme="majorBidi"/>
          <w:spacing w:val="-6"/>
        </w:rPr>
        <w:t xml:space="preserve"> </w:t>
      </w:r>
      <w:r w:rsidRPr="00BB11D1">
        <w:rPr>
          <w:rFonts w:asciiTheme="majorBidi" w:hAnsiTheme="majorBidi" w:cstheme="majorBidi"/>
        </w:rPr>
        <w:t>or</w:t>
      </w:r>
      <w:r w:rsidRPr="00BB11D1">
        <w:rPr>
          <w:rFonts w:asciiTheme="majorBidi" w:hAnsiTheme="majorBidi" w:cstheme="majorBidi"/>
          <w:spacing w:val="-6"/>
        </w:rPr>
        <w:t xml:space="preserve"> </w:t>
      </w:r>
      <w:r w:rsidRPr="00BB11D1">
        <w:rPr>
          <w:rFonts w:asciiTheme="majorBidi" w:hAnsiTheme="majorBidi" w:cstheme="majorBidi"/>
        </w:rPr>
        <w:t>virtueless?</w:t>
      </w:r>
      <w:r w:rsidRPr="00BB11D1">
        <w:rPr>
          <w:rFonts w:asciiTheme="majorBidi" w:hAnsiTheme="majorBidi" w:cstheme="majorBidi"/>
          <w:spacing w:val="-6"/>
        </w:rPr>
        <w:t xml:space="preserve"> </w:t>
      </w:r>
      <w:r w:rsidRPr="00BB11D1">
        <w:rPr>
          <w:rFonts w:asciiTheme="majorBidi" w:hAnsiTheme="majorBidi" w:cstheme="majorBidi"/>
        </w:rPr>
        <w:t>The</w:t>
      </w:r>
      <w:r w:rsidRPr="00BB11D1">
        <w:rPr>
          <w:rFonts w:asciiTheme="majorBidi" w:hAnsiTheme="majorBidi" w:cstheme="majorBidi"/>
          <w:spacing w:val="-6"/>
        </w:rPr>
        <w:t xml:space="preserve"> </w:t>
      </w:r>
      <w:r w:rsidRPr="00BB11D1">
        <w:rPr>
          <w:rFonts w:asciiTheme="majorBidi" w:hAnsiTheme="majorBidi" w:cstheme="majorBidi"/>
        </w:rPr>
        <w:t>evolution</w:t>
      </w:r>
      <w:r w:rsidRPr="00BB11D1">
        <w:rPr>
          <w:rFonts w:asciiTheme="majorBidi" w:hAnsiTheme="majorBidi" w:cstheme="majorBidi"/>
          <w:spacing w:val="-8"/>
        </w:rPr>
        <w:t xml:space="preserve"> </w:t>
      </w:r>
      <w:r w:rsidRPr="00BB11D1">
        <w:rPr>
          <w:rFonts w:asciiTheme="majorBidi" w:hAnsiTheme="majorBidi" w:cstheme="majorBidi"/>
        </w:rPr>
        <w:t>of</w:t>
      </w:r>
      <w:r w:rsidRPr="00BB11D1">
        <w:rPr>
          <w:rFonts w:asciiTheme="majorBidi" w:hAnsiTheme="majorBidi" w:cstheme="majorBidi"/>
          <w:spacing w:val="-6"/>
        </w:rPr>
        <w:t xml:space="preserve"> </w:t>
      </w:r>
      <w:r w:rsidRPr="00BB11D1">
        <w:rPr>
          <w:rFonts w:asciiTheme="majorBidi" w:hAnsiTheme="majorBidi" w:cstheme="majorBidi"/>
        </w:rPr>
        <w:t>money</w:t>
      </w:r>
      <w:r w:rsidRPr="00BB11D1">
        <w:rPr>
          <w:rFonts w:asciiTheme="majorBidi" w:hAnsiTheme="majorBidi" w:cstheme="majorBidi"/>
          <w:spacing w:val="-5"/>
        </w:rPr>
        <w:t xml:space="preserve"> </w:t>
      </w:r>
      <w:r w:rsidRPr="00BB11D1">
        <w:rPr>
          <w:rFonts w:asciiTheme="majorBidi" w:hAnsiTheme="majorBidi" w:cstheme="majorBidi"/>
        </w:rPr>
        <w:t>in</w:t>
      </w:r>
      <w:r w:rsidRPr="00BB11D1">
        <w:rPr>
          <w:rFonts w:asciiTheme="majorBidi" w:hAnsiTheme="majorBidi" w:cstheme="majorBidi"/>
          <w:spacing w:val="-7"/>
        </w:rPr>
        <w:t xml:space="preserve"> </w:t>
      </w:r>
      <w:r w:rsidRPr="00BB11D1">
        <w:rPr>
          <w:rFonts w:asciiTheme="majorBidi" w:hAnsiTheme="majorBidi" w:cstheme="majorBidi"/>
        </w:rPr>
        <w:t>the</w:t>
      </w:r>
      <w:r w:rsidRPr="00BB11D1">
        <w:rPr>
          <w:rFonts w:asciiTheme="majorBidi" w:hAnsiTheme="majorBidi" w:cstheme="majorBidi"/>
          <w:spacing w:val="-6"/>
        </w:rPr>
        <w:t xml:space="preserve"> </w:t>
      </w:r>
      <w:r w:rsidRPr="00BB11D1">
        <w:rPr>
          <w:rFonts w:asciiTheme="majorBidi" w:hAnsiTheme="majorBidi" w:cstheme="majorBidi"/>
        </w:rPr>
        <w:t>digital</w:t>
      </w:r>
      <w:r w:rsidRPr="00BB11D1">
        <w:rPr>
          <w:rFonts w:asciiTheme="majorBidi" w:hAnsiTheme="majorBidi" w:cstheme="majorBidi"/>
          <w:spacing w:val="-5"/>
        </w:rPr>
        <w:t xml:space="preserve"> </w:t>
      </w:r>
      <w:r w:rsidRPr="00BB11D1">
        <w:rPr>
          <w:rFonts w:asciiTheme="majorBidi" w:hAnsiTheme="majorBidi" w:cstheme="majorBidi"/>
        </w:rPr>
        <w:t>age”,</w:t>
      </w:r>
      <w:r w:rsidRPr="00BB11D1">
        <w:rPr>
          <w:rFonts w:asciiTheme="majorBidi" w:hAnsiTheme="majorBidi" w:cstheme="majorBidi"/>
          <w:spacing w:val="-7"/>
        </w:rPr>
        <w:t xml:space="preserve"> </w:t>
      </w:r>
      <w:r w:rsidRPr="00BB11D1">
        <w:rPr>
          <w:rFonts w:asciiTheme="majorBidi" w:hAnsiTheme="majorBidi" w:cstheme="majorBidi"/>
        </w:rPr>
        <w:t>Lecture</w:t>
      </w:r>
      <w:r w:rsidRPr="00BB11D1">
        <w:rPr>
          <w:rFonts w:asciiTheme="majorBidi" w:hAnsiTheme="majorBidi" w:cstheme="majorBidi"/>
          <w:spacing w:val="-6"/>
        </w:rPr>
        <w:t xml:space="preserve"> </w:t>
      </w:r>
      <w:r w:rsidRPr="00BB11D1">
        <w:rPr>
          <w:rFonts w:asciiTheme="majorBidi" w:hAnsiTheme="majorBidi" w:cstheme="majorBidi"/>
        </w:rPr>
        <w:t>at</w:t>
      </w:r>
      <w:r w:rsidRPr="00BB11D1">
        <w:rPr>
          <w:rFonts w:asciiTheme="majorBidi" w:hAnsiTheme="majorBidi" w:cstheme="majorBidi"/>
          <w:spacing w:val="-6"/>
        </w:rPr>
        <w:t xml:space="preserve"> </w:t>
      </w:r>
      <w:r w:rsidRPr="00BB11D1">
        <w:rPr>
          <w:rFonts w:asciiTheme="majorBidi" w:hAnsiTheme="majorBidi" w:cstheme="majorBidi"/>
        </w:rPr>
        <w:t>the Official</w:t>
      </w:r>
      <w:r w:rsidRPr="00BB11D1">
        <w:rPr>
          <w:rFonts w:asciiTheme="majorBidi" w:hAnsiTheme="majorBidi" w:cstheme="majorBidi"/>
          <w:spacing w:val="-21"/>
        </w:rPr>
        <w:t xml:space="preserve"> </w:t>
      </w:r>
      <w:r w:rsidRPr="00BB11D1">
        <w:rPr>
          <w:rFonts w:asciiTheme="majorBidi" w:hAnsiTheme="majorBidi" w:cstheme="majorBidi"/>
        </w:rPr>
        <w:t>Monetary</w:t>
      </w:r>
      <w:r w:rsidRPr="00BB11D1">
        <w:rPr>
          <w:rFonts w:asciiTheme="majorBidi" w:hAnsiTheme="majorBidi" w:cstheme="majorBidi"/>
          <w:spacing w:val="-21"/>
        </w:rPr>
        <w:t xml:space="preserve"> </w:t>
      </w:r>
      <w:r w:rsidRPr="00BB11D1">
        <w:rPr>
          <w:rFonts w:asciiTheme="majorBidi" w:hAnsiTheme="majorBidi" w:cstheme="majorBidi"/>
        </w:rPr>
        <w:t>and</w:t>
      </w:r>
      <w:r w:rsidRPr="00BB11D1">
        <w:rPr>
          <w:rFonts w:asciiTheme="majorBidi" w:hAnsiTheme="majorBidi" w:cstheme="majorBidi"/>
          <w:spacing w:val="-21"/>
        </w:rPr>
        <w:t xml:space="preserve"> </w:t>
      </w:r>
      <w:r w:rsidRPr="00BB11D1">
        <w:rPr>
          <w:rFonts w:asciiTheme="majorBidi" w:hAnsiTheme="majorBidi" w:cstheme="majorBidi"/>
        </w:rPr>
        <w:t>Financial</w:t>
      </w:r>
      <w:r w:rsidRPr="00BB11D1">
        <w:rPr>
          <w:rFonts w:asciiTheme="majorBidi" w:hAnsiTheme="majorBidi" w:cstheme="majorBidi"/>
          <w:spacing w:val="-21"/>
        </w:rPr>
        <w:t xml:space="preserve"> </w:t>
      </w:r>
      <w:r w:rsidRPr="00BB11D1">
        <w:rPr>
          <w:rFonts w:asciiTheme="majorBidi" w:hAnsiTheme="majorBidi" w:cstheme="majorBidi"/>
        </w:rPr>
        <w:t>Institutions</w:t>
      </w:r>
      <w:r w:rsidRPr="00BB11D1">
        <w:rPr>
          <w:rFonts w:asciiTheme="majorBidi" w:hAnsiTheme="majorBidi" w:cstheme="majorBidi"/>
          <w:spacing w:val="-19"/>
        </w:rPr>
        <w:t xml:space="preserve"> </w:t>
      </w:r>
      <w:r w:rsidRPr="00BB11D1">
        <w:rPr>
          <w:rFonts w:asciiTheme="majorBidi" w:hAnsiTheme="majorBidi" w:cstheme="majorBidi"/>
        </w:rPr>
        <w:t>Forum,</w:t>
      </w:r>
      <w:r w:rsidRPr="00BB11D1">
        <w:rPr>
          <w:rFonts w:asciiTheme="majorBidi" w:hAnsiTheme="majorBidi" w:cstheme="majorBidi"/>
          <w:spacing w:val="-23"/>
        </w:rPr>
        <w:t xml:space="preserve"> </w:t>
      </w:r>
      <w:r w:rsidRPr="00BB11D1">
        <w:rPr>
          <w:rFonts w:asciiTheme="majorBidi" w:hAnsiTheme="majorBidi" w:cstheme="majorBidi"/>
        </w:rPr>
        <w:t>London,</w:t>
      </w:r>
      <w:r w:rsidRPr="00BB11D1">
        <w:rPr>
          <w:rFonts w:asciiTheme="majorBidi" w:hAnsiTheme="majorBidi" w:cstheme="majorBidi"/>
          <w:spacing w:val="-19"/>
        </w:rPr>
        <w:t xml:space="preserve"> </w:t>
      </w:r>
      <w:r w:rsidRPr="00BB11D1">
        <w:rPr>
          <w:rFonts w:asciiTheme="majorBidi" w:hAnsiTheme="majorBidi" w:cstheme="majorBidi"/>
        </w:rPr>
        <w:t>8</w:t>
      </w:r>
      <w:r w:rsidRPr="00BB11D1">
        <w:rPr>
          <w:rFonts w:asciiTheme="majorBidi" w:hAnsiTheme="majorBidi" w:cstheme="majorBidi"/>
          <w:spacing w:val="-19"/>
        </w:rPr>
        <w:t xml:space="preserve"> </w:t>
      </w:r>
      <w:r w:rsidRPr="00BB11D1">
        <w:rPr>
          <w:rFonts w:asciiTheme="majorBidi" w:hAnsiTheme="majorBidi" w:cstheme="majorBidi"/>
        </w:rPr>
        <w:t>February</w:t>
      </w:r>
      <w:r w:rsidRPr="00BB11D1">
        <w:rPr>
          <w:rFonts w:asciiTheme="majorBidi" w:hAnsiTheme="majorBidi" w:cstheme="majorBidi"/>
          <w:spacing w:val="-22"/>
        </w:rPr>
        <w:t xml:space="preserve"> </w:t>
      </w:r>
      <w:r w:rsidRPr="00BB11D1">
        <w:rPr>
          <w:rFonts w:asciiTheme="majorBidi" w:hAnsiTheme="majorBidi" w:cstheme="majorBidi"/>
        </w:rPr>
        <w:t>2018.</w:t>
      </w:r>
    </w:p>
    <w:p w:rsidR="00BB11D1" w:rsidRPr="00BB11D1" w:rsidRDefault="00BB11D1" w:rsidP="00BB11D1">
      <w:pPr>
        <w:pStyle w:val="ListParagraph"/>
        <w:numPr>
          <w:ilvl w:val="0"/>
          <w:numId w:val="17"/>
        </w:numPr>
        <w:spacing w:before="61" w:line="254" w:lineRule="auto"/>
        <w:ind w:right="769"/>
        <w:rPr>
          <w:rFonts w:asciiTheme="majorBidi" w:hAnsiTheme="majorBidi" w:cstheme="majorBidi"/>
        </w:rPr>
      </w:pPr>
      <w:r w:rsidRPr="00BB11D1">
        <w:rPr>
          <w:rFonts w:asciiTheme="majorBidi" w:hAnsiTheme="majorBidi" w:cstheme="majorBidi"/>
        </w:rPr>
        <w:t>Moore,</w:t>
      </w:r>
      <w:r w:rsidRPr="00BB11D1">
        <w:rPr>
          <w:rFonts w:asciiTheme="majorBidi" w:hAnsiTheme="majorBidi" w:cstheme="majorBidi"/>
          <w:spacing w:val="-27"/>
        </w:rPr>
        <w:t xml:space="preserve"> </w:t>
      </w:r>
      <w:r w:rsidRPr="00BB11D1">
        <w:rPr>
          <w:rFonts w:asciiTheme="majorBidi" w:hAnsiTheme="majorBidi" w:cstheme="majorBidi"/>
        </w:rPr>
        <w:t>B.</w:t>
      </w:r>
      <w:r w:rsidRPr="00BB11D1">
        <w:rPr>
          <w:rFonts w:asciiTheme="majorBidi" w:hAnsiTheme="majorBidi" w:cstheme="majorBidi"/>
          <w:spacing w:val="-26"/>
        </w:rPr>
        <w:t xml:space="preserve"> </w:t>
      </w:r>
      <w:r w:rsidRPr="00BB11D1">
        <w:rPr>
          <w:rFonts w:asciiTheme="majorBidi" w:hAnsiTheme="majorBidi" w:cstheme="majorBidi"/>
        </w:rPr>
        <w:t>(1988),</w:t>
      </w:r>
      <w:r w:rsidRPr="00BB11D1">
        <w:rPr>
          <w:rFonts w:asciiTheme="majorBidi" w:hAnsiTheme="majorBidi" w:cstheme="majorBidi"/>
          <w:spacing w:val="-26"/>
        </w:rPr>
        <w:t xml:space="preserve"> </w:t>
      </w:r>
      <w:r w:rsidRPr="00BB11D1">
        <w:rPr>
          <w:rFonts w:asciiTheme="majorBidi" w:hAnsiTheme="majorBidi" w:cstheme="majorBidi"/>
          <w:i/>
        </w:rPr>
        <w:t>Horizontalists</w:t>
      </w:r>
      <w:r w:rsidRPr="00BB11D1">
        <w:rPr>
          <w:rFonts w:asciiTheme="majorBidi" w:hAnsiTheme="majorBidi" w:cstheme="majorBidi"/>
          <w:i/>
          <w:spacing w:val="-26"/>
        </w:rPr>
        <w:t xml:space="preserve"> </w:t>
      </w:r>
      <w:r w:rsidRPr="00BB11D1">
        <w:rPr>
          <w:rFonts w:asciiTheme="majorBidi" w:hAnsiTheme="majorBidi" w:cstheme="majorBidi"/>
          <w:i/>
        </w:rPr>
        <w:t>and</w:t>
      </w:r>
      <w:r w:rsidRPr="00BB11D1">
        <w:rPr>
          <w:rFonts w:asciiTheme="majorBidi" w:hAnsiTheme="majorBidi" w:cstheme="majorBidi"/>
          <w:i/>
          <w:spacing w:val="-26"/>
        </w:rPr>
        <w:t xml:space="preserve"> </w:t>
      </w:r>
      <w:r w:rsidRPr="00BB11D1">
        <w:rPr>
          <w:rFonts w:asciiTheme="majorBidi" w:hAnsiTheme="majorBidi" w:cstheme="majorBidi"/>
          <w:i/>
        </w:rPr>
        <w:t>Verticalists:</w:t>
      </w:r>
      <w:r w:rsidRPr="00BB11D1">
        <w:rPr>
          <w:rFonts w:asciiTheme="majorBidi" w:hAnsiTheme="majorBidi" w:cstheme="majorBidi"/>
          <w:i/>
          <w:spacing w:val="-26"/>
        </w:rPr>
        <w:t xml:space="preserve"> </w:t>
      </w:r>
      <w:r w:rsidRPr="00BB11D1">
        <w:rPr>
          <w:rFonts w:asciiTheme="majorBidi" w:hAnsiTheme="majorBidi" w:cstheme="majorBidi"/>
          <w:i/>
        </w:rPr>
        <w:t>The</w:t>
      </w:r>
      <w:r w:rsidRPr="00BB11D1">
        <w:rPr>
          <w:rFonts w:asciiTheme="majorBidi" w:hAnsiTheme="majorBidi" w:cstheme="majorBidi"/>
          <w:i/>
          <w:spacing w:val="-26"/>
        </w:rPr>
        <w:t xml:space="preserve"> </w:t>
      </w:r>
      <w:r w:rsidRPr="00BB11D1">
        <w:rPr>
          <w:rFonts w:asciiTheme="majorBidi" w:hAnsiTheme="majorBidi" w:cstheme="majorBidi"/>
          <w:i/>
        </w:rPr>
        <w:t>Macroeconomics</w:t>
      </w:r>
      <w:r w:rsidRPr="00BB11D1">
        <w:rPr>
          <w:rFonts w:asciiTheme="majorBidi" w:hAnsiTheme="majorBidi" w:cstheme="majorBidi"/>
          <w:i/>
          <w:spacing w:val="-26"/>
        </w:rPr>
        <w:t xml:space="preserve"> </w:t>
      </w:r>
      <w:r w:rsidRPr="00BB11D1">
        <w:rPr>
          <w:rFonts w:asciiTheme="majorBidi" w:hAnsiTheme="majorBidi" w:cstheme="majorBidi"/>
          <w:i/>
        </w:rPr>
        <w:t>of</w:t>
      </w:r>
      <w:r w:rsidRPr="00BB11D1">
        <w:rPr>
          <w:rFonts w:asciiTheme="majorBidi" w:hAnsiTheme="majorBidi" w:cstheme="majorBidi"/>
          <w:i/>
          <w:spacing w:val="-26"/>
        </w:rPr>
        <w:t xml:space="preserve"> </w:t>
      </w:r>
      <w:r w:rsidRPr="00BB11D1">
        <w:rPr>
          <w:rFonts w:asciiTheme="majorBidi" w:hAnsiTheme="majorBidi" w:cstheme="majorBidi"/>
          <w:i/>
        </w:rPr>
        <w:t>Credit</w:t>
      </w:r>
      <w:r w:rsidRPr="00BB11D1">
        <w:rPr>
          <w:rFonts w:asciiTheme="majorBidi" w:hAnsiTheme="majorBidi" w:cstheme="majorBidi"/>
          <w:i/>
          <w:spacing w:val="-25"/>
        </w:rPr>
        <w:t xml:space="preserve"> </w:t>
      </w:r>
      <w:r w:rsidRPr="00BB11D1">
        <w:rPr>
          <w:rFonts w:asciiTheme="majorBidi" w:hAnsiTheme="majorBidi" w:cstheme="majorBidi"/>
          <w:i/>
        </w:rPr>
        <w:t>Money</w:t>
      </w:r>
      <w:r w:rsidRPr="00BB11D1">
        <w:rPr>
          <w:rFonts w:asciiTheme="majorBidi" w:hAnsiTheme="majorBidi" w:cstheme="majorBidi"/>
        </w:rPr>
        <w:t>,</w:t>
      </w:r>
      <w:r w:rsidRPr="00BB11D1">
        <w:rPr>
          <w:rFonts w:asciiTheme="majorBidi" w:hAnsiTheme="majorBidi" w:cstheme="majorBidi"/>
          <w:spacing w:val="-27"/>
        </w:rPr>
        <w:t xml:space="preserve"> </w:t>
      </w:r>
      <w:r w:rsidRPr="00BB11D1">
        <w:rPr>
          <w:rFonts w:asciiTheme="majorBidi" w:hAnsiTheme="majorBidi" w:cstheme="majorBidi"/>
        </w:rPr>
        <w:t>Cambridge University Press,</w:t>
      </w:r>
      <w:r w:rsidRPr="00BB11D1">
        <w:rPr>
          <w:rFonts w:asciiTheme="majorBidi" w:hAnsiTheme="majorBidi" w:cstheme="majorBidi"/>
          <w:spacing w:val="-28"/>
        </w:rPr>
        <w:t xml:space="preserve"> </w:t>
      </w:r>
      <w:proofErr w:type="gramStart"/>
      <w:r w:rsidRPr="00BB11D1">
        <w:rPr>
          <w:rFonts w:asciiTheme="majorBidi" w:hAnsiTheme="majorBidi" w:cstheme="majorBidi"/>
        </w:rPr>
        <w:t>Cambridge</w:t>
      </w:r>
      <w:proofErr w:type="gramEnd"/>
      <w:r w:rsidRPr="00BB11D1">
        <w:rPr>
          <w:rFonts w:asciiTheme="majorBidi" w:hAnsiTheme="majorBidi" w:cstheme="majorBidi"/>
        </w:rPr>
        <w:t>.</w:t>
      </w:r>
    </w:p>
    <w:p w:rsidR="00BB11D1" w:rsidRPr="00BB11D1" w:rsidRDefault="00BB11D1" w:rsidP="00BB11D1">
      <w:pPr>
        <w:pStyle w:val="BodyText"/>
        <w:numPr>
          <w:ilvl w:val="0"/>
          <w:numId w:val="17"/>
        </w:numPr>
        <w:spacing w:before="61" w:line="254" w:lineRule="auto"/>
        <w:ind w:right="767"/>
        <w:jc w:val="both"/>
        <w:rPr>
          <w:rFonts w:asciiTheme="majorBidi" w:hAnsiTheme="majorBidi" w:cstheme="majorBidi"/>
        </w:rPr>
      </w:pPr>
      <w:r w:rsidRPr="00BB11D1">
        <w:rPr>
          <w:rFonts w:asciiTheme="majorBidi" w:hAnsiTheme="majorBidi" w:cstheme="majorBidi"/>
        </w:rPr>
        <w:t>Nessen,</w:t>
      </w:r>
      <w:r w:rsidRPr="00BB11D1">
        <w:rPr>
          <w:rFonts w:asciiTheme="majorBidi" w:hAnsiTheme="majorBidi" w:cstheme="majorBidi"/>
          <w:spacing w:val="-7"/>
        </w:rPr>
        <w:t xml:space="preserve"> </w:t>
      </w:r>
      <w:r w:rsidRPr="00BB11D1">
        <w:rPr>
          <w:rFonts w:asciiTheme="majorBidi" w:hAnsiTheme="majorBidi" w:cstheme="majorBidi"/>
        </w:rPr>
        <w:t>M.,</w:t>
      </w:r>
      <w:r w:rsidRPr="00BB11D1">
        <w:rPr>
          <w:rFonts w:asciiTheme="majorBidi" w:hAnsiTheme="majorBidi" w:cstheme="majorBidi"/>
          <w:spacing w:val="-7"/>
        </w:rPr>
        <w:t xml:space="preserve"> </w:t>
      </w:r>
      <w:r w:rsidRPr="00BB11D1">
        <w:rPr>
          <w:rFonts w:asciiTheme="majorBidi" w:hAnsiTheme="majorBidi" w:cstheme="majorBidi"/>
        </w:rPr>
        <w:t>P.</w:t>
      </w:r>
      <w:r w:rsidRPr="00BB11D1">
        <w:rPr>
          <w:rFonts w:asciiTheme="majorBidi" w:hAnsiTheme="majorBidi" w:cstheme="majorBidi"/>
          <w:spacing w:val="-6"/>
        </w:rPr>
        <w:t xml:space="preserve"> </w:t>
      </w:r>
      <w:r w:rsidRPr="00BB11D1">
        <w:rPr>
          <w:rFonts w:asciiTheme="majorBidi" w:hAnsiTheme="majorBidi" w:cstheme="majorBidi"/>
        </w:rPr>
        <w:t>Sellin</w:t>
      </w:r>
      <w:r w:rsidRPr="00BB11D1">
        <w:rPr>
          <w:rFonts w:asciiTheme="majorBidi" w:hAnsiTheme="majorBidi" w:cstheme="majorBidi"/>
          <w:spacing w:val="-7"/>
        </w:rPr>
        <w:t xml:space="preserve"> </w:t>
      </w:r>
      <w:r w:rsidRPr="00BB11D1">
        <w:rPr>
          <w:rFonts w:asciiTheme="majorBidi" w:hAnsiTheme="majorBidi" w:cstheme="majorBidi"/>
        </w:rPr>
        <w:t>and</w:t>
      </w:r>
      <w:r w:rsidRPr="00BB11D1">
        <w:rPr>
          <w:rFonts w:asciiTheme="majorBidi" w:hAnsiTheme="majorBidi" w:cstheme="majorBidi"/>
          <w:spacing w:val="-7"/>
        </w:rPr>
        <w:t xml:space="preserve"> </w:t>
      </w:r>
      <w:r w:rsidRPr="00BB11D1">
        <w:rPr>
          <w:rFonts w:asciiTheme="majorBidi" w:hAnsiTheme="majorBidi" w:cstheme="majorBidi"/>
        </w:rPr>
        <w:t>P.A.</w:t>
      </w:r>
      <w:r w:rsidRPr="00BB11D1">
        <w:rPr>
          <w:rFonts w:asciiTheme="majorBidi" w:hAnsiTheme="majorBidi" w:cstheme="majorBidi"/>
          <w:spacing w:val="-6"/>
        </w:rPr>
        <w:t xml:space="preserve"> </w:t>
      </w:r>
      <w:r w:rsidRPr="00BB11D1">
        <w:rPr>
          <w:rFonts w:asciiTheme="majorBidi" w:hAnsiTheme="majorBidi" w:cstheme="majorBidi"/>
        </w:rPr>
        <w:t>Sommar</w:t>
      </w:r>
      <w:r w:rsidRPr="00BB11D1">
        <w:rPr>
          <w:rFonts w:asciiTheme="majorBidi" w:hAnsiTheme="majorBidi" w:cstheme="majorBidi"/>
          <w:spacing w:val="-6"/>
        </w:rPr>
        <w:t xml:space="preserve"> </w:t>
      </w:r>
      <w:r w:rsidRPr="00BB11D1">
        <w:rPr>
          <w:rFonts w:asciiTheme="majorBidi" w:hAnsiTheme="majorBidi" w:cstheme="majorBidi"/>
        </w:rPr>
        <w:t>(2018),</w:t>
      </w:r>
      <w:r w:rsidRPr="00BB11D1">
        <w:rPr>
          <w:rFonts w:asciiTheme="majorBidi" w:hAnsiTheme="majorBidi" w:cstheme="majorBidi"/>
          <w:spacing w:val="-6"/>
        </w:rPr>
        <w:t xml:space="preserve"> </w:t>
      </w:r>
      <w:r w:rsidRPr="00BB11D1">
        <w:rPr>
          <w:rFonts w:asciiTheme="majorBidi" w:hAnsiTheme="majorBidi" w:cstheme="majorBidi"/>
        </w:rPr>
        <w:t>“The</w:t>
      </w:r>
      <w:r w:rsidRPr="00BB11D1">
        <w:rPr>
          <w:rFonts w:asciiTheme="majorBidi" w:hAnsiTheme="majorBidi" w:cstheme="majorBidi"/>
          <w:spacing w:val="-7"/>
        </w:rPr>
        <w:t xml:space="preserve"> </w:t>
      </w:r>
      <w:r w:rsidRPr="00BB11D1">
        <w:rPr>
          <w:rFonts w:asciiTheme="majorBidi" w:hAnsiTheme="majorBidi" w:cstheme="majorBidi"/>
        </w:rPr>
        <w:t>implications</w:t>
      </w:r>
      <w:r w:rsidRPr="00BB11D1">
        <w:rPr>
          <w:rFonts w:asciiTheme="majorBidi" w:hAnsiTheme="majorBidi" w:cstheme="majorBidi"/>
          <w:spacing w:val="-6"/>
        </w:rPr>
        <w:t xml:space="preserve"> </w:t>
      </w:r>
      <w:r w:rsidRPr="00BB11D1">
        <w:rPr>
          <w:rFonts w:asciiTheme="majorBidi" w:hAnsiTheme="majorBidi" w:cstheme="majorBidi"/>
        </w:rPr>
        <w:t>of</w:t>
      </w:r>
      <w:r w:rsidRPr="00BB11D1">
        <w:rPr>
          <w:rFonts w:asciiTheme="majorBidi" w:hAnsiTheme="majorBidi" w:cstheme="majorBidi"/>
          <w:spacing w:val="-6"/>
        </w:rPr>
        <w:t xml:space="preserve"> </w:t>
      </w:r>
      <w:r w:rsidRPr="00BB11D1">
        <w:rPr>
          <w:rFonts w:asciiTheme="majorBidi" w:hAnsiTheme="majorBidi" w:cstheme="majorBidi"/>
        </w:rPr>
        <w:t>an</w:t>
      </w:r>
      <w:r w:rsidRPr="00BB11D1">
        <w:rPr>
          <w:rFonts w:asciiTheme="majorBidi" w:hAnsiTheme="majorBidi" w:cstheme="majorBidi"/>
          <w:spacing w:val="-6"/>
        </w:rPr>
        <w:t xml:space="preserve"> </w:t>
      </w:r>
      <w:r w:rsidRPr="00BB11D1">
        <w:rPr>
          <w:rFonts w:asciiTheme="majorBidi" w:hAnsiTheme="majorBidi" w:cstheme="majorBidi"/>
        </w:rPr>
        <w:t>e-krona</w:t>
      </w:r>
      <w:r w:rsidRPr="00BB11D1">
        <w:rPr>
          <w:rFonts w:asciiTheme="majorBidi" w:hAnsiTheme="majorBidi" w:cstheme="majorBidi"/>
          <w:spacing w:val="-7"/>
        </w:rPr>
        <w:t xml:space="preserve"> </w:t>
      </w:r>
      <w:r w:rsidRPr="00BB11D1">
        <w:rPr>
          <w:rFonts w:asciiTheme="majorBidi" w:hAnsiTheme="majorBidi" w:cstheme="majorBidi"/>
        </w:rPr>
        <w:t>for</w:t>
      </w:r>
      <w:r w:rsidRPr="00BB11D1">
        <w:rPr>
          <w:rFonts w:asciiTheme="majorBidi" w:hAnsiTheme="majorBidi" w:cstheme="majorBidi"/>
          <w:spacing w:val="-6"/>
        </w:rPr>
        <w:t xml:space="preserve"> </w:t>
      </w:r>
      <w:r w:rsidRPr="00BB11D1">
        <w:rPr>
          <w:rFonts w:asciiTheme="majorBidi" w:hAnsiTheme="majorBidi" w:cstheme="majorBidi"/>
        </w:rPr>
        <w:t>the</w:t>
      </w:r>
      <w:r w:rsidRPr="00BB11D1">
        <w:rPr>
          <w:rFonts w:asciiTheme="majorBidi" w:hAnsiTheme="majorBidi" w:cstheme="majorBidi"/>
          <w:spacing w:val="-6"/>
        </w:rPr>
        <w:t xml:space="preserve"> </w:t>
      </w:r>
      <w:r w:rsidRPr="00BB11D1">
        <w:rPr>
          <w:rFonts w:asciiTheme="majorBidi" w:hAnsiTheme="majorBidi" w:cstheme="majorBidi"/>
        </w:rPr>
        <w:t xml:space="preserve">Riksbank’s </w:t>
      </w:r>
      <w:r w:rsidRPr="00BB11D1">
        <w:rPr>
          <w:rFonts w:asciiTheme="majorBidi" w:hAnsiTheme="majorBidi" w:cstheme="majorBidi"/>
          <w:w w:val="95"/>
        </w:rPr>
        <w:t>operational</w:t>
      </w:r>
      <w:r w:rsidRPr="00BB11D1">
        <w:rPr>
          <w:rFonts w:asciiTheme="majorBidi" w:hAnsiTheme="majorBidi" w:cstheme="majorBidi"/>
          <w:spacing w:val="-25"/>
          <w:w w:val="95"/>
        </w:rPr>
        <w:t xml:space="preserve"> </w:t>
      </w:r>
      <w:r w:rsidRPr="00BB11D1">
        <w:rPr>
          <w:rFonts w:asciiTheme="majorBidi" w:hAnsiTheme="majorBidi" w:cstheme="majorBidi"/>
          <w:w w:val="95"/>
        </w:rPr>
        <w:t>framework</w:t>
      </w:r>
      <w:r w:rsidRPr="00BB11D1">
        <w:rPr>
          <w:rFonts w:asciiTheme="majorBidi" w:hAnsiTheme="majorBidi" w:cstheme="majorBidi"/>
          <w:spacing w:val="-25"/>
          <w:w w:val="95"/>
        </w:rPr>
        <w:t xml:space="preserve"> </w:t>
      </w:r>
      <w:r w:rsidRPr="00BB11D1">
        <w:rPr>
          <w:rFonts w:asciiTheme="majorBidi" w:hAnsiTheme="majorBidi" w:cstheme="majorBidi"/>
          <w:w w:val="95"/>
        </w:rPr>
        <w:t>for</w:t>
      </w:r>
      <w:r w:rsidRPr="00BB11D1">
        <w:rPr>
          <w:rFonts w:asciiTheme="majorBidi" w:hAnsiTheme="majorBidi" w:cstheme="majorBidi"/>
          <w:spacing w:val="-26"/>
          <w:w w:val="95"/>
        </w:rPr>
        <w:t xml:space="preserve"> </w:t>
      </w:r>
      <w:r w:rsidRPr="00BB11D1">
        <w:rPr>
          <w:rFonts w:asciiTheme="majorBidi" w:hAnsiTheme="majorBidi" w:cstheme="majorBidi"/>
          <w:w w:val="95"/>
        </w:rPr>
        <w:t>implementing</w:t>
      </w:r>
      <w:r w:rsidRPr="00BB11D1">
        <w:rPr>
          <w:rFonts w:asciiTheme="majorBidi" w:hAnsiTheme="majorBidi" w:cstheme="majorBidi"/>
          <w:spacing w:val="-27"/>
          <w:w w:val="95"/>
        </w:rPr>
        <w:t xml:space="preserve"> </w:t>
      </w:r>
      <w:r w:rsidRPr="00BB11D1">
        <w:rPr>
          <w:rFonts w:asciiTheme="majorBidi" w:hAnsiTheme="majorBidi" w:cstheme="majorBidi"/>
          <w:w w:val="95"/>
        </w:rPr>
        <w:t>monetary</w:t>
      </w:r>
      <w:r w:rsidRPr="00BB11D1">
        <w:rPr>
          <w:rFonts w:asciiTheme="majorBidi" w:hAnsiTheme="majorBidi" w:cstheme="majorBidi"/>
          <w:spacing w:val="-24"/>
          <w:w w:val="95"/>
        </w:rPr>
        <w:t xml:space="preserve"> </w:t>
      </w:r>
      <w:r w:rsidRPr="00BB11D1">
        <w:rPr>
          <w:rFonts w:asciiTheme="majorBidi" w:hAnsiTheme="majorBidi" w:cstheme="majorBidi"/>
          <w:w w:val="95"/>
        </w:rPr>
        <w:t>policy”,</w:t>
      </w:r>
      <w:r w:rsidRPr="00BB11D1">
        <w:rPr>
          <w:rFonts w:asciiTheme="majorBidi" w:hAnsiTheme="majorBidi" w:cstheme="majorBidi"/>
          <w:spacing w:val="-25"/>
          <w:w w:val="95"/>
        </w:rPr>
        <w:t xml:space="preserve"> </w:t>
      </w:r>
      <w:r w:rsidRPr="00BB11D1">
        <w:rPr>
          <w:rFonts w:asciiTheme="majorBidi" w:hAnsiTheme="majorBidi" w:cstheme="majorBidi"/>
          <w:w w:val="95"/>
        </w:rPr>
        <w:t>Sveriges</w:t>
      </w:r>
      <w:r w:rsidRPr="00BB11D1">
        <w:rPr>
          <w:rFonts w:asciiTheme="majorBidi" w:hAnsiTheme="majorBidi" w:cstheme="majorBidi"/>
          <w:spacing w:val="-25"/>
          <w:w w:val="95"/>
        </w:rPr>
        <w:t xml:space="preserve"> </w:t>
      </w:r>
      <w:r w:rsidRPr="00BB11D1">
        <w:rPr>
          <w:rFonts w:asciiTheme="majorBidi" w:hAnsiTheme="majorBidi" w:cstheme="majorBidi"/>
          <w:w w:val="95"/>
        </w:rPr>
        <w:t>Riksbank</w:t>
      </w:r>
      <w:r w:rsidRPr="00BB11D1">
        <w:rPr>
          <w:rFonts w:asciiTheme="majorBidi" w:hAnsiTheme="majorBidi" w:cstheme="majorBidi"/>
          <w:spacing w:val="-25"/>
          <w:w w:val="95"/>
        </w:rPr>
        <w:t xml:space="preserve"> </w:t>
      </w:r>
      <w:r w:rsidRPr="00BB11D1">
        <w:rPr>
          <w:rFonts w:asciiTheme="majorBidi" w:hAnsiTheme="majorBidi" w:cstheme="majorBidi"/>
          <w:w w:val="95"/>
        </w:rPr>
        <w:t>Economic</w:t>
      </w:r>
      <w:r w:rsidRPr="00BB11D1">
        <w:rPr>
          <w:rFonts w:asciiTheme="majorBidi" w:hAnsiTheme="majorBidi" w:cstheme="majorBidi"/>
          <w:spacing w:val="-26"/>
          <w:w w:val="95"/>
        </w:rPr>
        <w:t xml:space="preserve"> </w:t>
      </w:r>
      <w:r w:rsidRPr="00BB11D1">
        <w:rPr>
          <w:rFonts w:asciiTheme="majorBidi" w:hAnsiTheme="majorBidi" w:cstheme="majorBidi"/>
          <w:w w:val="95"/>
        </w:rPr>
        <w:t>Review,</w:t>
      </w:r>
      <w:r w:rsidRPr="00BB11D1">
        <w:rPr>
          <w:rFonts w:asciiTheme="majorBidi" w:hAnsiTheme="majorBidi" w:cstheme="majorBidi"/>
          <w:spacing w:val="-26"/>
          <w:w w:val="95"/>
        </w:rPr>
        <w:t xml:space="preserve"> </w:t>
      </w:r>
      <w:r w:rsidRPr="00BB11D1">
        <w:rPr>
          <w:rFonts w:asciiTheme="majorBidi" w:hAnsiTheme="majorBidi" w:cstheme="majorBidi"/>
          <w:w w:val="95"/>
        </w:rPr>
        <w:t xml:space="preserve">2018:3, </w:t>
      </w:r>
      <w:r w:rsidRPr="00BB11D1">
        <w:rPr>
          <w:rFonts w:asciiTheme="majorBidi" w:hAnsiTheme="majorBidi" w:cstheme="majorBidi"/>
        </w:rPr>
        <w:t>29-42.</w:t>
      </w:r>
    </w:p>
    <w:p w:rsidR="00BB11D1" w:rsidRDefault="00BB11D1" w:rsidP="00BB11D1">
      <w:pPr>
        <w:pStyle w:val="ListParagraph"/>
        <w:numPr>
          <w:ilvl w:val="0"/>
          <w:numId w:val="17"/>
        </w:numPr>
        <w:spacing w:before="62" w:line="254" w:lineRule="auto"/>
        <w:ind w:right="769"/>
        <w:rPr>
          <w:rFonts w:asciiTheme="majorBidi" w:hAnsiTheme="majorBidi" w:cstheme="majorBidi"/>
        </w:rPr>
      </w:pPr>
      <w:r w:rsidRPr="00BB11D1">
        <w:rPr>
          <w:rFonts w:asciiTheme="majorBidi" w:hAnsiTheme="majorBidi" w:cstheme="majorBidi"/>
        </w:rPr>
        <w:t>Nyborg,</w:t>
      </w:r>
      <w:r w:rsidRPr="00BB11D1">
        <w:rPr>
          <w:rFonts w:asciiTheme="majorBidi" w:hAnsiTheme="majorBidi" w:cstheme="majorBidi"/>
          <w:spacing w:val="-21"/>
        </w:rPr>
        <w:t xml:space="preserve"> </w:t>
      </w:r>
      <w:r w:rsidRPr="00BB11D1">
        <w:rPr>
          <w:rFonts w:asciiTheme="majorBidi" w:hAnsiTheme="majorBidi" w:cstheme="majorBidi"/>
        </w:rPr>
        <w:t>K.</w:t>
      </w:r>
      <w:r w:rsidRPr="00BB11D1">
        <w:rPr>
          <w:rFonts w:asciiTheme="majorBidi" w:hAnsiTheme="majorBidi" w:cstheme="majorBidi"/>
          <w:spacing w:val="-20"/>
        </w:rPr>
        <w:t xml:space="preserve"> </w:t>
      </w:r>
      <w:r w:rsidRPr="00BB11D1">
        <w:rPr>
          <w:rFonts w:asciiTheme="majorBidi" w:hAnsiTheme="majorBidi" w:cstheme="majorBidi"/>
        </w:rPr>
        <w:t>(2016),</w:t>
      </w:r>
      <w:r w:rsidRPr="00BB11D1">
        <w:rPr>
          <w:rFonts w:asciiTheme="majorBidi" w:hAnsiTheme="majorBidi" w:cstheme="majorBidi"/>
          <w:spacing w:val="-19"/>
        </w:rPr>
        <w:t xml:space="preserve"> </w:t>
      </w:r>
      <w:r w:rsidRPr="00BB11D1">
        <w:rPr>
          <w:rFonts w:asciiTheme="majorBidi" w:hAnsiTheme="majorBidi" w:cstheme="majorBidi"/>
          <w:i/>
        </w:rPr>
        <w:t>Collateral</w:t>
      </w:r>
      <w:r w:rsidRPr="00BB11D1">
        <w:rPr>
          <w:rFonts w:asciiTheme="majorBidi" w:hAnsiTheme="majorBidi" w:cstheme="majorBidi"/>
          <w:i/>
          <w:spacing w:val="-20"/>
        </w:rPr>
        <w:t xml:space="preserve"> </w:t>
      </w:r>
      <w:r w:rsidRPr="00BB11D1">
        <w:rPr>
          <w:rFonts w:asciiTheme="majorBidi" w:hAnsiTheme="majorBidi" w:cstheme="majorBidi"/>
          <w:i/>
        </w:rPr>
        <w:t>frameworks:</w:t>
      </w:r>
      <w:r w:rsidRPr="00BB11D1">
        <w:rPr>
          <w:rFonts w:asciiTheme="majorBidi" w:hAnsiTheme="majorBidi" w:cstheme="majorBidi"/>
          <w:i/>
          <w:spacing w:val="-20"/>
        </w:rPr>
        <w:t xml:space="preserve"> </w:t>
      </w:r>
      <w:r w:rsidRPr="00BB11D1">
        <w:rPr>
          <w:rFonts w:asciiTheme="majorBidi" w:hAnsiTheme="majorBidi" w:cstheme="majorBidi"/>
          <w:i/>
        </w:rPr>
        <w:t>the</w:t>
      </w:r>
      <w:r w:rsidRPr="00BB11D1">
        <w:rPr>
          <w:rFonts w:asciiTheme="majorBidi" w:hAnsiTheme="majorBidi" w:cstheme="majorBidi"/>
          <w:i/>
          <w:spacing w:val="-19"/>
        </w:rPr>
        <w:t xml:space="preserve"> </w:t>
      </w:r>
      <w:r w:rsidRPr="00BB11D1">
        <w:rPr>
          <w:rFonts w:asciiTheme="majorBidi" w:hAnsiTheme="majorBidi" w:cstheme="majorBidi"/>
          <w:i/>
        </w:rPr>
        <w:t>open</w:t>
      </w:r>
      <w:r w:rsidRPr="00BB11D1">
        <w:rPr>
          <w:rFonts w:asciiTheme="majorBidi" w:hAnsiTheme="majorBidi" w:cstheme="majorBidi"/>
          <w:i/>
          <w:spacing w:val="-21"/>
        </w:rPr>
        <w:t xml:space="preserve"> </w:t>
      </w:r>
      <w:r w:rsidRPr="00BB11D1">
        <w:rPr>
          <w:rFonts w:asciiTheme="majorBidi" w:hAnsiTheme="majorBidi" w:cstheme="majorBidi"/>
          <w:i/>
        </w:rPr>
        <w:t>secret</w:t>
      </w:r>
      <w:r w:rsidRPr="00BB11D1">
        <w:rPr>
          <w:rFonts w:asciiTheme="majorBidi" w:hAnsiTheme="majorBidi" w:cstheme="majorBidi"/>
          <w:i/>
          <w:spacing w:val="-19"/>
        </w:rPr>
        <w:t xml:space="preserve"> </w:t>
      </w:r>
      <w:r w:rsidRPr="00BB11D1">
        <w:rPr>
          <w:rFonts w:asciiTheme="majorBidi" w:hAnsiTheme="majorBidi" w:cstheme="majorBidi"/>
          <w:i/>
        </w:rPr>
        <w:t>of</w:t>
      </w:r>
      <w:r w:rsidRPr="00BB11D1">
        <w:rPr>
          <w:rFonts w:asciiTheme="majorBidi" w:hAnsiTheme="majorBidi" w:cstheme="majorBidi"/>
          <w:i/>
          <w:spacing w:val="-21"/>
        </w:rPr>
        <w:t xml:space="preserve"> </w:t>
      </w:r>
      <w:r w:rsidRPr="00BB11D1">
        <w:rPr>
          <w:rFonts w:asciiTheme="majorBidi" w:hAnsiTheme="majorBidi" w:cstheme="majorBidi"/>
          <w:i/>
        </w:rPr>
        <w:t>central</w:t>
      </w:r>
      <w:r w:rsidRPr="00BB11D1">
        <w:rPr>
          <w:rFonts w:asciiTheme="majorBidi" w:hAnsiTheme="majorBidi" w:cstheme="majorBidi"/>
          <w:i/>
          <w:spacing w:val="-20"/>
        </w:rPr>
        <w:t xml:space="preserve"> </w:t>
      </w:r>
      <w:r w:rsidRPr="00BB11D1">
        <w:rPr>
          <w:rFonts w:asciiTheme="majorBidi" w:hAnsiTheme="majorBidi" w:cstheme="majorBidi"/>
          <w:i/>
        </w:rPr>
        <w:t>banks</w:t>
      </w:r>
      <w:r w:rsidRPr="00BB11D1">
        <w:rPr>
          <w:rFonts w:asciiTheme="majorBidi" w:hAnsiTheme="majorBidi" w:cstheme="majorBidi"/>
        </w:rPr>
        <w:t>,</w:t>
      </w:r>
      <w:r w:rsidRPr="00BB11D1">
        <w:rPr>
          <w:rFonts w:asciiTheme="majorBidi" w:hAnsiTheme="majorBidi" w:cstheme="majorBidi"/>
          <w:spacing w:val="-21"/>
        </w:rPr>
        <w:t xml:space="preserve"> </w:t>
      </w:r>
      <w:r w:rsidRPr="00BB11D1">
        <w:rPr>
          <w:rFonts w:asciiTheme="majorBidi" w:hAnsiTheme="majorBidi" w:cstheme="majorBidi"/>
        </w:rPr>
        <w:t>Cambridge:</w:t>
      </w:r>
      <w:r w:rsidRPr="00BB11D1">
        <w:rPr>
          <w:rFonts w:asciiTheme="majorBidi" w:hAnsiTheme="majorBidi" w:cstheme="majorBidi"/>
          <w:spacing w:val="-20"/>
        </w:rPr>
        <w:t xml:space="preserve"> </w:t>
      </w:r>
      <w:r w:rsidRPr="00BB11D1">
        <w:rPr>
          <w:rFonts w:asciiTheme="majorBidi" w:hAnsiTheme="majorBidi" w:cstheme="majorBidi"/>
        </w:rPr>
        <w:t>Cambridge University</w:t>
      </w:r>
      <w:r w:rsidRPr="00BB11D1">
        <w:rPr>
          <w:rFonts w:asciiTheme="majorBidi" w:hAnsiTheme="majorBidi" w:cstheme="majorBidi"/>
          <w:spacing w:val="-14"/>
        </w:rPr>
        <w:t xml:space="preserve"> </w:t>
      </w:r>
      <w:r w:rsidRPr="00BB11D1">
        <w:rPr>
          <w:rFonts w:asciiTheme="majorBidi" w:hAnsiTheme="majorBidi" w:cstheme="majorBidi"/>
        </w:rPr>
        <w:t>Press.</w:t>
      </w:r>
    </w:p>
    <w:p w:rsidR="00BB11D1" w:rsidRPr="00BB11D1" w:rsidRDefault="00BB11D1" w:rsidP="00BB11D1">
      <w:pPr>
        <w:pStyle w:val="ListParagraph"/>
        <w:numPr>
          <w:ilvl w:val="0"/>
          <w:numId w:val="17"/>
        </w:numPr>
        <w:spacing w:before="62" w:line="254" w:lineRule="auto"/>
        <w:ind w:right="769"/>
        <w:rPr>
          <w:rFonts w:asciiTheme="majorBidi" w:hAnsiTheme="majorBidi" w:cstheme="majorBidi"/>
        </w:rPr>
      </w:pPr>
      <w:r w:rsidRPr="00BB11D1">
        <w:rPr>
          <w:rFonts w:asciiTheme="majorBidi" w:hAnsiTheme="majorBidi" w:cstheme="majorBidi"/>
        </w:rPr>
        <w:t>Panetta, F (2018), “21</w:t>
      </w:r>
      <w:r w:rsidRPr="00BB11D1">
        <w:rPr>
          <w:rFonts w:asciiTheme="majorBidi" w:hAnsiTheme="majorBidi" w:cstheme="majorBidi"/>
          <w:vertAlign w:val="superscript"/>
        </w:rPr>
        <w:t>st</w:t>
      </w:r>
      <w:r w:rsidRPr="00BB11D1">
        <w:rPr>
          <w:rFonts w:asciiTheme="majorBidi" w:hAnsiTheme="majorBidi" w:cstheme="majorBidi"/>
        </w:rPr>
        <w:t xml:space="preserve"> century cash: central banking, technological innovation and digital currency”, in:</w:t>
      </w:r>
    </w:p>
    <w:p w:rsidR="00BB11D1" w:rsidRPr="00BB11D1" w:rsidRDefault="00BB11D1" w:rsidP="00BB11D1">
      <w:pPr>
        <w:pStyle w:val="ListParagraph"/>
        <w:numPr>
          <w:ilvl w:val="0"/>
          <w:numId w:val="17"/>
        </w:numPr>
        <w:spacing w:before="14" w:line="254" w:lineRule="auto"/>
        <w:ind w:right="770"/>
        <w:rPr>
          <w:rFonts w:asciiTheme="majorBidi" w:hAnsiTheme="majorBidi" w:cstheme="majorBidi"/>
        </w:rPr>
      </w:pPr>
      <w:r w:rsidRPr="00BB11D1">
        <w:rPr>
          <w:rFonts w:asciiTheme="majorBidi" w:hAnsiTheme="majorBidi" w:cstheme="majorBidi"/>
          <w:w w:val="95"/>
        </w:rPr>
        <w:t>E.</w:t>
      </w:r>
      <w:r w:rsidRPr="00BB11D1">
        <w:rPr>
          <w:rFonts w:asciiTheme="majorBidi" w:hAnsiTheme="majorBidi" w:cstheme="majorBidi"/>
          <w:spacing w:val="-8"/>
          <w:w w:val="95"/>
        </w:rPr>
        <w:t xml:space="preserve"> </w:t>
      </w:r>
      <w:r w:rsidRPr="00BB11D1">
        <w:rPr>
          <w:rFonts w:asciiTheme="majorBidi" w:hAnsiTheme="majorBidi" w:cstheme="majorBidi"/>
          <w:w w:val="95"/>
        </w:rPr>
        <w:t>Gnan</w:t>
      </w:r>
      <w:r w:rsidRPr="00BB11D1">
        <w:rPr>
          <w:rFonts w:asciiTheme="majorBidi" w:hAnsiTheme="majorBidi" w:cstheme="majorBidi"/>
          <w:spacing w:val="-7"/>
          <w:w w:val="95"/>
        </w:rPr>
        <w:t xml:space="preserve"> </w:t>
      </w:r>
      <w:r w:rsidRPr="00BB11D1">
        <w:rPr>
          <w:rFonts w:asciiTheme="majorBidi" w:hAnsiTheme="majorBidi" w:cstheme="majorBidi"/>
          <w:w w:val="95"/>
        </w:rPr>
        <w:t>and</w:t>
      </w:r>
      <w:r w:rsidRPr="00BB11D1">
        <w:rPr>
          <w:rFonts w:asciiTheme="majorBidi" w:hAnsiTheme="majorBidi" w:cstheme="majorBidi"/>
          <w:spacing w:val="-8"/>
          <w:w w:val="95"/>
        </w:rPr>
        <w:t xml:space="preserve"> </w:t>
      </w:r>
      <w:r w:rsidRPr="00BB11D1">
        <w:rPr>
          <w:rFonts w:asciiTheme="majorBidi" w:hAnsiTheme="majorBidi" w:cstheme="majorBidi"/>
          <w:w w:val="95"/>
        </w:rPr>
        <w:t>D.</w:t>
      </w:r>
      <w:r w:rsidRPr="00BB11D1">
        <w:rPr>
          <w:rFonts w:asciiTheme="majorBidi" w:hAnsiTheme="majorBidi" w:cstheme="majorBidi"/>
          <w:spacing w:val="-8"/>
          <w:w w:val="95"/>
        </w:rPr>
        <w:t xml:space="preserve"> </w:t>
      </w:r>
      <w:r w:rsidRPr="00BB11D1">
        <w:rPr>
          <w:rFonts w:asciiTheme="majorBidi" w:hAnsiTheme="majorBidi" w:cstheme="majorBidi"/>
          <w:w w:val="95"/>
        </w:rPr>
        <w:t>Masciandaro</w:t>
      </w:r>
      <w:r w:rsidRPr="00BB11D1">
        <w:rPr>
          <w:rFonts w:asciiTheme="majorBidi" w:hAnsiTheme="majorBidi" w:cstheme="majorBidi"/>
          <w:spacing w:val="-7"/>
          <w:w w:val="95"/>
        </w:rPr>
        <w:t xml:space="preserve"> </w:t>
      </w:r>
      <w:r w:rsidRPr="00BB11D1">
        <w:rPr>
          <w:rFonts w:asciiTheme="majorBidi" w:hAnsiTheme="majorBidi" w:cstheme="majorBidi"/>
          <w:w w:val="95"/>
        </w:rPr>
        <w:t>(eds.),</w:t>
      </w:r>
      <w:r w:rsidRPr="00BB11D1">
        <w:rPr>
          <w:rFonts w:asciiTheme="majorBidi" w:hAnsiTheme="majorBidi" w:cstheme="majorBidi"/>
          <w:spacing w:val="-8"/>
          <w:w w:val="95"/>
        </w:rPr>
        <w:t xml:space="preserve"> </w:t>
      </w:r>
      <w:r w:rsidRPr="00BB11D1">
        <w:rPr>
          <w:rFonts w:asciiTheme="majorBidi" w:hAnsiTheme="majorBidi" w:cstheme="majorBidi"/>
          <w:i/>
          <w:w w:val="95"/>
        </w:rPr>
        <w:t>Do</w:t>
      </w:r>
      <w:r w:rsidRPr="00BB11D1">
        <w:rPr>
          <w:rFonts w:asciiTheme="majorBidi" w:hAnsiTheme="majorBidi" w:cstheme="majorBidi"/>
          <w:i/>
          <w:spacing w:val="-8"/>
          <w:w w:val="95"/>
        </w:rPr>
        <w:t xml:space="preserve"> </w:t>
      </w:r>
      <w:r w:rsidRPr="00BB11D1">
        <w:rPr>
          <w:rFonts w:asciiTheme="majorBidi" w:hAnsiTheme="majorBidi" w:cstheme="majorBidi"/>
          <w:i/>
          <w:w w:val="95"/>
        </w:rPr>
        <w:t>We</w:t>
      </w:r>
      <w:r w:rsidRPr="00BB11D1">
        <w:rPr>
          <w:rFonts w:asciiTheme="majorBidi" w:hAnsiTheme="majorBidi" w:cstheme="majorBidi"/>
          <w:i/>
          <w:spacing w:val="-8"/>
          <w:w w:val="95"/>
        </w:rPr>
        <w:t xml:space="preserve"> </w:t>
      </w:r>
      <w:r w:rsidRPr="00BB11D1">
        <w:rPr>
          <w:rFonts w:asciiTheme="majorBidi" w:hAnsiTheme="majorBidi" w:cstheme="majorBidi"/>
          <w:i/>
          <w:w w:val="95"/>
        </w:rPr>
        <w:t>Need</w:t>
      </w:r>
      <w:r w:rsidRPr="00BB11D1">
        <w:rPr>
          <w:rFonts w:asciiTheme="majorBidi" w:hAnsiTheme="majorBidi" w:cstheme="majorBidi"/>
          <w:i/>
          <w:spacing w:val="-8"/>
          <w:w w:val="95"/>
        </w:rPr>
        <w:t xml:space="preserve"> </w:t>
      </w:r>
      <w:r w:rsidRPr="00BB11D1">
        <w:rPr>
          <w:rFonts w:asciiTheme="majorBidi" w:hAnsiTheme="majorBidi" w:cstheme="majorBidi"/>
          <w:i/>
          <w:w w:val="95"/>
        </w:rPr>
        <w:t>Central</w:t>
      </w:r>
      <w:r w:rsidRPr="00BB11D1">
        <w:rPr>
          <w:rFonts w:asciiTheme="majorBidi" w:hAnsiTheme="majorBidi" w:cstheme="majorBidi"/>
          <w:i/>
          <w:spacing w:val="-7"/>
          <w:w w:val="95"/>
        </w:rPr>
        <w:t xml:space="preserve"> </w:t>
      </w:r>
      <w:r w:rsidRPr="00BB11D1">
        <w:rPr>
          <w:rFonts w:asciiTheme="majorBidi" w:hAnsiTheme="majorBidi" w:cstheme="majorBidi"/>
          <w:i/>
          <w:w w:val="95"/>
        </w:rPr>
        <w:t>Bank</w:t>
      </w:r>
      <w:r w:rsidRPr="00BB11D1">
        <w:rPr>
          <w:rFonts w:asciiTheme="majorBidi" w:hAnsiTheme="majorBidi" w:cstheme="majorBidi"/>
          <w:i/>
          <w:spacing w:val="-8"/>
          <w:w w:val="95"/>
        </w:rPr>
        <w:t xml:space="preserve"> </w:t>
      </w:r>
      <w:r w:rsidRPr="00BB11D1">
        <w:rPr>
          <w:rFonts w:asciiTheme="majorBidi" w:hAnsiTheme="majorBidi" w:cstheme="majorBidi"/>
          <w:i/>
          <w:w w:val="95"/>
        </w:rPr>
        <w:t>Digital</w:t>
      </w:r>
      <w:r w:rsidRPr="00BB11D1">
        <w:rPr>
          <w:rFonts w:asciiTheme="majorBidi" w:hAnsiTheme="majorBidi" w:cstheme="majorBidi"/>
          <w:i/>
          <w:spacing w:val="-6"/>
          <w:w w:val="95"/>
        </w:rPr>
        <w:t xml:space="preserve"> </w:t>
      </w:r>
      <w:r w:rsidRPr="00BB11D1">
        <w:rPr>
          <w:rFonts w:asciiTheme="majorBidi" w:hAnsiTheme="majorBidi" w:cstheme="majorBidi"/>
          <w:i/>
          <w:w w:val="95"/>
        </w:rPr>
        <w:t>Currency</w:t>
      </w:r>
      <w:proofErr w:type="gramStart"/>
      <w:r w:rsidRPr="00BB11D1">
        <w:rPr>
          <w:rFonts w:asciiTheme="majorBidi" w:hAnsiTheme="majorBidi" w:cstheme="majorBidi"/>
          <w:i/>
          <w:w w:val="95"/>
        </w:rPr>
        <w:t>?,</w:t>
      </w:r>
      <w:proofErr w:type="gramEnd"/>
      <w:r w:rsidRPr="00BB11D1">
        <w:rPr>
          <w:rFonts w:asciiTheme="majorBidi" w:hAnsiTheme="majorBidi" w:cstheme="majorBidi"/>
          <w:i/>
          <w:spacing w:val="-7"/>
          <w:w w:val="95"/>
        </w:rPr>
        <w:t xml:space="preserve"> </w:t>
      </w:r>
      <w:r w:rsidRPr="00BB11D1">
        <w:rPr>
          <w:rFonts w:asciiTheme="majorBidi" w:hAnsiTheme="majorBidi" w:cstheme="majorBidi"/>
          <w:w w:val="95"/>
        </w:rPr>
        <w:t>SUERF</w:t>
      </w:r>
      <w:r w:rsidRPr="00BB11D1">
        <w:rPr>
          <w:rFonts w:asciiTheme="majorBidi" w:hAnsiTheme="majorBidi" w:cstheme="majorBidi"/>
          <w:spacing w:val="-7"/>
          <w:w w:val="95"/>
        </w:rPr>
        <w:t xml:space="preserve"> </w:t>
      </w:r>
      <w:r w:rsidRPr="00BB11D1">
        <w:rPr>
          <w:rFonts w:asciiTheme="majorBidi" w:hAnsiTheme="majorBidi" w:cstheme="majorBidi"/>
          <w:w w:val="95"/>
        </w:rPr>
        <w:t xml:space="preserve">Conference </w:t>
      </w:r>
      <w:r w:rsidRPr="00BB11D1">
        <w:rPr>
          <w:rFonts w:asciiTheme="majorBidi" w:hAnsiTheme="majorBidi" w:cstheme="majorBidi"/>
        </w:rPr>
        <w:t>Proceedings 2018/2,</w:t>
      </w:r>
      <w:r w:rsidRPr="00BB11D1">
        <w:rPr>
          <w:rFonts w:asciiTheme="majorBidi" w:hAnsiTheme="majorBidi" w:cstheme="majorBidi"/>
          <w:spacing w:val="-29"/>
        </w:rPr>
        <w:t xml:space="preserve"> </w:t>
      </w:r>
      <w:r w:rsidRPr="00BB11D1">
        <w:rPr>
          <w:rFonts w:asciiTheme="majorBidi" w:hAnsiTheme="majorBidi" w:cstheme="majorBidi"/>
        </w:rPr>
        <w:t>23-32.</w:t>
      </w:r>
    </w:p>
    <w:p w:rsidR="00BB11D1" w:rsidRPr="00BB11D1" w:rsidRDefault="00BB11D1" w:rsidP="00BB11D1">
      <w:pPr>
        <w:pStyle w:val="BodyText"/>
        <w:numPr>
          <w:ilvl w:val="0"/>
          <w:numId w:val="17"/>
        </w:numPr>
        <w:spacing w:before="61" w:line="254" w:lineRule="auto"/>
        <w:ind w:right="768"/>
        <w:jc w:val="both"/>
        <w:rPr>
          <w:rFonts w:asciiTheme="majorBidi" w:hAnsiTheme="majorBidi" w:cstheme="majorBidi"/>
        </w:rPr>
      </w:pPr>
      <w:r w:rsidRPr="00BB11D1">
        <w:rPr>
          <w:rFonts w:asciiTheme="majorBidi" w:hAnsiTheme="majorBidi" w:cstheme="majorBidi"/>
          <w:w w:val="95"/>
        </w:rPr>
        <w:t>Pollock,</w:t>
      </w:r>
      <w:r w:rsidRPr="00BB11D1">
        <w:rPr>
          <w:rFonts w:asciiTheme="majorBidi" w:hAnsiTheme="majorBidi" w:cstheme="majorBidi"/>
          <w:spacing w:val="-17"/>
          <w:w w:val="95"/>
        </w:rPr>
        <w:t xml:space="preserve"> </w:t>
      </w:r>
      <w:r w:rsidRPr="00BB11D1">
        <w:rPr>
          <w:rFonts w:asciiTheme="majorBidi" w:hAnsiTheme="majorBidi" w:cstheme="majorBidi"/>
          <w:w w:val="95"/>
        </w:rPr>
        <w:t>Alex</w:t>
      </w:r>
      <w:r w:rsidRPr="00BB11D1">
        <w:rPr>
          <w:rFonts w:asciiTheme="majorBidi" w:hAnsiTheme="majorBidi" w:cstheme="majorBidi"/>
          <w:spacing w:val="-16"/>
          <w:w w:val="95"/>
        </w:rPr>
        <w:t xml:space="preserve"> </w:t>
      </w:r>
      <w:r w:rsidRPr="00BB11D1">
        <w:rPr>
          <w:rFonts w:asciiTheme="majorBidi" w:hAnsiTheme="majorBidi" w:cstheme="majorBidi"/>
          <w:w w:val="95"/>
        </w:rPr>
        <w:t>J.</w:t>
      </w:r>
      <w:r w:rsidRPr="00BB11D1">
        <w:rPr>
          <w:rFonts w:asciiTheme="majorBidi" w:hAnsiTheme="majorBidi" w:cstheme="majorBidi"/>
          <w:spacing w:val="-17"/>
          <w:w w:val="95"/>
        </w:rPr>
        <w:t xml:space="preserve"> </w:t>
      </w:r>
      <w:r w:rsidRPr="00BB11D1">
        <w:rPr>
          <w:rFonts w:asciiTheme="majorBidi" w:hAnsiTheme="majorBidi" w:cstheme="majorBidi"/>
          <w:w w:val="95"/>
        </w:rPr>
        <w:t>(2018),</w:t>
      </w:r>
      <w:r w:rsidRPr="00BB11D1">
        <w:rPr>
          <w:rFonts w:asciiTheme="majorBidi" w:hAnsiTheme="majorBidi" w:cstheme="majorBidi"/>
          <w:spacing w:val="-16"/>
          <w:w w:val="95"/>
        </w:rPr>
        <w:t xml:space="preserve"> </w:t>
      </w:r>
      <w:r w:rsidRPr="00BB11D1">
        <w:rPr>
          <w:rFonts w:asciiTheme="majorBidi" w:hAnsiTheme="majorBidi" w:cstheme="majorBidi"/>
          <w:w w:val="95"/>
        </w:rPr>
        <w:t>Testimony</w:t>
      </w:r>
      <w:r w:rsidRPr="00BB11D1">
        <w:rPr>
          <w:rFonts w:asciiTheme="majorBidi" w:hAnsiTheme="majorBidi" w:cstheme="majorBidi"/>
          <w:spacing w:val="-16"/>
          <w:w w:val="95"/>
        </w:rPr>
        <w:t xml:space="preserve"> </w:t>
      </w:r>
      <w:r w:rsidRPr="00BB11D1">
        <w:rPr>
          <w:rFonts w:asciiTheme="majorBidi" w:hAnsiTheme="majorBidi" w:cstheme="majorBidi"/>
          <w:w w:val="95"/>
        </w:rPr>
        <w:t>to</w:t>
      </w:r>
      <w:r w:rsidRPr="00BB11D1">
        <w:rPr>
          <w:rFonts w:asciiTheme="majorBidi" w:hAnsiTheme="majorBidi" w:cstheme="majorBidi"/>
          <w:spacing w:val="-16"/>
          <w:w w:val="95"/>
        </w:rPr>
        <w:t xml:space="preserve"> </w:t>
      </w:r>
      <w:r w:rsidRPr="00BB11D1">
        <w:rPr>
          <w:rFonts w:asciiTheme="majorBidi" w:hAnsiTheme="majorBidi" w:cstheme="majorBidi"/>
          <w:w w:val="95"/>
        </w:rPr>
        <w:t>the</w:t>
      </w:r>
      <w:r w:rsidRPr="00BB11D1">
        <w:rPr>
          <w:rFonts w:asciiTheme="majorBidi" w:hAnsiTheme="majorBidi" w:cstheme="majorBidi"/>
          <w:spacing w:val="-15"/>
          <w:w w:val="95"/>
        </w:rPr>
        <w:t xml:space="preserve"> </w:t>
      </w:r>
      <w:r w:rsidRPr="00BB11D1">
        <w:rPr>
          <w:rFonts w:asciiTheme="majorBidi" w:hAnsiTheme="majorBidi" w:cstheme="majorBidi"/>
          <w:w w:val="95"/>
        </w:rPr>
        <w:t>Subcommittee</w:t>
      </w:r>
      <w:r w:rsidRPr="00BB11D1">
        <w:rPr>
          <w:rFonts w:asciiTheme="majorBidi" w:hAnsiTheme="majorBidi" w:cstheme="majorBidi"/>
          <w:spacing w:val="-16"/>
          <w:w w:val="95"/>
        </w:rPr>
        <w:t xml:space="preserve"> </w:t>
      </w:r>
      <w:r w:rsidRPr="00BB11D1">
        <w:rPr>
          <w:rFonts w:asciiTheme="majorBidi" w:hAnsiTheme="majorBidi" w:cstheme="majorBidi"/>
          <w:w w:val="95"/>
        </w:rPr>
        <w:t>on</w:t>
      </w:r>
      <w:r w:rsidRPr="00BB11D1">
        <w:rPr>
          <w:rFonts w:asciiTheme="majorBidi" w:hAnsiTheme="majorBidi" w:cstheme="majorBidi"/>
          <w:spacing w:val="-19"/>
          <w:w w:val="95"/>
        </w:rPr>
        <w:t xml:space="preserve"> </w:t>
      </w:r>
      <w:r w:rsidRPr="00BB11D1">
        <w:rPr>
          <w:rFonts w:asciiTheme="majorBidi" w:hAnsiTheme="majorBidi" w:cstheme="majorBidi"/>
          <w:w w:val="95"/>
        </w:rPr>
        <w:t>Monetary</w:t>
      </w:r>
      <w:r w:rsidRPr="00BB11D1">
        <w:rPr>
          <w:rFonts w:asciiTheme="majorBidi" w:hAnsiTheme="majorBidi" w:cstheme="majorBidi"/>
          <w:spacing w:val="-17"/>
          <w:w w:val="95"/>
        </w:rPr>
        <w:t xml:space="preserve"> </w:t>
      </w:r>
      <w:r w:rsidRPr="00BB11D1">
        <w:rPr>
          <w:rFonts w:asciiTheme="majorBidi" w:hAnsiTheme="majorBidi" w:cstheme="majorBidi"/>
          <w:w w:val="95"/>
        </w:rPr>
        <w:t>Policy</w:t>
      </w:r>
      <w:r w:rsidRPr="00BB11D1">
        <w:rPr>
          <w:rFonts w:asciiTheme="majorBidi" w:hAnsiTheme="majorBidi" w:cstheme="majorBidi"/>
          <w:spacing w:val="-16"/>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Trade</w:t>
      </w:r>
      <w:r w:rsidRPr="00BB11D1">
        <w:rPr>
          <w:rFonts w:asciiTheme="majorBidi" w:hAnsiTheme="majorBidi" w:cstheme="majorBidi"/>
          <w:spacing w:val="-15"/>
          <w:w w:val="95"/>
        </w:rPr>
        <w:t xml:space="preserve"> </w:t>
      </w:r>
      <w:r w:rsidRPr="00BB11D1">
        <w:rPr>
          <w:rFonts w:asciiTheme="majorBidi" w:hAnsiTheme="majorBidi" w:cstheme="majorBidi"/>
          <w:w w:val="95"/>
        </w:rPr>
        <w:t>of</w:t>
      </w:r>
      <w:r w:rsidRPr="00BB11D1">
        <w:rPr>
          <w:rFonts w:asciiTheme="majorBidi" w:hAnsiTheme="majorBidi" w:cstheme="majorBidi"/>
          <w:spacing w:val="-19"/>
          <w:w w:val="95"/>
        </w:rPr>
        <w:t xml:space="preserve"> </w:t>
      </w:r>
      <w:r w:rsidRPr="00BB11D1">
        <w:rPr>
          <w:rFonts w:asciiTheme="majorBidi" w:hAnsiTheme="majorBidi" w:cstheme="majorBidi"/>
          <w:w w:val="95"/>
        </w:rPr>
        <w:t>the</w:t>
      </w:r>
      <w:r w:rsidRPr="00BB11D1">
        <w:rPr>
          <w:rFonts w:asciiTheme="majorBidi" w:hAnsiTheme="majorBidi" w:cstheme="majorBidi"/>
          <w:spacing w:val="-16"/>
          <w:w w:val="95"/>
        </w:rPr>
        <w:t xml:space="preserve"> </w:t>
      </w:r>
      <w:r w:rsidRPr="00BB11D1">
        <w:rPr>
          <w:rFonts w:asciiTheme="majorBidi" w:hAnsiTheme="majorBidi" w:cstheme="majorBidi"/>
          <w:w w:val="95"/>
        </w:rPr>
        <w:t>Committee on</w:t>
      </w:r>
      <w:r w:rsidRPr="00BB11D1">
        <w:rPr>
          <w:rFonts w:asciiTheme="majorBidi" w:hAnsiTheme="majorBidi" w:cstheme="majorBidi"/>
          <w:spacing w:val="-19"/>
          <w:w w:val="95"/>
        </w:rPr>
        <w:t xml:space="preserve"> </w:t>
      </w:r>
      <w:r w:rsidRPr="00BB11D1">
        <w:rPr>
          <w:rFonts w:asciiTheme="majorBidi" w:hAnsiTheme="majorBidi" w:cstheme="majorBidi"/>
          <w:w w:val="95"/>
        </w:rPr>
        <w:t>Financial</w:t>
      </w:r>
      <w:r w:rsidRPr="00BB11D1">
        <w:rPr>
          <w:rFonts w:asciiTheme="majorBidi" w:hAnsiTheme="majorBidi" w:cstheme="majorBidi"/>
          <w:spacing w:val="-19"/>
          <w:w w:val="95"/>
        </w:rPr>
        <w:t xml:space="preserve"> </w:t>
      </w:r>
      <w:r w:rsidRPr="00BB11D1">
        <w:rPr>
          <w:rFonts w:asciiTheme="majorBidi" w:hAnsiTheme="majorBidi" w:cstheme="majorBidi"/>
          <w:w w:val="95"/>
        </w:rPr>
        <w:t>Services,</w:t>
      </w:r>
      <w:r w:rsidRPr="00BB11D1">
        <w:rPr>
          <w:rFonts w:asciiTheme="majorBidi" w:hAnsiTheme="majorBidi" w:cstheme="majorBidi"/>
          <w:spacing w:val="-20"/>
          <w:w w:val="95"/>
        </w:rPr>
        <w:t xml:space="preserve"> </w:t>
      </w:r>
      <w:r w:rsidRPr="00BB11D1">
        <w:rPr>
          <w:rFonts w:asciiTheme="majorBidi" w:hAnsiTheme="majorBidi" w:cstheme="majorBidi"/>
          <w:w w:val="95"/>
        </w:rPr>
        <w:t>United</w:t>
      </w:r>
      <w:r w:rsidRPr="00BB11D1">
        <w:rPr>
          <w:rFonts w:asciiTheme="majorBidi" w:hAnsiTheme="majorBidi" w:cstheme="majorBidi"/>
          <w:spacing w:val="-19"/>
          <w:w w:val="95"/>
        </w:rPr>
        <w:t xml:space="preserve"> </w:t>
      </w:r>
      <w:r w:rsidRPr="00BB11D1">
        <w:rPr>
          <w:rFonts w:asciiTheme="majorBidi" w:hAnsiTheme="majorBidi" w:cstheme="majorBidi"/>
          <w:w w:val="95"/>
        </w:rPr>
        <w:t>States</w:t>
      </w:r>
      <w:r w:rsidRPr="00BB11D1">
        <w:rPr>
          <w:rFonts w:asciiTheme="majorBidi" w:hAnsiTheme="majorBidi" w:cstheme="majorBidi"/>
          <w:spacing w:val="-19"/>
          <w:w w:val="95"/>
        </w:rPr>
        <w:t xml:space="preserve"> </w:t>
      </w:r>
      <w:r w:rsidRPr="00BB11D1">
        <w:rPr>
          <w:rFonts w:asciiTheme="majorBidi" w:hAnsiTheme="majorBidi" w:cstheme="majorBidi"/>
          <w:w w:val="95"/>
        </w:rPr>
        <w:t>House</w:t>
      </w:r>
      <w:r w:rsidRPr="00BB11D1">
        <w:rPr>
          <w:rFonts w:asciiTheme="majorBidi" w:hAnsiTheme="majorBidi" w:cstheme="majorBidi"/>
          <w:spacing w:val="-20"/>
          <w:w w:val="95"/>
        </w:rPr>
        <w:t xml:space="preserve"> </w:t>
      </w:r>
      <w:r w:rsidRPr="00BB11D1">
        <w:rPr>
          <w:rFonts w:asciiTheme="majorBidi" w:hAnsiTheme="majorBidi" w:cstheme="majorBidi"/>
          <w:w w:val="95"/>
        </w:rPr>
        <w:t>of</w:t>
      </w:r>
      <w:r w:rsidRPr="00BB11D1">
        <w:rPr>
          <w:rFonts w:asciiTheme="majorBidi" w:hAnsiTheme="majorBidi" w:cstheme="majorBidi"/>
          <w:spacing w:val="-20"/>
          <w:w w:val="95"/>
        </w:rPr>
        <w:t xml:space="preserve"> </w:t>
      </w:r>
      <w:r w:rsidRPr="00BB11D1">
        <w:rPr>
          <w:rFonts w:asciiTheme="majorBidi" w:hAnsiTheme="majorBidi" w:cstheme="majorBidi"/>
          <w:w w:val="95"/>
        </w:rPr>
        <w:t>Representatives,</w:t>
      </w:r>
      <w:r w:rsidRPr="00BB11D1">
        <w:rPr>
          <w:rFonts w:asciiTheme="majorBidi" w:hAnsiTheme="majorBidi" w:cstheme="majorBidi"/>
          <w:spacing w:val="-18"/>
          <w:w w:val="95"/>
        </w:rPr>
        <w:t xml:space="preserve"> </w:t>
      </w:r>
      <w:r w:rsidRPr="00BB11D1">
        <w:rPr>
          <w:rFonts w:asciiTheme="majorBidi" w:hAnsiTheme="majorBidi" w:cstheme="majorBidi"/>
          <w:w w:val="95"/>
        </w:rPr>
        <w:t>Hearing</w:t>
      </w:r>
      <w:r w:rsidRPr="00BB11D1">
        <w:rPr>
          <w:rFonts w:asciiTheme="majorBidi" w:hAnsiTheme="majorBidi" w:cstheme="majorBidi"/>
          <w:spacing w:val="-19"/>
          <w:w w:val="95"/>
        </w:rPr>
        <w:t xml:space="preserve"> </w:t>
      </w:r>
      <w:r w:rsidRPr="00BB11D1">
        <w:rPr>
          <w:rFonts w:asciiTheme="majorBidi" w:hAnsiTheme="majorBidi" w:cstheme="majorBidi"/>
          <w:w w:val="95"/>
        </w:rPr>
        <w:t>on</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20"/>
          <w:w w:val="95"/>
        </w:rPr>
        <w:t xml:space="preserve"> </w:t>
      </w:r>
      <w:r w:rsidRPr="00BB11D1">
        <w:rPr>
          <w:rFonts w:asciiTheme="majorBidi" w:hAnsiTheme="majorBidi" w:cstheme="majorBidi"/>
          <w:w w:val="95"/>
        </w:rPr>
        <w:t>future</w:t>
      </w:r>
      <w:r w:rsidRPr="00BB11D1">
        <w:rPr>
          <w:rFonts w:asciiTheme="majorBidi" w:hAnsiTheme="majorBidi" w:cstheme="majorBidi"/>
          <w:spacing w:val="-18"/>
          <w:w w:val="95"/>
        </w:rPr>
        <w:t xml:space="preserve"> </w:t>
      </w:r>
      <w:r w:rsidRPr="00BB11D1">
        <w:rPr>
          <w:rFonts w:asciiTheme="majorBidi" w:hAnsiTheme="majorBidi" w:cstheme="majorBidi"/>
          <w:w w:val="95"/>
        </w:rPr>
        <w:t>of</w:t>
      </w:r>
      <w:r w:rsidRPr="00BB11D1">
        <w:rPr>
          <w:rFonts w:asciiTheme="majorBidi" w:hAnsiTheme="majorBidi" w:cstheme="majorBidi"/>
          <w:spacing w:val="-20"/>
          <w:w w:val="95"/>
        </w:rPr>
        <w:t xml:space="preserve"> </w:t>
      </w:r>
      <w:r w:rsidRPr="00BB11D1">
        <w:rPr>
          <w:rFonts w:asciiTheme="majorBidi" w:hAnsiTheme="majorBidi" w:cstheme="majorBidi"/>
          <w:w w:val="95"/>
        </w:rPr>
        <w:t>money:</w:t>
      </w:r>
      <w:r w:rsidRPr="00BB11D1">
        <w:rPr>
          <w:rFonts w:asciiTheme="majorBidi" w:hAnsiTheme="majorBidi" w:cstheme="majorBidi"/>
          <w:spacing w:val="-20"/>
          <w:w w:val="95"/>
        </w:rPr>
        <w:t xml:space="preserve"> </w:t>
      </w:r>
      <w:r w:rsidRPr="00BB11D1">
        <w:rPr>
          <w:rFonts w:asciiTheme="majorBidi" w:hAnsiTheme="majorBidi" w:cstheme="majorBidi"/>
          <w:w w:val="95"/>
        </w:rPr>
        <w:t xml:space="preserve">Digital </w:t>
      </w:r>
      <w:r w:rsidRPr="00BB11D1">
        <w:rPr>
          <w:rFonts w:asciiTheme="majorBidi" w:hAnsiTheme="majorBidi" w:cstheme="majorBidi"/>
        </w:rPr>
        <w:t>currency, July 18,</w:t>
      </w:r>
      <w:r w:rsidRPr="00BB11D1">
        <w:rPr>
          <w:rFonts w:asciiTheme="majorBidi" w:hAnsiTheme="majorBidi" w:cstheme="majorBidi"/>
          <w:spacing w:val="-43"/>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before="62" w:line="312" w:lineRule="auto"/>
        <w:ind w:right="2985"/>
        <w:jc w:val="both"/>
        <w:rPr>
          <w:rFonts w:asciiTheme="majorBidi" w:hAnsiTheme="majorBidi" w:cstheme="majorBidi"/>
        </w:rPr>
      </w:pPr>
      <w:r w:rsidRPr="00BB11D1">
        <w:rPr>
          <w:rFonts w:asciiTheme="majorBidi" w:hAnsiTheme="majorBidi" w:cstheme="majorBidi"/>
          <w:w w:val="90"/>
        </w:rPr>
        <w:t>Sveriges</w:t>
      </w:r>
      <w:r w:rsidRPr="00BB11D1">
        <w:rPr>
          <w:rFonts w:asciiTheme="majorBidi" w:hAnsiTheme="majorBidi" w:cstheme="majorBidi"/>
          <w:spacing w:val="-8"/>
          <w:w w:val="90"/>
        </w:rPr>
        <w:t xml:space="preserve"> </w:t>
      </w:r>
      <w:r w:rsidRPr="00BB11D1">
        <w:rPr>
          <w:rFonts w:asciiTheme="majorBidi" w:hAnsiTheme="majorBidi" w:cstheme="majorBidi"/>
          <w:w w:val="90"/>
        </w:rPr>
        <w:t>Riksbank</w:t>
      </w:r>
      <w:r w:rsidRPr="00BB11D1">
        <w:rPr>
          <w:rFonts w:asciiTheme="majorBidi" w:hAnsiTheme="majorBidi" w:cstheme="majorBidi"/>
          <w:spacing w:val="-8"/>
          <w:w w:val="90"/>
        </w:rPr>
        <w:t xml:space="preserve"> </w:t>
      </w:r>
      <w:r w:rsidRPr="00BB11D1">
        <w:rPr>
          <w:rFonts w:asciiTheme="majorBidi" w:hAnsiTheme="majorBidi" w:cstheme="majorBidi"/>
          <w:w w:val="90"/>
        </w:rPr>
        <w:t>(2017):</w:t>
      </w:r>
      <w:r w:rsidRPr="00BB11D1">
        <w:rPr>
          <w:rFonts w:asciiTheme="majorBidi" w:hAnsiTheme="majorBidi" w:cstheme="majorBidi"/>
          <w:spacing w:val="-4"/>
          <w:w w:val="90"/>
        </w:rPr>
        <w:t xml:space="preserve"> </w:t>
      </w:r>
      <w:r w:rsidRPr="00BB11D1">
        <w:rPr>
          <w:rFonts w:asciiTheme="majorBidi" w:hAnsiTheme="majorBidi" w:cstheme="majorBidi"/>
          <w:w w:val="90"/>
        </w:rPr>
        <w:t>The</w:t>
      </w:r>
      <w:r w:rsidRPr="00BB11D1">
        <w:rPr>
          <w:rFonts w:asciiTheme="majorBidi" w:hAnsiTheme="majorBidi" w:cstheme="majorBidi"/>
          <w:spacing w:val="-5"/>
          <w:w w:val="90"/>
        </w:rPr>
        <w:t xml:space="preserve"> </w:t>
      </w:r>
      <w:r w:rsidRPr="00BB11D1">
        <w:rPr>
          <w:rFonts w:asciiTheme="majorBidi" w:hAnsiTheme="majorBidi" w:cstheme="majorBidi"/>
          <w:w w:val="90"/>
        </w:rPr>
        <w:t>Riksbank’s</w:t>
      </w:r>
      <w:r w:rsidRPr="00BB11D1">
        <w:rPr>
          <w:rFonts w:asciiTheme="majorBidi" w:hAnsiTheme="majorBidi" w:cstheme="majorBidi"/>
          <w:spacing w:val="-5"/>
          <w:w w:val="90"/>
        </w:rPr>
        <w:t xml:space="preserve"> </w:t>
      </w:r>
      <w:r w:rsidRPr="00BB11D1">
        <w:rPr>
          <w:rFonts w:asciiTheme="majorBidi" w:hAnsiTheme="majorBidi" w:cstheme="majorBidi"/>
          <w:w w:val="90"/>
        </w:rPr>
        <w:t>e-krona</w:t>
      </w:r>
      <w:r w:rsidRPr="00BB11D1">
        <w:rPr>
          <w:rFonts w:asciiTheme="majorBidi" w:hAnsiTheme="majorBidi" w:cstheme="majorBidi"/>
          <w:spacing w:val="-5"/>
          <w:w w:val="90"/>
        </w:rPr>
        <w:t xml:space="preserve"> </w:t>
      </w:r>
      <w:r w:rsidRPr="00BB11D1">
        <w:rPr>
          <w:rFonts w:asciiTheme="majorBidi" w:hAnsiTheme="majorBidi" w:cstheme="majorBidi"/>
          <w:w w:val="90"/>
        </w:rPr>
        <w:t>project</w:t>
      </w:r>
      <w:r w:rsidRPr="00BB11D1">
        <w:rPr>
          <w:rFonts w:asciiTheme="majorBidi" w:hAnsiTheme="majorBidi" w:cstheme="majorBidi"/>
          <w:spacing w:val="-7"/>
          <w:w w:val="90"/>
        </w:rPr>
        <w:t xml:space="preserve"> </w:t>
      </w:r>
      <w:r w:rsidRPr="00BB11D1">
        <w:rPr>
          <w:rFonts w:asciiTheme="majorBidi" w:hAnsiTheme="majorBidi" w:cstheme="majorBidi"/>
          <w:w w:val="90"/>
        </w:rPr>
        <w:t>–</w:t>
      </w:r>
      <w:r w:rsidRPr="00BB11D1">
        <w:rPr>
          <w:rFonts w:asciiTheme="majorBidi" w:hAnsiTheme="majorBidi" w:cstheme="majorBidi"/>
          <w:spacing w:val="-5"/>
          <w:w w:val="90"/>
        </w:rPr>
        <w:t xml:space="preserve"> </w:t>
      </w:r>
      <w:r w:rsidRPr="00BB11D1">
        <w:rPr>
          <w:rFonts w:asciiTheme="majorBidi" w:hAnsiTheme="majorBidi" w:cstheme="majorBidi"/>
          <w:w w:val="90"/>
        </w:rPr>
        <w:t>Report</w:t>
      </w:r>
      <w:r w:rsidRPr="00BB11D1">
        <w:rPr>
          <w:rFonts w:asciiTheme="majorBidi" w:hAnsiTheme="majorBidi" w:cstheme="majorBidi"/>
          <w:spacing w:val="-7"/>
          <w:w w:val="90"/>
        </w:rPr>
        <w:t xml:space="preserve"> </w:t>
      </w:r>
      <w:r w:rsidRPr="00BB11D1">
        <w:rPr>
          <w:rFonts w:asciiTheme="majorBidi" w:hAnsiTheme="majorBidi" w:cstheme="majorBidi"/>
          <w:w w:val="90"/>
        </w:rPr>
        <w:t>1,</w:t>
      </w:r>
      <w:r w:rsidRPr="00BB11D1">
        <w:rPr>
          <w:rFonts w:asciiTheme="majorBidi" w:hAnsiTheme="majorBidi" w:cstheme="majorBidi"/>
          <w:spacing w:val="-5"/>
          <w:w w:val="90"/>
        </w:rPr>
        <w:t xml:space="preserve"> </w:t>
      </w:r>
      <w:r w:rsidRPr="00BB11D1">
        <w:rPr>
          <w:rFonts w:asciiTheme="majorBidi" w:hAnsiTheme="majorBidi" w:cstheme="majorBidi"/>
          <w:w w:val="90"/>
        </w:rPr>
        <w:t xml:space="preserve">September. </w:t>
      </w:r>
      <w:r w:rsidRPr="00BB11D1">
        <w:rPr>
          <w:rFonts w:asciiTheme="majorBidi" w:hAnsiTheme="majorBidi" w:cstheme="majorBidi"/>
          <w:w w:val="95"/>
        </w:rPr>
        <w:t>Sveriges</w:t>
      </w:r>
      <w:r w:rsidRPr="00BB11D1">
        <w:rPr>
          <w:rFonts w:asciiTheme="majorBidi" w:hAnsiTheme="majorBidi" w:cstheme="majorBidi"/>
          <w:spacing w:val="-32"/>
          <w:w w:val="95"/>
        </w:rPr>
        <w:t xml:space="preserve"> </w:t>
      </w:r>
      <w:r w:rsidRPr="00BB11D1">
        <w:rPr>
          <w:rFonts w:asciiTheme="majorBidi" w:hAnsiTheme="majorBidi" w:cstheme="majorBidi"/>
          <w:w w:val="95"/>
        </w:rPr>
        <w:t>Riksbank</w:t>
      </w:r>
      <w:r w:rsidRPr="00BB11D1">
        <w:rPr>
          <w:rFonts w:asciiTheme="majorBidi" w:hAnsiTheme="majorBidi" w:cstheme="majorBidi"/>
          <w:spacing w:val="-31"/>
          <w:w w:val="95"/>
        </w:rPr>
        <w:t xml:space="preserve"> </w:t>
      </w:r>
      <w:r w:rsidRPr="00BB11D1">
        <w:rPr>
          <w:rFonts w:asciiTheme="majorBidi" w:hAnsiTheme="majorBidi" w:cstheme="majorBidi"/>
          <w:w w:val="95"/>
        </w:rPr>
        <w:t>(2018):</w:t>
      </w:r>
      <w:r w:rsidRPr="00BB11D1">
        <w:rPr>
          <w:rFonts w:asciiTheme="majorBidi" w:hAnsiTheme="majorBidi" w:cstheme="majorBidi"/>
          <w:spacing w:val="-30"/>
          <w:w w:val="95"/>
        </w:rPr>
        <w:t xml:space="preserve"> </w:t>
      </w:r>
      <w:r w:rsidRPr="00BB11D1">
        <w:rPr>
          <w:rFonts w:asciiTheme="majorBidi" w:hAnsiTheme="majorBidi" w:cstheme="majorBidi"/>
          <w:w w:val="95"/>
        </w:rPr>
        <w:t>The</w:t>
      </w:r>
      <w:r w:rsidRPr="00BB11D1">
        <w:rPr>
          <w:rFonts w:asciiTheme="majorBidi" w:hAnsiTheme="majorBidi" w:cstheme="majorBidi"/>
          <w:spacing w:val="-30"/>
          <w:w w:val="95"/>
        </w:rPr>
        <w:t xml:space="preserve"> </w:t>
      </w:r>
      <w:r w:rsidRPr="00BB11D1">
        <w:rPr>
          <w:rFonts w:asciiTheme="majorBidi" w:hAnsiTheme="majorBidi" w:cstheme="majorBidi"/>
          <w:w w:val="95"/>
        </w:rPr>
        <w:t>Riksbank’s</w:t>
      </w:r>
      <w:r w:rsidRPr="00BB11D1">
        <w:rPr>
          <w:rFonts w:asciiTheme="majorBidi" w:hAnsiTheme="majorBidi" w:cstheme="majorBidi"/>
          <w:spacing w:val="-30"/>
          <w:w w:val="95"/>
        </w:rPr>
        <w:t xml:space="preserve"> </w:t>
      </w:r>
      <w:r w:rsidRPr="00BB11D1">
        <w:rPr>
          <w:rFonts w:asciiTheme="majorBidi" w:hAnsiTheme="majorBidi" w:cstheme="majorBidi"/>
          <w:w w:val="95"/>
        </w:rPr>
        <w:t>e-krona</w:t>
      </w:r>
      <w:r w:rsidRPr="00BB11D1">
        <w:rPr>
          <w:rFonts w:asciiTheme="majorBidi" w:hAnsiTheme="majorBidi" w:cstheme="majorBidi"/>
          <w:spacing w:val="-30"/>
          <w:w w:val="95"/>
        </w:rPr>
        <w:t xml:space="preserve"> </w:t>
      </w:r>
      <w:r w:rsidRPr="00BB11D1">
        <w:rPr>
          <w:rFonts w:asciiTheme="majorBidi" w:hAnsiTheme="majorBidi" w:cstheme="majorBidi"/>
          <w:w w:val="95"/>
        </w:rPr>
        <w:t>project</w:t>
      </w:r>
      <w:r w:rsidRPr="00BB11D1">
        <w:rPr>
          <w:rFonts w:asciiTheme="majorBidi" w:hAnsiTheme="majorBidi" w:cstheme="majorBidi"/>
          <w:spacing w:val="-31"/>
          <w:w w:val="95"/>
        </w:rPr>
        <w:t xml:space="preserve"> </w:t>
      </w:r>
      <w:r w:rsidRPr="00BB11D1">
        <w:rPr>
          <w:rFonts w:asciiTheme="majorBidi" w:hAnsiTheme="majorBidi" w:cstheme="majorBidi"/>
          <w:w w:val="95"/>
        </w:rPr>
        <w:t>–</w:t>
      </w:r>
      <w:r w:rsidRPr="00BB11D1">
        <w:rPr>
          <w:rFonts w:asciiTheme="majorBidi" w:hAnsiTheme="majorBidi" w:cstheme="majorBidi"/>
          <w:spacing w:val="-31"/>
          <w:w w:val="95"/>
        </w:rPr>
        <w:t xml:space="preserve"> </w:t>
      </w:r>
      <w:r w:rsidRPr="00BB11D1">
        <w:rPr>
          <w:rFonts w:asciiTheme="majorBidi" w:hAnsiTheme="majorBidi" w:cstheme="majorBidi"/>
          <w:w w:val="95"/>
        </w:rPr>
        <w:t>Report</w:t>
      </w:r>
      <w:r w:rsidRPr="00BB11D1">
        <w:rPr>
          <w:rFonts w:asciiTheme="majorBidi" w:hAnsiTheme="majorBidi" w:cstheme="majorBidi"/>
          <w:spacing w:val="-31"/>
          <w:w w:val="95"/>
        </w:rPr>
        <w:t xml:space="preserve"> </w:t>
      </w:r>
      <w:r w:rsidRPr="00BB11D1">
        <w:rPr>
          <w:rFonts w:asciiTheme="majorBidi" w:hAnsiTheme="majorBidi" w:cstheme="majorBidi"/>
          <w:w w:val="95"/>
        </w:rPr>
        <w:t>2,</w:t>
      </w:r>
      <w:r w:rsidRPr="00BB11D1">
        <w:rPr>
          <w:rFonts w:asciiTheme="majorBidi" w:hAnsiTheme="majorBidi" w:cstheme="majorBidi"/>
          <w:spacing w:val="-32"/>
          <w:w w:val="95"/>
        </w:rPr>
        <w:t xml:space="preserve"> </w:t>
      </w:r>
      <w:r w:rsidRPr="00BB11D1">
        <w:rPr>
          <w:rFonts w:asciiTheme="majorBidi" w:hAnsiTheme="majorBidi" w:cstheme="majorBidi"/>
          <w:w w:val="95"/>
        </w:rPr>
        <w:t>October.</w:t>
      </w:r>
    </w:p>
    <w:p w:rsidR="000255A4" w:rsidRPr="00BB11D1" w:rsidRDefault="000255A4" w:rsidP="006A2441">
      <w:pPr>
        <w:bidi/>
        <w:spacing w:line="312" w:lineRule="auto"/>
        <w:jc w:val="both"/>
        <w:rPr>
          <w:rFonts w:asciiTheme="majorBidi" w:hAnsiTheme="majorBidi" w:cstheme="majorBidi"/>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9"/>
        <w:rPr>
          <w:rFonts w:asciiTheme="majorBidi" w:hAnsiTheme="majorBidi" w:cstheme="majorBidi"/>
          <w:sz w:val="28"/>
        </w:rPr>
      </w:pPr>
    </w:p>
    <w:p w:rsidR="000255A4" w:rsidRPr="00BB11D1" w:rsidRDefault="00BB11D1" w:rsidP="00BB11D1">
      <w:pPr>
        <w:pStyle w:val="BodyText"/>
        <w:bidi/>
        <w:spacing w:before="7" w:line="480" w:lineRule="auto"/>
        <w:rPr>
          <w:rFonts w:asciiTheme="majorBidi" w:eastAsia="Trebuchet MS" w:hAnsiTheme="majorBidi" w:cstheme="majorBidi"/>
          <w:b/>
          <w:bCs/>
          <w:sz w:val="28"/>
          <w:szCs w:val="28"/>
          <w:rtl/>
          <w:lang w:bidi="ar-SA"/>
        </w:rPr>
      </w:pPr>
      <w:bookmarkStart w:id="17" w:name="Annex_International_flow_of_fund_implica"/>
      <w:bookmarkEnd w:id="17"/>
      <w:r w:rsidRPr="00BB11D1">
        <w:rPr>
          <w:rFonts w:asciiTheme="majorBidi" w:eastAsia="Trebuchet MS" w:hAnsiTheme="majorBidi" w:cstheme="majorBidi"/>
          <w:b/>
          <w:bCs/>
          <w:sz w:val="28"/>
          <w:szCs w:val="28"/>
          <w:rtl/>
          <w:lang w:bidi="ar-SA"/>
        </w:rPr>
        <w:t>ملحق: التدفق الدولي للآثار المالية المترتبة على العملات الرقمية</w:t>
      </w:r>
    </w:p>
    <w:p w:rsidR="00BB11D1" w:rsidRPr="00BB11D1" w:rsidRDefault="00BB11D1" w:rsidP="00BB11D1">
      <w:pPr>
        <w:pStyle w:val="BodyText"/>
        <w:bidi/>
        <w:spacing w:before="7" w:line="480" w:lineRule="auto"/>
        <w:rPr>
          <w:rFonts w:asciiTheme="majorBidi" w:hAnsiTheme="majorBidi" w:cstheme="majorBidi"/>
          <w:b/>
          <w:sz w:val="24"/>
        </w:rPr>
      </w:pPr>
    </w:p>
    <w:p w:rsidR="00BB11D1" w:rsidRPr="00BB11D1" w:rsidRDefault="00BB11D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يوضح هذا الملحق تدفقات الأموال المترتبة على العملات الرقمية الجديدة في حالة بلدين حيث تكون العملات الرقمية غير متماثلة فيما يتعلق بالبلدين. يغطي الملحق نوعين من النقود الرقمية: </w:t>
      </w:r>
      <w:r w:rsidRPr="00BB11D1">
        <w:rPr>
          <w:rFonts w:asciiTheme="majorBidi" w:hAnsiTheme="majorBidi" w:cstheme="majorBidi"/>
        </w:rPr>
        <w:t>CBDC</w:t>
      </w:r>
      <w:r w:rsidRPr="00BB11D1">
        <w:rPr>
          <w:rFonts w:asciiTheme="majorBidi" w:hAnsiTheme="majorBidi" w:cstheme="majorBidi"/>
          <w:rtl/>
          <w:lang w:bidi="ar-SA"/>
        </w:rPr>
        <w:t xml:space="preserve"> الصادر عن البنك المركزي في البلد أ ، ولكنه يستخدم أيضًا من قبل الأسر في البلد ب ، وعملة معدنية مستقرة مثل الميزان التي تستثمر احتياطياتها فقط في البلد أ (رغم أنها تستخدم أيضًا في الدولة ب). من الواضح أن تدفق الأموال في سياق دولي يعتمد على نظام الصرف الأجنبي. علاوة على ذلك ، سيعتمدون على كيفية تغيرات التعرضات عبر الحدود (مثل الاحتياطيات الأجنبية للبنك المركزي يمكن أن تتخذ شكل الدين الحكومي أو الودائع المصرفية أو الودائع لدى البنك المركزي). هنا نفترض أولاً نظامًا مرنًا وثابتًا لسعر الصرف الثابت. في الحالة الأولى ، نفترض علاوة على ذلك أن على النظام المصرفي أن يدخل صافي التعرض الأجنبي لموازنة تدفقات رأس المال المرتبطة بمقتنيات الأموال الإلكترونية عبر الحدود. سيؤدي ذلك إلى انخفاض قيمة عملة البلد ب. في نظام سعر الصرف الثابت ، فإن التغييرات في احتياطيات البنك المركزي من شأنها أن تعوض تدفقات رأس المال ، حيث نفترض أن الاحتياطيات يتم الاحتفاظ بها في شكل ودائع لدى البنوك في البلد الآخر. هذه حالتان محددتان فقط ، ولكنها كافية لتوضيح المشكلات ومنطق تسجيل التدفقات في أنظمة الحسابات المالية. نحن لا نعرض حسابات الشركات والحكومة حيث يفترض أنها غير متأثرة. حسابات الدولة "أ" مظللة باللون الأزرق ، وحسابات البلد "ب" باللون الأحمر ، والمركبات العالمية باللون الأصفر.</w:t>
      </w: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xml:space="preserve">• يغطي الشكل أ .1 حالة </w:t>
      </w:r>
      <w:r>
        <w:rPr>
          <w:rFonts w:asciiTheme="majorBidi" w:hAnsiTheme="majorBidi" w:cstheme="majorBidi"/>
          <w:lang w:bidi="ar-SA"/>
        </w:rPr>
        <w:t>CBDC</w:t>
      </w:r>
      <w:r w:rsidRPr="00BB11D1">
        <w:rPr>
          <w:rFonts w:asciiTheme="majorBidi" w:hAnsiTheme="majorBidi" w:cstheme="majorBidi"/>
          <w:rtl/>
          <w:lang w:bidi="ar-SA"/>
        </w:rPr>
        <w:t xml:space="preserve"> في نظام سعر صرف مرن</w:t>
      </w: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xml:space="preserve">• يغطي الشكل أ -2 حالة </w:t>
      </w:r>
      <w:r>
        <w:rPr>
          <w:rFonts w:asciiTheme="majorBidi" w:hAnsiTheme="majorBidi" w:cstheme="majorBidi"/>
          <w:lang w:bidi="ar-SA"/>
        </w:rPr>
        <w:t>CBDC</w:t>
      </w:r>
      <w:r w:rsidRPr="00BB11D1">
        <w:rPr>
          <w:rFonts w:asciiTheme="majorBidi" w:hAnsiTheme="majorBidi" w:cstheme="majorBidi"/>
          <w:rtl/>
          <w:lang w:bidi="ar-SA"/>
        </w:rPr>
        <w:t xml:space="preserve"> في نظام سعر صرف ثابت</w:t>
      </w: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ﯾﻐطﻲ اﻟﺷﮐل أ .3 ﺣﺎﻟﺔ اﻟﻌﻣﻟﺔ اﻟﺛﺎﺑﺗﺔ اﻟﺛﺎﺑﺗﺔ اﻟﺗﻲ ﺗﻣﺛل اﻟﻧﻣرة اﻟﻟﯾﻔﯾﺔ ﻓﻲ ﻧظﺎم ﺳﻌر ﺻرف ﻣرن</w:t>
      </w:r>
    </w:p>
    <w:p w:rsidR="00BB11D1" w:rsidRPr="00BB11D1" w:rsidRDefault="00BB11D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 ﻳﻐﻄﻲ اﻟﺸﻜﻞ أ .4 ﺣﺎﻟﺔ اﻟﻌﻤﻠﺔ اﻟﺜﺎﺑﺘﺔ اﻟﻤﺴﺘﻘﺮة ﻋﻠﻰ اﻟﻨﺤﻮ اﻟﻤﻤﻴﺰ ﻓﻲ ﻧﻈﺎم ﺳﻌﺮ اﻟﺼﺮف اﻟﺜﺎﺑﺖ</w:t>
      </w:r>
    </w:p>
    <w:p w:rsidR="00BB11D1" w:rsidRPr="00BB11D1" w:rsidRDefault="00BB11D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يتم تلخيص التأثير على طول الميزانية العمومية للبنوك والمصارف المركزية ، وعلى اعتماد البنوك على التمويل من البنك المركزي أو عبر الحدود ، في جدول في القسم 8 من النص الرئيسي.</w:t>
      </w:r>
    </w:p>
    <w:p w:rsidR="000255A4" w:rsidRPr="00BB11D1" w:rsidRDefault="00BB11D1" w:rsidP="00BB11D1">
      <w:pPr>
        <w:bidi/>
        <w:spacing w:line="480" w:lineRule="auto"/>
        <w:rPr>
          <w:rFonts w:asciiTheme="majorBidi" w:hAnsiTheme="majorBidi" w:cstheme="majorBidi"/>
        </w:rPr>
        <w:sectPr w:rsidR="000255A4" w:rsidRPr="00BB11D1" w:rsidSect="00BB11D1">
          <w:pgSz w:w="11910" w:h="16840"/>
          <w:pgMar w:top="1440" w:right="1440" w:bottom="1440" w:left="1440" w:header="0" w:footer="523" w:gutter="0"/>
          <w:cols w:space="720"/>
          <w:docGrid w:linePitch="299"/>
        </w:sectPr>
      </w:pPr>
      <w:r w:rsidRPr="00BB11D1">
        <w:rPr>
          <w:rFonts w:asciiTheme="majorBidi" w:hAnsiTheme="majorBidi" w:cstheme="majorBidi"/>
          <w:rtl/>
          <w:lang w:bidi="ar-SA"/>
        </w:rPr>
        <w:t>لا نزال نستخدم الأرقام المطلقة التي تعكس على نطاق واسع منطقة اليورو (إذا تم تفسيرها على أنها تريليونات من اليورو) تنطبق على كل بلد ، ولكن من الواضح أنه يمكن تغيير هذا.</w:t>
      </w: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3"/>
        <w:rPr>
          <w:rFonts w:asciiTheme="majorBidi" w:hAnsiTheme="majorBidi" w:cstheme="majorBidi"/>
          <w:sz w:val="29"/>
        </w:rPr>
      </w:pPr>
    </w:p>
    <w:p w:rsidR="000255A4" w:rsidRPr="00BB11D1" w:rsidRDefault="00BB11D1" w:rsidP="006A2441">
      <w:pPr>
        <w:bidi/>
        <w:spacing w:before="59" w:line="254" w:lineRule="auto"/>
        <w:ind w:left="250" w:right="681" w:hanging="1"/>
        <w:rPr>
          <w:rFonts w:asciiTheme="majorBidi" w:hAnsiTheme="majorBidi" w:cstheme="majorBidi"/>
          <w:i/>
        </w:rPr>
      </w:pPr>
      <w:bookmarkStart w:id="18" w:name="Figure_A.1_Financial_accounts_representa"/>
      <w:bookmarkEnd w:id="18"/>
      <w:r w:rsidRPr="00BB11D1">
        <w:rPr>
          <w:rFonts w:asciiTheme="majorBidi" w:hAnsiTheme="majorBidi" w:cs="Times New Roman"/>
          <w:i/>
          <w:iCs/>
          <w:w w:val="95"/>
          <w:rtl/>
          <w:lang w:bidi="ar-SA"/>
        </w:rPr>
        <w:t>الشكل أ .1: تمثيل الحسابات المالية لاتفاقية التنوع البيولوجي ، وحالتين من البلدان ، وأسعار الصرف المرنة التي تدخل فيها النظم المصرفية في مطالبات والتزامات عبر الحدود تعوض تدفقات رأس المال المتعلقة بالتنوع البيولوجي</w:t>
      </w:r>
    </w:p>
    <w:p w:rsidR="000255A4" w:rsidRDefault="000255A4" w:rsidP="006A2441">
      <w:pPr>
        <w:bidi/>
        <w:spacing w:line="220" w:lineRule="exact"/>
        <w:rPr>
          <w:rFonts w:asciiTheme="majorBidi" w:hAnsiTheme="majorBidi" w:cstheme="majorBidi"/>
          <w:sz w:val="20"/>
          <w:rtl/>
          <w:lang w:bidi="ar-L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925"/>
        <w:gridCol w:w="1328"/>
        <w:gridCol w:w="144"/>
        <w:gridCol w:w="142"/>
        <w:gridCol w:w="1849"/>
        <w:gridCol w:w="2685"/>
      </w:tblGrid>
      <w:tr w:rsidR="00BB11D1" w:rsidTr="00451448">
        <w:trPr>
          <w:trHeight w:val="244"/>
        </w:trPr>
        <w:tc>
          <w:tcPr>
            <w:tcW w:w="9464" w:type="dxa"/>
            <w:gridSpan w:val="7"/>
            <w:shd w:val="clear" w:color="auto" w:fill="DBE4F0"/>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A - Households, pension and investment funds, insurance companies</w:t>
            </w:r>
          </w:p>
        </w:tc>
      </w:tr>
      <w:tr w:rsidR="00BB11D1" w:rsidTr="00BB11D1">
        <w:trPr>
          <w:trHeight w:val="1955"/>
        </w:trPr>
        <w:tc>
          <w:tcPr>
            <w:tcW w:w="4930" w:type="dxa"/>
            <w:gridSpan w:val="5"/>
            <w:shd w:val="clear" w:color="auto" w:fill="B8CCE4" w:themeFill="accent1" w:themeFillTint="66"/>
          </w:tcPr>
          <w:p w:rsidR="00BB11D1" w:rsidRDefault="00BB11D1" w:rsidP="00451448">
            <w:pPr>
              <w:pStyle w:val="TableParagraph"/>
              <w:tabs>
                <w:tab w:val="right" w:pos="2942"/>
              </w:tabs>
              <w:spacing w:before="4"/>
              <w:ind w:left="107"/>
              <w:rPr>
                <w:sz w:val="20"/>
              </w:rPr>
            </w:pPr>
            <w:r>
              <w:rPr>
                <w:sz w:val="20"/>
              </w:rPr>
              <w:t>Real</w:t>
            </w:r>
            <w:r>
              <w:rPr>
                <w:spacing w:val="-16"/>
                <w:sz w:val="20"/>
              </w:rPr>
              <w:t xml:space="preserve"> </w:t>
            </w:r>
            <w:r>
              <w:rPr>
                <w:sz w:val="20"/>
              </w:rPr>
              <w:t>Assets</w:t>
            </w:r>
            <w:r>
              <w:rPr>
                <w:sz w:val="20"/>
              </w:rPr>
              <w:tab/>
              <w:t>20</w:t>
            </w:r>
          </w:p>
          <w:p w:rsidR="00BB11D1" w:rsidRDefault="00BB11D1" w:rsidP="00451448">
            <w:pPr>
              <w:pStyle w:val="TableParagraph"/>
              <w:tabs>
                <w:tab w:val="left" w:pos="2827"/>
                <w:tab w:val="left" w:pos="3606"/>
              </w:tabs>
              <w:spacing w:before="15"/>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5</w:t>
            </w:r>
            <w:r>
              <w:rPr>
                <w:sz w:val="20"/>
              </w:rPr>
              <w:tab/>
            </w:r>
            <w:r>
              <w:rPr>
                <w:rFonts w:ascii="Trebuchet MS"/>
                <w:b/>
                <w:color w:val="FF0000"/>
                <w:sz w:val="20"/>
              </w:rPr>
              <w:t>-CBDC2.A</w:t>
            </w:r>
          </w:p>
          <w:p w:rsidR="00BB11D1" w:rsidRDefault="00BB11D1" w:rsidP="00451448">
            <w:pPr>
              <w:pStyle w:val="TableParagraph"/>
              <w:tabs>
                <w:tab w:val="right" w:pos="2964"/>
              </w:tabs>
              <w:spacing w:before="10"/>
              <w:ind w:left="107"/>
              <w:rPr>
                <w:sz w:val="20"/>
              </w:rPr>
            </w:pPr>
            <w:r>
              <w:rPr>
                <w:sz w:val="20"/>
              </w:rPr>
              <w:t>Savings +</w:t>
            </w:r>
            <w:r>
              <w:rPr>
                <w:spacing w:val="-40"/>
                <w:sz w:val="20"/>
              </w:rPr>
              <w:t xml:space="preserve"> </w:t>
            </w:r>
            <w:r>
              <w:rPr>
                <w:sz w:val="20"/>
              </w:rPr>
              <w:t>time</w:t>
            </w:r>
            <w:r>
              <w:rPr>
                <w:spacing w:val="-20"/>
                <w:sz w:val="20"/>
              </w:rPr>
              <w:t xml:space="preserve"> </w:t>
            </w:r>
            <w:r>
              <w:rPr>
                <w:sz w:val="20"/>
              </w:rPr>
              <w:t>deposits</w:t>
            </w:r>
            <w:r>
              <w:rPr>
                <w:sz w:val="20"/>
              </w:rPr>
              <w:tab/>
              <w:t>4</w:t>
            </w:r>
          </w:p>
          <w:p w:rsidR="00BB11D1" w:rsidRDefault="00BB11D1" w:rsidP="00451448">
            <w:pPr>
              <w:pStyle w:val="TableParagraph"/>
              <w:tabs>
                <w:tab w:val="left" w:pos="2911"/>
              </w:tabs>
              <w:spacing w:before="15"/>
              <w:ind w:left="107"/>
              <w:rPr>
                <w:rFonts w:ascii="Trebuchet MS"/>
                <w:b/>
                <w:sz w:val="20"/>
              </w:rPr>
            </w:pPr>
            <w:r>
              <w:rPr>
                <w:rFonts w:ascii="Trebuchet MS"/>
                <w:b/>
                <w:sz w:val="20"/>
              </w:rPr>
              <w:t>CBDC</w:t>
            </w:r>
            <w:r>
              <w:rPr>
                <w:rFonts w:ascii="Trebuchet MS"/>
                <w:b/>
                <w:sz w:val="20"/>
              </w:rPr>
              <w:tab/>
            </w:r>
            <w:r>
              <w:rPr>
                <w:rFonts w:ascii="Trebuchet MS"/>
                <w:b/>
                <w:color w:val="00AF50"/>
                <w:sz w:val="20"/>
              </w:rPr>
              <w:t>+CBDC1.A</w:t>
            </w:r>
            <w:r>
              <w:rPr>
                <w:rFonts w:ascii="Trebuchet MS"/>
                <w:b/>
                <w:color w:val="00AF50"/>
                <w:spacing w:val="-42"/>
                <w:sz w:val="20"/>
              </w:rPr>
              <w:t xml:space="preserve"> </w:t>
            </w:r>
            <w:r>
              <w:rPr>
                <w:rFonts w:ascii="Trebuchet MS"/>
                <w:b/>
                <w:color w:val="FF0000"/>
                <w:sz w:val="20"/>
              </w:rPr>
              <w:t>+CBDC2.A</w:t>
            </w:r>
          </w:p>
          <w:p w:rsidR="00BB11D1" w:rsidRDefault="00BB11D1" w:rsidP="00451448">
            <w:pPr>
              <w:pStyle w:val="TableParagraph"/>
              <w:tabs>
                <w:tab w:val="left" w:pos="2729"/>
              </w:tabs>
              <w:spacing w:before="12"/>
              <w:ind w:left="107"/>
              <w:rPr>
                <w:rFonts w:ascii="Trebuchet MS"/>
                <w:b/>
                <w:sz w:val="20"/>
              </w:rPr>
            </w:pPr>
            <w:r>
              <w:rPr>
                <w:w w:val="95"/>
                <w:sz w:val="20"/>
              </w:rPr>
              <w:t>Banknotes</w:t>
            </w:r>
            <w:r>
              <w:rPr>
                <w:w w:val="95"/>
                <w:sz w:val="20"/>
              </w:rPr>
              <w:tab/>
            </w:r>
            <w:r>
              <w:rPr>
                <w:sz w:val="20"/>
              </w:rPr>
              <w:t>1</w:t>
            </w:r>
            <w:r>
              <w:rPr>
                <w:spacing w:val="26"/>
                <w:sz w:val="20"/>
              </w:rPr>
              <w:t xml:space="preserve"> </w:t>
            </w:r>
            <w:r>
              <w:rPr>
                <w:rFonts w:ascii="Trebuchet MS"/>
                <w:b/>
                <w:color w:val="00AF50"/>
                <w:sz w:val="20"/>
              </w:rPr>
              <w:t>-CBDC1.A</w:t>
            </w:r>
          </w:p>
          <w:p w:rsidR="00BB11D1" w:rsidRDefault="00BB11D1" w:rsidP="00451448">
            <w:pPr>
              <w:pStyle w:val="TableParagraph"/>
              <w:tabs>
                <w:tab w:val="right" w:pos="2964"/>
              </w:tabs>
              <w:spacing w:before="10"/>
              <w:ind w:left="107"/>
              <w:rPr>
                <w:sz w:val="20"/>
              </w:rPr>
            </w:pPr>
            <w:r>
              <w:rPr>
                <w:sz w:val="20"/>
              </w:rPr>
              <w:t>Bank</w:t>
            </w:r>
            <w:r>
              <w:rPr>
                <w:spacing w:val="-13"/>
                <w:sz w:val="20"/>
              </w:rPr>
              <w:t xml:space="preserve"> </w:t>
            </w:r>
            <w:r>
              <w:rPr>
                <w:sz w:val="20"/>
              </w:rPr>
              <w:t>bonds</w:t>
            </w:r>
            <w:r>
              <w:rPr>
                <w:sz w:val="20"/>
              </w:rPr>
              <w:tab/>
              <w:t>4</w:t>
            </w:r>
          </w:p>
          <w:p w:rsidR="00BB11D1" w:rsidRDefault="00BB11D1" w:rsidP="00451448">
            <w:pPr>
              <w:pStyle w:val="TableParagraph"/>
              <w:tabs>
                <w:tab w:val="right" w:pos="2956"/>
              </w:tabs>
              <w:spacing w:before="15"/>
              <w:ind w:left="107"/>
              <w:rPr>
                <w:sz w:val="20"/>
              </w:rPr>
            </w:pPr>
            <w:r>
              <w:rPr>
                <w:sz w:val="20"/>
              </w:rPr>
              <w:t>Corporate/Government</w:t>
            </w:r>
            <w:r>
              <w:rPr>
                <w:spacing w:val="-36"/>
                <w:sz w:val="20"/>
              </w:rPr>
              <w:t xml:space="preserve"> </w:t>
            </w:r>
            <w:r>
              <w:rPr>
                <w:sz w:val="20"/>
              </w:rPr>
              <w:t>bonds</w:t>
            </w:r>
            <w:r>
              <w:rPr>
                <w:sz w:val="20"/>
              </w:rPr>
              <w:tab/>
              <w:t>7</w:t>
            </w:r>
          </w:p>
          <w:p w:rsidR="00BB11D1" w:rsidRDefault="00BB11D1" w:rsidP="00451448">
            <w:pPr>
              <w:pStyle w:val="TableParagraph"/>
              <w:tabs>
                <w:tab w:val="right" w:pos="2937"/>
              </w:tabs>
              <w:spacing w:before="15" w:line="223" w:lineRule="exact"/>
              <w:ind w:left="107"/>
              <w:rPr>
                <w:sz w:val="20"/>
              </w:rPr>
            </w:pPr>
            <w:r>
              <w:rPr>
                <w:sz w:val="20"/>
              </w:rPr>
              <w:t>Equity</w:t>
            </w:r>
            <w:r>
              <w:rPr>
                <w:sz w:val="20"/>
              </w:rPr>
              <w:tab/>
              <w:t>8</w:t>
            </w:r>
          </w:p>
        </w:tc>
        <w:tc>
          <w:tcPr>
            <w:tcW w:w="1849" w:type="dxa"/>
            <w:tcBorders>
              <w:right w:val="nil"/>
            </w:tcBorders>
            <w:shd w:val="clear" w:color="auto" w:fill="B8CCE4" w:themeFill="accent1" w:themeFillTint="66"/>
          </w:tcPr>
          <w:p w:rsidR="00BB11D1" w:rsidRDefault="00BB11D1" w:rsidP="00451448">
            <w:pPr>
              <w:pStyle w:val="TableParagraph"/>
              <w:spacing w:before="4" w:line="508" w:lineRule="auto"/>
              <w:ind w:left="107"/>
              <w:rPr>
                <w:sz w:val="20"/>
              </w:rPr>
            </w:pPr>
            <w:r>
              <w:rPr>
                <w:w w:val="90"/>
                <w:sz w:val="20"/>
              </w:rPr>
              <w:t xml:space="preserve">Household Equity </w:t>
            </w:r>
            <w:r>
              <w:rPr>
                <w:sz w:val="20"/>
              </w:rPr>
              <w:t>Bank loans</w:t>
            </w:r>
          </w:p>
        </w:tc>
        <w:tc>
          <w:tcPr>
            <w:tcW w:w="2685" w:type="dxa"/>
            <w:tcBorders>
              <w:left w:val="nil"/>
            </w:tcBorders>
            <w:shd w:val="clear" w:color="auto" w:fill="B8CCE4" w:themeFill="accent1" w:themeFillTint="66"/>
          </w:tcPr>
          <w:p w:rsidR="00BB11D1" w:rsidRDefault="00BB11D1" w:rsidP="00451448">
            <w:pPr>
              <w:pStyle w:val="TableParagraph"/>
              <w:spacing w:before="4"/>
              <w:ind w:left="1063" w:right="1070"/>
              <w:jc w:val="center"/>
              <w:rPr>
                <w:sz w:val="20"/>
              </w:rPr>
            </w:pPr>
            <w:r>
              <w:rPr>
                <w:sz w:val="20"/>
              </w:rPr>
              <w:t>40</w:t>
            </w:r>
          </w:p>
          <w:p w:rsidR="00BB11D1" w:rsidRDefault="00BB11D1" w:rsidP="00451448">
            <w:pPr>
              <w:pStyle w:val="TableParagraph"/>
              <w:spacing w:before="4"/>
              <w:rPr>
                <w:i/>
              </w:rPr>
            </w:pPr>
          </w:p>
          <w:p w:rsidR="00BB11D1" w:rsidRDefault="00BB11D1" w:rsidP="00451448">
            <w:pPr>
              <w:pStyle w:val="TableParagraph"/>
              <w:ind w:left="48"/>
              <w:jc w:val="center"/>
              <w:rPr>
                <w:sz w:val="20"/>
              </w:rPr>
            </w:pPr>
            <w:r>
              <w:rPr>
                <w:w w:val="90"/>
                <w:sz w:val="20"/>
              </w:rPr>
              <w:t>5</w:t>
            </w:r>
          </w:p>
        </w:tc>
      </w:tr>
      <w:tr w:rsidR="00BB11D1" w:rsidTr="00BB11D1">
        <w:trPr>
          <w:trHeight w:val="244"/>
        </w:trPr>
        <w:tc>
          <w:tcPr>
            <w:tcW w:w="9464" w:type="dxa"/>
            <w:gridSpan w:val="7"/>
            <w:shd w:val="clear" w:color="auto" w:fill="B8CCE4" w:themeFill="accent1" w:themeFillTint="66"/>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A- Commercial Banks</w:t>
            </w:r>
          </w:p>
        </w:tc>
      </w:tr>
      <w:tr w:rsidR="00BB11D1" w:rsidTr="00BB11D1">
        <w:trPr>
          <w:trHeight w:val="1463"/>
        </w:trPr>
        <w:tc>
          <w:tcPr>
            <w:tcW w:w="4930" w:type="dxa"/>
            <w:gridSpan w:val="5"/>
            <w:shd w:val="clear" w:color="auto" w:fill="B8CCE4" w:themeFill="accent1" w:themeFillTint="66"/>
          </w:tcPr>
          <w:p w:rsidR="00BB11D1" w:rsidRDefault="00BB11D1" w:rsidP="00451448">
            <w:pPr>
              <w:pStyle w:val="TableParagraph"/>
              <w:tabs>
                <w:tab w:val="left" w:pos="2987"/>
                <w:tab w:val="left" w:pos="3316"/>
              </w:tabs>
              <w:spacing w:before="1"/>
              <w:ind w:left="107"/>
              <w:rPr>
                <w:rFonts w:ascii="Trebuchet MS"/>
                <w:b/>
                <w:sz w:val="20"/>
              </w:rPr>
            </w:pPr>
            <w:r>
              <w:rPr>
                <w:w w:val="95"/>
                <w:sz w:val="20"/>
              </w:rPr>
              <w:t>Loans</w:t>
            </w:r>
            <w:r>
              <w:rPr>
                <w:spacing w:val="-20"/>
                <w:w w:val="95"/>
                <w:sz w:val="20"/>
              </w:rPr>
              <w:t xml:space="preserve"> </w:t>
            </w:r>
            <w:r>
              <w:rPr>
                <w:w w:val="95"/>
                <w:sz w:val="20"/>
              </w:rPr>
              <w:t>to</w:t>
            </w:r>
            <w:r>
              <w:rPr>
                <w:spacing w:val="-20"/>
                <w:w w:val="95"/>
                <w:sz w:val="20"/>
              </w:rPr>
              <w:t xml:space="preserve"> </w:t>
            </w:r>
            <w:r>
              <w:rPr>
                <w:w w:val="95"/>
                <w:sz w:val="20"/>
              </w:rPr>
              <w:t>corporates</w:t>
            </w:r>
            <w:r>
              <w:rPr>
                <w:w w:val="95"/>
                <w:sz w:val="20"/>
              </w:rPr>
              <w:tab/>
            </w:r>
            <w:r>
              <w:rPr>
                <w:sz w:val="20"/>
              </w:rPr>
              <w:t>8</w:t>
            </w:r>
            <w:r>
              <w:rPr>
                <w:sz w:val="20"/>
              </w:rPr>
              <w:tab/>
            </w:r>
            <w:r>
              <w:rPr>
                <w:rFonts w:ascii="Trebuchet MS"/>
                <w:b/>
                <w:color w:val="6F2F9F"/>
                <w:sz w:val="20"/>
              </w:rPr>
              <w:t>-</w:t>
            </w:r>
          </w:p>
          <w:p w:rsidR="00BB11D1" w:rsidRDefault="00BB11D1" w:rsidP="00451448">
            <w:pPr>
              <w:pStyle w:val="TableParagraph"/>
              <w:tabs>
                <w:tab w:val="right" w:pos="3068"/>
              </w:tabs>
              <w:spacing w:before="13"/>
              <w:ind w:left="107"/>
              <w:rPr>
                <w:sz w:val="20"/>
              </w:rPr>
            </w:pPr>
            <w:r>
              <w:rPr>
                <w:sz w:val="20"/>
              </w:rPr>
              <w:t>Loans</w:t>
            </w:r>
            <w:r>
              <w:rPr>
                <w:spacing w:val="-15"/>
                <w:sz w:val="20"/>
              </w:rPr>
              <w:t xml:space="preserve"> </w:t>
            </w:r>
            <w:r>
              <w:rPr>
                <w:sz w:val="20"/>
              </w:rPr>
              <w:t>to</w:t>
            </w:r>
            <w:r>
              <w:rPr>
                <w:spacing w:val="-16"/>
                <w:sz w:val="20"/>
              </w:rPr>
              <w:t xml:space="preserve"> </w:t>
            </w:r>
            <w:r>
              <w:rPr>
                <w:sz w:val="20"/>
              </w:rPr>
              <w:t>government</w:t>
            </w:r>
            <w:r>
              <w:rPr>
                <w:sz w:val="20"/>
              </w:rPr>
              <w:tab/>
              <w:t>2</w:t>
            </w:r>
          </w:p>
          <w:p w:rsidR="00BB11D1" w:rsidRDefault="00BB11D1" w:rsidP="00451448">
            <w:pPr>
              <w:pStyle w:val="TableParagraph"/>
              <w:tabs>
                <w:tab w:val="right" w:pos="3047"/>
              </w:tabs>
              <w:spacing w:before="15"/>
              <w:ind w:left="107"/>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tabs>
                <w:tab w:val="left" w:pos="2973"/>
              </w:tabs>
              <w:spacing w:before="15"/>
              <w:ind w:left="107"/>
              <w:rPr>
                <w:rFonts w:ascii="Trebuchet MS"/>
                <w:b/>
                <w:sz w:val="20"/>
              </w:rPr>
            </w:pPr>
            <w:r>
              <w:rPr>
                <w:sz w:val="20"/>
              </w:rPr>
              <w:t>Corp/state</w:t>
            </w:r>
            <w:r>
              <w:rPr>
                <w:spacing w:val="-40"/>
                <w:sz w:val="20"/>
              </w:rPr>
              <w:t xml:space="preserve"> </w:t>
            </w:r>
            <w:r>
              <w:rPr>
                <w:sz w:val="20"/>
              </w:rPr>
              <w:t>bonds</w:t>
            </w:r>
            <w:r>
              <w:rPr>
                <w:sz w:val="20"/>
              </w:rPr>
              <w:tab/>
              <w:t>5</w:t>
            </w:r>
            <w:r>
              <w:rPr>
                <w:spacing w:val="11"/>
                <w:sz w:val="20"/>
              </w:rPr>
              <w:t xml:space="preserve"> </w:t>
            </w:r>
            <w:r>
              <w:rPr>
                <w:rFonts w:ascii="Trebuchet MS"/>
                <w:b/>
                <w:color w:val="006FC0"/>
                <w:sz w:val="20"/>
              </w:rPr>
              <w:t>-</w:t>
            </w:r>
          </w:p>
          <w:p w:rsidR="00BB11D1" w:rsidRDefault="00BB11D1" w:rsidP="00451448">
            <w:pPr>
              <w:pStyle w:val="TableParagraph"/>
              <w:tabs>
                <w:tab w:val="left" w:pos="2958"/>
              </w:tabs>
              <w:spacing w:before="10"/>
              <w:ind w:left="107"/>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p w:rsidR="00BB11D1" w:rsidRDefault="00BB11D1" w:rsidP="00451448">
            <w:pPr>
              <w:pStyle w:val="TableParagraph"/>
              <w:spacing w:before="15" w:line="220" w:lineRule="exact"/>
              <w:ind w:left="107"/>
              <w:rPr>
                <w:rFonts w:ascii="Trebuchet MS"/>
                <w:b/>
                <w:sz w:val="20"/>
              </w:rPr>
            </w:pPr>
            <w:r>
              <w:rPr>
                <w:rFonts w:ascii="Trebuchet MS"/>
                <w:b/>
                <w:sz w:val="20"/>
              </w:rPr>
              <w:t xml:space="preserve">Claims on banks of country B </w:t>
            </w:r>
            <w:r>
              <w:rPr>
                <w:rFonts w:ascii="Trebuchet MS"/>
                <w:b/>
                <w:color w:val="00AF50"/>
                <w:sz w:val="20"/>
              </w:rPr>
              <w:t xml:space="preserve">+CBDC1.B </w:t>
            </w:r>
            <w:r>
              <w:rPr>
                <w:rFonts w:ascii="Trebuchet MS"/>
                <w:b/>
                <w:color w:val="FF0000"/>
                <w:sz w:val="20"/>
              </w:rPr>
              <w:t>+CBDC2.B</w:t>
            </w:r>
          </w:p>
        </w:tc>
        <w:tc>
          <w:tcPr>
            <w:tcW w:w="4534" w:type="dxa"/>
            <w:gridSpan w:val="2"/>
            <w:shd w:val="clear" w:color="auto" w:fill="B8CCE4" w:themeFill="accent1" w:themeFillTint="66"/>
          </w:tcPr>
          <w:p w:rsidR="00BB11D1" w:rsidRDefault="00BB11D1" w:rsidP="00451448">
            <w:pPr>
              <w:pStyle w:val="TableParagraph"/>
              <w:tabs>
                <w:tab w:val="left" w:pos="2147"/>
              </w:tabs>
              <w:spacing w:before="1"/>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-CBDC2.A</w:t>
            </w:r>
          </w:p>
          <w:p w:rsidR="00BB11D1" w:rsidRDefault="00BB11D1" w:rsidP="00451448">
            <w:pPr>
              <w:pStyle w:val="TableParagraph"/>
              <w:tabs>
                <w:tab w:val="right" w:pos="2265"/>
              </w:tabs>
              <w:spacing w:before="13" w:line="254" w:lineRule="auto"/>
              <w:ind w:left="107" w:right="2237"/>
              <w:rPr>
                <w:sz w:val="20"/>
              </w:rPr>
            </w:pPr>
            <w:r>
              <w:rPr>
                <w:sz w:val="20"/>
              </w:rPr>
              <w:t>Savings</w:t>
            </w:r>
            <w:r>
              <w:rPr>
                <w:spacing w:val="-40"/>
                <w:sz w:val="20"/>
              </w:rPr>
              <w:t xml:space="preserve"> </w:t>
            </w:r>
            <w:r>
              <w:rPr>
                <w:sz w:val="20"/>
              </w:rPr>
              <w:t>+</w:t>
            </w:r>
            <w:r>
              <w:rPr>
                <w:spacing w:val="-39"/>
                <w:sz w:val="20"/>
              </w:rPr>
              <w:t xml:space="preserve"> </w:t>
            </w:r>
            <w:r>
              <w:rPr>
                <w:sz w:val="20"/>
              </w:rPr>
              <w:t>time</w:t>
            </w:r>
            <w:r>
              <w:rPr>
                <w:spacing w:val="-40"/>
                <w:sz w:val="20"/>
              </w:rPr>
              <w:t xml:space="preserve"> </w:t>
            </w:r>
            <w:r>
              <w:rPr>
                <w:sz w:val="20"/>
              </w:rPr>
              <w:t>deposits</w:t>
            </w:r>
            <w:r>
              <w:rPr>
                <w:spacing w:val="9"/>
                <w:sz w:val="20"/>
              </w:rPr>
              <w:t xml:space="preserve"> </w:t>
            </w:r>
            <w:r>
              <w:rPr>
                <w:sz w:val="20"/>
              </w:rPr>
              <w:t>5 Bonds</w:t>
            </w:r>
            <w:r>
              <w:rPr>
                <w:spacing w:val="-16"/>
                <w:sz w:val="20"/>
              </w:rPr>
              <w:t xml:space="preserve"> </w:t>
            </w:r>
            <w:r>
              <w:rPr>
                <w:sz w:val="20"/>
              </w:rPr>
              <w:t>issued</w:t>
            </w:r>
            <w:r>
              <w:rPr>
                <w:sz w:val="20"/>
              </w:rPr>
              <w:tab/>
              <w:t>4</w:t>
            </w:r>
          </w:p>
          <w:p w:rsidR="00BB11D1" w:rsidRDefault="00BB11D1" w:rsidP="00451448">
            <w:pPr>
              <w:pStyle w:val="TableParagraph"/>
              <w:tabs>
                <w:tab w:val="right" w:pos="2260"/>
              </w:tabs>
              <w:spacing w:before="2"/>
              <w:ind w:left="107"/>
              <w:rPr>
                <w:sz w:val="20"/>
              </w:rPr>
            </w:pPr>
            <w:r>
              <w:rPr>
                <w:sz w:val="20"/>
              </w:rPr>
              <w:t>Equity</w:t>
            </w:r>
            <w:r>
              <w:rPr>
                <w:sz w:val="20"/>
              </w:rPr>
              <w:tab/>
              <w:t>3</w:t>
            </w:r>
          </w:p>
          <w:p w:rsidR="00BB11D1" w:rsidRDefault="00BB11D1" w:rsidP="00451448">
            <w:pPr>
              <w:pStyle w:val="TableParagraph"/>
              <w:tabs>
                <w:tab w:val="left" w:pos="1338"/>
              </w:tabs>
              <w:spacing w:before="12"/>
              <w:ind w:left="107"/>
              <w:rPr>
                <w:rFonts w:ascii="Trebuchet MS"/>
                <w:b/>
                <w:sz w:val="20"/>
              </w:rPr>
            </w:pPr>
            <w:r>
              <w:rPr>
                <w:sz w:val="20"/>
              </w:rPr>
              <w:t>CB</w:t>
            </w:r>
            <w:r>
              <w:rPr>
                <w:spacing w:val="-35"/>
                <w:sz w:val="20"/>
              </w:rPr>
              <w:t xml:space="preserve"> </w:t>
            </w:r>
            <w:r>
              <w:rPr>
                <w:sz w:val="20"/>
              </w:rPr>
              <w:t>credit</w:t>
            </w:r>
            <w:r>
              <w:rPr>
                <w:sz w:val="20"/>
              </w:rPr>
              <w:tab/>
              <w:t>1</w:t>
            </w:r>
            <w:r>
              <w:rPr>
                <w:spacing w:val="-12"/>
                <w:sz w:val="20"/>
              </w:rPr>
              <w:t xml:space="preserve"> </w:t>
            </w:r>
            <w:r>
              <w:rPr>
                <w:rFonts w:ascii="Trebuchet MS"/>
                <w:b/>
                <w:color w:val="FF0000"/>
                <w:sz w:val="20"/>
              </w:rPr>
              <w:t>+CBDC2.A</w:t>
            </w:r>
            <w:r>
              <w:rPr>
                <w:rFonts w:ascii="Trebuchet MS"/>
                <w:b/>
                <w:color w:val="FF0000"/>
                <w:spacing w:val="-38"/>
                <w:sz w:val="20"/>
              </w:rPr>
              <w:t xml:space="preserve"> </w:t>
            </w:r>
            <w:r>
              <w:rPr>
                <w:rFonts w:ascii="Trebuchet MS"/>
                <w:b/>
                <w:color w:val="00AF50"/>
                <w:sz w:val="20"/>
              </w:rPr>
              <w:t>+CBDC1.B</w:t>
            </w:r>
            <w:r>
              <w:rPr>
                <w:rFonts w:ascii="Trebuchet MS"/>
                <w:b/>
                <w:color w:val="00AF50"/>
                <w:spacing w:val="-38"/>
                <w:sz w:val="20"/>
              </w:rPr>
              <w:t xml:space="preserve"> </w:t>
            </w:r>
            <w:r>
              <w:rPr>
                <w:rFonts w:ascii="Trebuchet MS"/>
                <w:b/>
                <w:color w:val="FF0000"/>
                <w:sz w:val="20"/>
              </w:rPr>
              <w:t>+CBDC2.B</w:t>
            </w:r>
          </w:p>
        </w:tc>
      </w:tr>
      <w:tr w:rsidR="00BB11D1" w:rsidTr="00BB11D1">
        <w:trPr>
          <w:trHeight w:val="244"/>
        </w:trPr>
        <w:tc>
          <w:tcPr>
            <w:tcW w:w="9464" w:type="dxa"/>
            <w:gridSpan w:val="7"/>
            <w:shd w:val="clear" w:color="auto" w:fill="B8CCE4" w:themeFill="accent1" w:themeFillTint="66"/>
          </w:tcPr>
          <w:p w:rsidR="00BB11D1" w:rsidRDefault="00BB11D1" w:rsidP="00451448">
            <w:pPr>
              <w:pStyle w:val="TableParagraph"/>
              <w:spacing w:before="4" w:line="220" w:lineRule="exact"/>
              <w:ind w:left="1500" w:right="1495"/>
              <w:jc w:val="center"/>
              <w:rPr>
                <w:rFonts w:ascii="Trebuchet MS"/>
                <w:b/>
                <w:sz w:val="20"/>
              </w:rPr>
            </w:pPr>
            <w:r>
              <w:rPr>
                <w:rFonts w:ascii="Trebuchet MS"/>
                <w:b/>
                <w:sz w:val="20"/>
              </w:rPr>
              <w:t>A - Central Bank</w:t>
            </w:r>
          </w:p>
        </w:tc>
      </w:tr>
      <w:tr w:rsidR="00BB11D1" w:rsidTr="00BB11D1">
        <w:trPr>
          <w:trHeight w:val="731"/>
        </w:trPr>
        <w:tc>
          <w:tcPr>
            <w:tcW w:w="4930" w:type="dxa"/>
            <w:gridSpan w:val="5"/>
            <w:shd w:val="clear" w:color="auto" w:fill="B8CCE4" w:themeFill="accent1" w:themeFillTint="66"/>
          </w:tcPr>
          <w:p w:rsidR="00BB11D1" w:rsidRDefault="00BB11D1" w:rsidP="00451448">
            <w:pPr>
              <w:pStyle w:val="TableParagraph"/>
              <w:tabs>
                <w:tab w:val="left" w:pos="1658"/>
              </w:tabs>
              <w:spacing w:before="4"/>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36"/>
                <w:sz w:val="20"/>
              </w:rPr>
              <w:t xml:space="preserve"> </w:t>
            </w:r>
            <w:r>
              <w:rPr>
                <w:rFonts w:ascii="Trebuchet MS"/>
                <w:b/>
                <w:color w:val="FF0000"/>
                <w:sz w:val="20"/>
              </w:rPr>
              <w:t>+CBDC2.A</w:t>
            </w:r>
            <w:r>
              <w:rPr>
                <w:rFonts w:ascii="Trebuchet MS"/>
                <w:b/>
                <w:color w:val="FF0000"/>
                <w:spacing w:val="-37"/>
                <w:sz w:val="20"/>
              </w:rPr>
              <w:t xml:space="preserve"> </w:t>
            </w:r>
            <w:r>
              <w:rPr>
                <w:rFonts w:ascii="Trebuchet MS"/>
                <w:b/>
                <w:color w:val="00AF50"/>
                <w:sz w:val="20"/>
              </w:rPr>
              <w:t>+CBDC1.B</w:t>
            </w:r>
            <w:r>
              <w:rPr>
                <w:rFonts w:ascii="Trebuchet MS"/>
                <w:b/>
                <w:color w:val="00AF50"/>
                <w:spacing w:val="-35"/>
                <w:sz w:val="20"/>
              </w:rPr>
              <w:t xml:space="preserve"> </w:t>
            </w:r>
            <w:r>
              <w:rPr>
                <w:rFonts w:ascii="Trebuchet MS"/>
                <w:b/>
                <w:color w:val="FF0000"/>
                <w:sz w:val="20"/>
              </w:rPr>
              <w:t>+CBDC2.B</w:t>
            </w:r>
          </w:p>
          <w:p w:rsidR="00BB11D1" w:rsidRDefault="00BB11D1" w:rsidP="00451448">
            <w:pPr>
              <w:pStyle w:val="TableParagraph"/>
              <w:tabs>
                <w:tab w:val="left" w:pos="2642"/>
              </w:tabs>
              <w:spacing w:before="12"/>
              <w:ind w:left="107"/>
              <w:rPr>
                <w:sz w:val="20"/>
              </w:rPr>
            </w:pPr>
            <w:r>
              <w:rPr>
                <w:w w:val="95"/>
                <w:sz w:val="20"/>
              </w:rPr>
              <w:t>Corp/Government</w:t>
            </w:r>
            <w:r>
              <w:rPr>
                <w:spacing w:val="-21"/>
                <w:w w:val="95"/>
                <w:sz w:val="20"/>
              </w:rPr>
              <w:t xml:space="preserve"> </w:t>
            </w:r>
            <w:r>
              <w:rPr>
                <w:w w:val="95"/>
                <w:sz w:val="20"/>
              </w:rPr>
              <w:t>bonds</w:t>
            </w:r>
            <w:r>
              <w:rPr>
                <w:w w:val="95"/>
                <w:sz w:val="20"/>
              </w:rPr>
              <w:tab/>
            </w:r>
            <w:r>
              <w:rPr>
                <w:sz w:val="20"/>
              </w:rPr>
              <w:t>0</w:t>
            </w:r>
          </w:p>
        </w:tc>
        <w:tc>
          <w:tcPr>
            <w:tcW w:w="4534" w:type="dxa"/>
            <w:gridSpan w:val="2"/>
            <w:shd w:val="clear" w:color="auto" w:fill="B8CCE4" w:themeFill="accent1" w:themeFillTint="66"/>
          </w:tcPr>
          <w:p w:rsidR="00BB11D1" w:rsidRDefault="00BB11D1" w:rsidP="00451448">
            <w:pPr>
              <w:pStyle w:val="TableParagraph"/>
              <w:tabs>
                <w:tab w:val="left" w:pos="2156"/>
              </w:tabs>
              <w:spacing w:before="4"/>
              <w:ind w:left="107"/>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3"/>
                <w:sz w:val="20"/>
              </w:rPr>
              <w:t xml:space="preserve"> </w:t>
            </w:r>
            <w:r>
              <w:rPr>
                <w:rFonts w:ascii="Trebuchet MS"/>
                <w:b/>
                <w:color w:val="00AF50"/>
                <w:sz w:val="20"/>
              </w:rPr>
              <w:t>-CBDC1.A</w:t>
            </w:r>
          </w:p>
          <w:p w:rsidR="00BB11D1" w:rsidRDefault="00BB11D1" w:rsidP="00451448">
            <w:pPr>
              <w:pStyle w:val="TableParagraph"/>
              <w:tabs>
                <w:tab w:val="left" w:pos="2178"/>
              </w:tabs>
              <w:spacing w:before="12"/>
              <w:ind w:left="107"/>
              <w:rPr>
                <w:sz w:val="20"/>
              </w:rPr>
            </w:pPr>
            <w:r>
              <w:rPr>
                <w:w w:val="95"/>
                <w:sz w:val="20"/>
              </w:rPr>
              <w:t>Deposits</w:t>
            </w:r>
            <w:r>
              <w:rPr>
                <w:spacing w:val="-22"/>
                <w:w w:val="95"/>
                <w:sz w:val="20"/>
              </w:rPr>
              <w:t xml:space="preserve"> </w:t>
            </w:r>
            <w:r>
              <w:rPr>
                <w:w w:val="95"/>
                <w:sz w:val="20"/>
              </w:rPr>
              <w:t>of</w:t>
            </w:r>
            <w:r>
              <w:rPr>
                <w:spacing w:val="-22"/>
                <w:w w:val="95"/>
                <w:sz w:val="20"/>
              </w:rPr>
              <w:t xml:space="preserve"> </w:t>
            </w:r>
            <w:r>
              <w:rPr>
                <w:w w:val="95"/>
                <w:sz w:val="20"/>
              </w:rPr>
              <w:t>banks</w:t>
            </w:r>
            <w:r>
              <w:rPr>
                <w:w w:val="95"/>
                <w:sz w:val="20"/>
              </w:rPr>
              <w:tab/>
            </w:r>
            <w:r>
              <w:rPr>
                <w:sz w:val="20"/>
              </w:rPr>
              <w:t>0</w:t>
            </w:r>
          </w:p>
          <w:p w:rsidR="00BB11D1" w:rsidRDefault="00BB11D1" w:rsidP="00451448">
            <w:pPr>
              <w:pStyle w:val="TableParagraph"/>
              <w:tabs>
                <w:tab w:val="left" w:pos="829"/>
              </w:tabs>
              <w:spacing w:before="13" w:line="220" w:lineRule="exact"/>
              <w:ind w:left="107"/>
              <w:rPr>
                <w:rFonts w:ascii="Trebuchet MS"/>
                <w:b/>
                <w:sz w:val="20"/>
              </w:rPr>
            </w:pPr>
            <w:r>
              <w:rPr>
                <w:rFonts w:ascii="Trebuchet MS"/>
                <w:b/>
                <w:sz w:val="20"/>
              </w:rPr>
              <w:t>CBDC</w:t>
            </w:r>
            <w:r>
              <w:rPr>
                <w:rFonts w:ascii="Trebuchet MS"/>
                <w:b/>
                <w:sz w:val="20"/>
              </w:rPr>
              <w:tab/>
            </w:r>
            <w:r>
              <w:rPr>
                <w:rFonts w:ascii="Trebuchet MS"/>
                <w:b/>
                <w:color w:val="00AF50"/>
                <w:w w:val="95"/>
                <w:sz w:val="20"/>
              </w:rPr>
              <w:t>+CBDC1.A</w:t>
            </w:r>
            <w:r>
              <w:rPr>
                <w:rFonts w:ascii="Trebuchet MS"/>
                <w:b/>
                <w:color w:val="00AF50"/>
                <w:spacing w:val="-38"/>
                <w:w w:val="95"/>
                <w:sz w:val="20"/>
              </w:rPr>
              <w:t xml:space="preserve"> </w:t>
            </w:r>
            <w:r>
              <w:rPr>
                <w:rFonts w:ascii="Trebuchet MS"/>
                <w:b/>
                <w:color w:val="FF0000"/>
                <w:w w:val="95"/>
                <w:sz w:val="20"/>
              </w:rPr>
              <w:t>+CBDC2.A</w:t>
            </w:r>
            <w:r>
              <w:rPr>
                <w:rFonts w:ascii="Trebuchet MS"/>
                <w:b/>
                <w:color w:val="00AF50"/>
                <w:w w:val="95"/>
                <w:sz w:val="20"/>
              </w:rPr>
              <w:t>+CBDC1.B</w:t>
            </w:r>
            <w:r>
              <w:rPr>
                <w:rFonts w:ascii="Trebuchet MS"/>
                <w:b/>
                <w:color w:val="00AF50"/>
                <w:spacing w:val="-37"/>
                <w:w w:val="95"/>
                <w:sz w:val="20"/>
              </w:rPr>
              <w:t xml:space="preserve"> </w:t>
            </w:r>
            <w:r>
              <w:rPr>
                <w:rFonts w:ascii="Trebuchet MS"/>
                <w:b/>
                <w:color w:val="FF0000"/>
                <w:w w:val="95"/>
                <w:sz w:val="20"/>
              </w:rPr>
              <w:t>+CBDC2.B</w:t>
            </w:r>
          </w:p>
        </w:tc>
      </w:tr>
      <w:tr w:rsidR="00BB11D1" w:rsidTr="00BB11D1">
        <w:trPr>
          <w:trHeight w:val="244"/>
        </w:trPr>
        <w:tc>
          <w:tcPr>
            <w:tcW w:w="9464" w:type="dxa"/>
            <w:gridSpan w:val="7"/>
            <w:shd w:val="clear" w:color="auto" w:fill="E5B8B7" w:themeFill="accent2" w:themeFillTint="66"/>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B - Households, pension and investment funds, insurance companies</w:t>
            </w:r>
          </w:p>
        </w:tc>
      </w:tr>
      <w:tr w:rsidR="00BB11D1" w:rsidTr="00BB11D1">
        <w:trPr>
          <w:trHeight w:val="1955"/>
        </w:trPr>
        <w:tc>
          <w:tcPr>
            <w:tcW w:w="4788" w:type="dxa"/>
            <w:gridSpan w:val="4"/>
            <w:shd w:val="clear" w:color="auto" w:fill="E5B8B7" w:themeFill="accent2" w:themeFillTint="66"/>
          </w:tcPr>
          <w:p w:rsidR="00BB11D1" w:rsidRDefault="00BB11D1" w:rsidP="00451448">
            <w:pPr>
              <w:pStyle w:val="TableParagraph"/>
              <w:tabs>
                <w:tab w:val="right" w:pos="2942"/>
              </w:tabs>
              <w:spacing w:before="4"/>
              <w:ind w:left="107"/>
              <w:rPr>
                <w:sz w:val="20"/>
              </w:rPr>
            </w:pPr>
            <w:r>
              <w:rPr>
                <w:sz w:val="20"/>
              </w:rPr>
              <w:t>Real</w:t>
            </w:r>
            <w:r>
              <w:rPr>
                <w:spacing w:val="-16"/>
                <w:sz w:val="20"/>
              </w:rPr>
              <w:t xml:space="preserve"> </w:t>
            </w:r>
            <w:r>
              <w:rPr>
                <w:sz w:val="20"/>
              </w:rPr>
              <w:t>Assets</w:t>
            </w:r>
            <w:r>
              <w:rPr>
                <w:sz w:val="20"/>
              </w:rPr>
              <w:tab/>
              <w:t>20</w:t>
            </w:r>
          </w:p>
          <w:p w:rsidR="00BB11D1" w:rsidRDefault="00BB11D1" w:rsidP="00451448">
            <w:pPr>
              <w:pStyle w:val="TableParagraph"/>
              <w:tabs>
                <w:tab w:val="left" w:pos="2827"/>
                <w:tab w:val="left" w:pos="3470"/>
              </w:tabs>
              <w:spacing w:before="15"/>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5</w:t>
            </w:r>
            <w:r>
              <w:rPr>
                <w:sz w:val="20"/>
              </w:rPr>
              <w:tab/>
            </w:r>
            <w:r>
              <w:rPr>
                <w:rFonts w:ascii="Trebuchet MS"/>
                <w:b/>
                <w:color w:val="FF0000"/>
                <w:sz w:val="20"/>
              </w:rPr>
              <w:t>-CBDC2.B</w:t>
            </w:r>
          </w:p>
          <w:p w:rsidR="00BB11D1" w:rsidRDefault="00BB11D1" w:rsidP="00451448">
            <w:pPr>
              <w:pStyle w:val="TableParagraph"/>
              <w:tabs>
                <w:tab w:val="right" w:pos="2964"/>
              </w:tabs>
              <w:spacing w:before="12"/>
              <w:ind w:left="107"/>
              <w:rPr>
                <w:sz w:val="20"/>
              </w:rPr>
            </w:pPr>
            <w:r>
              <w:rPr>
                <w:sz w:val="20"/>
              </w:rPr>
              <w:t>Savings +</w:t>
            </w:r>
            <w:r>
              <w:rPr>
                <w:spacing w:val="-40"/>
                <w:sz w:val="20"/>
              </w:rPr>
              <w:t xml:space="preserve"> </w:t>
            </w:r>
            <w:r>
              <w:rPr>
                <w:sz w:val="20"/>
              </w:rPr>
              <w:t>time</w:t>
            </w:r>
            <w:r>
              <w:rPr>
                <w:spacing w:val="-20"/>
                <w:sz w:val="20"/>
              </w:rPr>
              <w:t xml:space="preserve"> </w:t>
            </w:r>
            <w:r>
              <w:rPr>
                <w:sz w:val="20"/>
              </w:rPr>
              <w:t>deposits</w:t>
            </w:r>
            <w:r>
              <w:rPr>
                <w:sz w:val="20"/>
              </w:rPr>
              <w:tab/>
              <w:t>4</w:t>
            </w:r>
          </w:p>
          <w:p w:rsidR="00BB11D1" w:rsidRDefault="00BB11D1" w:rsidP="00451448">
            <w:pPr>
              <w:pStyle w:val="TableParagraph"/>
              <w:tabs>
                <w:tab w:val="left" w:pos="2502"/>
              </w:tabs>
              <w:spacing w:before="13"/>
              <w:ind w:left="107"/>
              <w:rPr>
                <w:rFonts w:ascii="Trebuchet MS"/>
                <w:b/>
                <w:sz w:val="20"/>
              </w:rPr>
            </w:pPr>
            <w:r>
              <w:rPr>
                <w:rFonts w:ascii="Trebuchet MS"/>
                <w:b/>
                <w:sz w:val="20"/>
              </w:rPr>
              <w:t>CBDC</w:t>
            </w:r>
            <w:r>
              <w:rPr>
                <w:rFonts w:ascii="Trebuchet MS"/>
                <w:b/>
                <w:sz w:val="20"/>
              </w:rPr>
              <w:tab/>
            </w:r>
            <w:r>
              <w:rPr>
                <w:rFonts w:ascii="Trebuchet MS"/>
                <w:b/>
                <w:color w:val="00AF50"/>
                <w:sz w:val="20"/>
              </w:rPr>
              <w:t>+CBDC1.B</w:t>
            </w:r>
            <w:r>
              <w:rPr>
                <w:rFonts w:ascii="Trebuchet MS"/>
                <w:b/>
                <w:color w:val="00AF50"/>
                <w:spacing w:val="-28"/>
                <w:sz w:val="20"/>
              </w:rPr>
              <w:t xml:space="preserve"> </w:t>
            </w:r>
            <w:r>
              <w:rPr>
                <w:rFonts w:ascii="Trebuchet MS"/>
                <w:b/>
                <w:color w:val="FF0000"/>
                <w:sz w:val="20"/>
              </w:rPr>
              <w:t>+CBDC2.B</w:t>
            </w:r>
          </w:p>
          <w:p w:rsidR="00BB11D1" w:rsidRDefault="00BB11D1" w:rsidP="00451448">
            <w:pPr>
              <w:pStyle w:val="TableParagraph"/>
              <w:tabs>
                <w:tab w:val="left" w:pos="2866"/>
              </w:tabs>
              <w:spacing w:before="12"/>
              <w:ind w:left="107"/>
              <w:rPr>
                <w:rFonts w:ascii="Trebuchet MS"/>
                <w:b/>
                <w:sz w:val="20"/>
              </w:rPr>
            </w:pPr>
            <w:r>
              <w:rPr>
                <w:w w:val="95"/>
                <w:sz w:val="20"/>
              </w:rPr>
              <w:t>Banknotes</w:t>
            </w:r>
            <w:r>
              <w:rPr>
                <w:w w:val="95"/>
                <w:sz w:val="20"/>
              </w:rPr>
              <w:tab/>
            </w:r>
            <w:r>
              <w:rPr>
                <w:sz w:val="20"/>
              </w:rPr>
              <w:t xml:space="preserve">1 </w:t>
            </w:r>
            <w:r>
              <w:rPr>
                <w:rFonts w:ascii="Trebuchet MS"/>
                <w:b/>
                <w:color w:val="00AF50"/>
                <w:sz w:val="20"/>
              </w:rPr>
              <w:t>-</w:t>
            </w:r>
            <w:r>
              <w:rPr>
                <w:rFonts w:ascii="Trebuchet MS"/>
                <w:b/>
                <w:color w:val="00AF50"/>
                <w:spacing w:val="3"/>
                <w:sz w:val="20"/>
              </w:rPr>
              <w:t xml:space="preserve"> </w:t>
            </w:r>
            <w:r>
              <w:rPr>
                <w:rFonts w:ascii="Trebuchet MS"/>
                <w:b/>
                <w:color w:val="00AF50"/>
                <w:sz w:val="20"/>
              </w:rPr>
              <w:t>CBDC1.B</w:t>
            </w:r>
          </w:p>
          <w:p w:rsidR="00BB11D1" w:rsidRDefault="00BB11D1" w:rsidP="00451448">
            <w:pPr>
              <w:pStyle w:val="TableParagraph"/>
              <w:tabs>
                <w:tab w:val="right" w:pos="2963"/>
              </w:tabs>
              <w:spacing w:before="13"/>
              <w:ind w:left="107"/>
              <w:rPr>
                <w:sz w:val="20"/>
              </w:rPr>
            </w:pPr>
            <w:r>
              <w:rPr>
                <w:sz w:val="20"/>
              </w:rPr>
              <w:t>Bank</w:t>
            </w:r>
            <w:r>
              <w:rPr>
                <w:spacing w:val="-13"/>
                <w:sz w:val="20"/>
              </w:rPr>
              <w:t xml:space="preserve"> </w:t>
            </w:r>
            <w:r>
              <w:rPr>
                <w:sz w:val="20"/>
              </w:rPr>
              <w:t>bonds</w:t>
            </w:r>
            <w:r>
              <w:rPr>
                <w:sz w:val="20"/>
              </w:rPr>
              <w:tab/>
              <w:t>4</w:t>
            </w:r>
          </w:p>
          <w:p w:rsidR="00BB11D1" w:rsidRDefault="00BB11D1" w:rsidP="00451448">
            <w:pPr>
              <w:pStyle w:val="TableParagraph"/>
              <w:tabs>
                <w:tab w:val="right" w:pos="3000"/>
              </w:tabs>
              <w:spacing w:before="12"/>
              <w:ind w:left="107"/>
              <w:rPr>
                <w:sz w:val="20"/>
              </w:rPr>
            </w:pPr>
            <w:r>
              <w:rPr>
                <w:sz w:val="20"/>
              </w:rPr>
              <w:t>Corporate/Government</w:t>
            </w:r>
            <w:r>
              <w:rPr>
                <w:spacing w:val="-33"/>
                <w:sz w:val="20"/>
              </w:rPr>
              <w:t xml:space="preserve"> </w:t>
            </w:r>
            <w:r>
              <w:rPr>
                <w:sz w:val="20"/>
              </w:rPr>
              <w:t>bonds</w:t>
            </w:r>
            <w:r>
              <w:rPr>
                <w:sz w:val="20"/>
              </w:rPr>
              <w:tab/>
              <w:t>7</w:t>
            </w:r>
          </w:p>
          <w:p w:rsidR="00BB11D1" w:rsidRDefault="00BB11D1" w:rsidP="00451448">
            <w:pPr>
              <w:pStyle w:val="TableParagraph"/>
              <w:tabs>
                <w:tab w:val="right" w:pos="2937"/>
              </w:tabs>
              <w:spacing w:before="15" w:line="223" w:lineRule="exact"/>
              <w:ind w:left="107"/>
              <w:rPr>
                <w:sz w:val="20"/>
              </w:rPr>
            </w:pPr>
            <w:r>
              <w:rPr>
                <w:sz w:val="20"/>
              </w:rPr>
              <w:t>Equity</w:t>
            </w:r>
            <w:r>
              <w:rPr>
                <w:sz w:val="20"/>
              </w:rPr>
              <w:tab/>
              <w:t>8</w:t>
            </w:r>
          </w:p>
        </w:tc>
        <w:tc>
          <w:tcPr>
            <w:tcW w:w="1991" w:type="dxa"/>
            <w:gridSpan w:val="2"/>
            <w:tcBorders>
              <w:right w:val="nil"/>
            </w:tcBorders>
            <w:shd w:val="clear" w:color="auto" w:fill="E5B8B7" w:themeFill="accent2" w:themeFillTint="66"/>
          </w:tcPr>
          <w:p w:rsidR="00BB11D1" w:rsidRDefault="00BB11D1" w:rsidP="00451448">
            <w:pPr>
              <w:pStyle w:val="TableParagraph"/>
              <w:spacing w:before="4" w:line="511" w:lineRule="auto"/>
              <w:ind w:left="107" w:right="32"/>
              <w:rPr>
                <w:sz w:val="20"/>
              </w:rPr>
            </w:pPr>
            <w:r>
              <w:rPr>
                <w:w w:val="90"/>
                <w:sz w:val="20"/>
              </w:rPr>
              <w:t xml:space="preserve">Household Equity </w:t>
            </w:r>
            <w:r>
              <w:rPr>
                <w:sz w:val="20"/>
              </w:rPr>
              <w:t>Bank loans</w:t>
            </w:r>
          </w:p>
        </w:tc>
        <w:tc>
          <w:tcPr>
            <w:tcW w:w="2685" w:type="dxa"/>
            <w:tcBorders>
              <w:left w:val="nil"/>
            </w:tcBorders>
            <w:shd w:val="clear" w:color="auto" w:fill="E5B8B7" w:themeFill="accent2" w:themeFillTint="66"/>
          </w:tcPr>
          <w:p w:rsidR="00BB11D1" w:rsidRDefault="00BB11D1" w:rsidP="00451448">
            <w:pPr>
              <w:pStyle w:val="TableParagraph"/>
              <w:spacing w:before="4"/>
              <w:ind w:left="922" w:right="1212"/>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spacing w:before="1"/>
              <w:ind w:right="232"/>
              <w:jc w:val="center"/>
              <w:rPr>
                <w:sz w:val="20"/>
              </w:rPr>
            </w:pPr>
            <w:r>
              <w:rPr>
                <w:w w:val="90"/>
                <w:sz w:val="20"/>
              </w:rPr>
              <w:t>5</w:t>
            </w:r>
          </w:p>
        </w:tc>
      </w:tr>
      <w:tr w:rsidR="00BB11D1" w:rsidTr="00BB11D1">
        <w:trPr>
          <w:trHeight w:val="244"/>
        </w:trPr>
        <w:tc>
          <w:tcPr>
            <w:tcW w:w="9464" w:type="dxa"/>
            <w:gridSpan w:val="7"/>
            <w:shd w:val="clear" w:color="auto" w:fill="E5B8B7" w:themeFill="accent2" w:themeFillTint="66"/>
          </w:tcPr>
          <w:p w:rsidR="00BB11D1" w:rsidRDefault="00BB11D1" w:rsidP="00451448">
            <w:pPr>
              <w:pStyle w:val="TableParagraph"/>
              <w:spacing w:before="4" w:line="220" w:lineRule="exact"/>
              <w:ind w:left="1501" w:right="1492"/>
              <w:jc w:val="center"/>
              <w:rPr>
                <w:rFonts w:ascii="Trebuchet MS"/>
                <w:b/>
                <w:sz w:val="20"/>
              </w:rPr>
            </w:pPr>
            <w:r>
              <w:rPr>
                <w:rFonts w:ascii="Trebuchet MS"/>
                <w:b/>
                <w:sz w:val="20"/>
              </w:rPr>
              <w:t>B- Commercial Banks</w:t>
            </w:r>
          </w:p>
        </w:tc>
      </w:tr>
      <w:tr w:rsidR="00BB11D1" w:rsidTr="00BB11D1">
        <w:trPr>
          <w:trHeight w:val="1463"/>
        </w:trPr>
        <w:tc>
          <w:tcPr>
            <w:tcW w:w="2391" w:type="dxa"/>
            <w:tcBorders>
              <w:right w:val="nil"/>
            </w:tcBorders>
            <w:shd w:val="clear" w:color="auto" w:fill="E5B8B7" w:themeFill="accent2" w:themeFillTint="66"/>
          </w:tcPr>
          <w:p w:rsidR="00BB11D1" w:rsidRDefault="00BB11D1" w:rsidP="00451448">
            <w:pPr>
              <w:pStyle w:val="TableParagraph"/>
              <w:spacing w:before="4" w:line="254" w:lineRule="auto"/>
              <w:ind w:left="107" w:right="473"/>
              <w:rPr>
                <w:sz w:val="20"/>
              </w:rPr>
            </w:pPr>
            <w:r>
              <w:rPr>
                <w:sz w:val="20"/>
              </w:rPr>
              <w:t xml:space="preserve">Loans to corporates </w:t>
            </w:r>
            <w:r>
              <w:rPr>
                <w:w w:val="95"/>
                <w:sz w:val="20"/>
              </w:rPr>
              <w:t xml:space="preserve">Loans to government </w:t>
            </w:r>
            <w:r>
              <w:rPr>
                <w:sz w:val="20"/>
              </w:rPr>
              <w:t>Loans to HH Corp/state bonds</w:t>
            </w:r>
          </w:p>
        </w:tc>
        <w:tc>
          <w:tcPr>
            <w:tcW w:w="925" w:type="dxa"/>
            <w:tcBorders>
              <w:left w:val="nil"/>
              <w:right w:val="nil"/>
            </w:tcBorders>
            <w:shd w:val="clear" w:color="auto" w:fill="E5B8B7" w:themeFill="accent2" w:themeFillTint="66"/>
          </w:tcPr>
          <w:p w:rsidR="00BB11D1" w:rsidRDefault="00BB11D1" w:rsidP="00451448">
            <w:pPr>
              <w:pStyle w:val="TableParagraph"/>
              <w:spacing w:before="4"/>
              <w:ind w:left="601"/>
              <w:rPr>
                <w:sz w:val="20"/>
              </w:rPr>
            </w:pPr>
            <w:r>
              <w:rPr>
                <w:w w:val="90"/>
                <w:sz w:val="20"/>
              </w:rPr>
              <w:t>8</w:t>
            </w:r>
          </w:p>
          <w:p w:rsidR="00BB11D1" w:rsidRDefault="00BB11D1" w:rsidP="00451448">
            <w:pPr>
              <w:pStyle w:val="TableParagraph"/>
              <w:spacing w:before="12"/>
              <w:ind w:left="582"/>
              <w:rPr>
                <w:sz w:val="20"/>
              </w:rPr>
            </w:pPr>
            <w:r>
              <w:rPr>
                <w:w w:val="90"/>
                <w:sz w:val="20"/>
              </w:rPr>
              <w:t>2</w:t>
            </w:r>
          </w:p>
          <w:p w:rsidR="00BB11D1" w:rsidRDefault="00BB11D1" w:rsidP="00451448">
            <w:pPr>
              <w:pStyle w:val="TableParagraph"/>
              <w:spacing w:before="15"/>
              <w:ind w:left="560"/>
              <w:rPr>
                <w:sz w:val="20"/>
              </w:rPr>
            </w:pPr>
            <w:r>
              <w:rPr>
                <w:w w:val="90"/>
                <w:sz w:val="20"/>
              </w:rPr>
              <w:t>5</w:t>
            </w:r>
          </w:p>
          <w:p w:rsidR="00BB11D1" w:rsidRDefault="00BB11D1" w:rsidP="00451448">
            <w:pPr>
              <w:pStyle w:val="TableParagraph"/>
              <w:spacing w:before="15"/>
              <w:ind w:left="587" w:right="-15"/>
              <w:rPr>
                <w:rFonts w:ascii="Trebuchet MS"/>
                <w:b/>
                <w:sz w:val="20"/>
              </w:rPr>
            </w:pPr>
            <w:r>
              <w:rPr>
                <w:w w:val="95"/>
                <w:sz w:val="20"/>
              </w:rPr>
              <w:t>5</w:t>
            </w:r>
            <w:r>
              <w:rPr>
                <w:spacing w:val="8"/>
                <w:w w:val="95"/>
                <w:sz w:val="20"/>
              </w:rPr>
              <w:t xml:space="preserve"> </w:t>
            </w:r>
            <w:r>
              <w:rPr>
                <w:rFonts w:ascii="Trebuchet MS"/>
                <w:b/>
                <w:color w:val="006FC0"/>
                <w:w w:val="95"/>
                <w:sz w:val="20"/>
              </w:rPr>
              <w:t>-</w:t>
            </w:r>
          </w:p>
        </w:tc>
        <w:tc>
          <w:tcPr>
            <w:tcW w:w="1328" w:type="dxa"/>
            <w:tcBorders>
              <w:left w:val="nil"/>
            </w:tcBorders>
            <w:shd w:val="clear" w:color="auto" w:fill="E5B8B7" w:themeFill="accent2" w:themeFillTint="66"/>
          </w:tcPr>
          <w:p w:rsidR="00BB11D1" w:rsidRDefault="00BB11D1" w:rsidP="00451448">
            <w:pPr>
              <w:pStyle w:val="TableParagraph"/>
              <w:spacing w:before="4"/>
              <w:ind w:left="5"/>
              <w:rPr>
                <w:rFonts w:ascii="Trebuchet MS"/>
                <w:b/>
                <w:sz w:val="20"/>
              </w:rPr>
            </w:pPr>
            <w:r>
              <w:rPr>
                <w:rFonts w:ascii="Trebuchet MS"/>
                <w:b/>
                <w:color w:val="6F2F9F"/>
                <w:w w:val="83"/>
                <w:sz w:val="20"/>
              </w:rPr>
              <w:t>-</w:t>
            </w:r>
          </w:p>
        </w:tc>
        <w:tc>
          <w:tcPr>
            <w:tcW w:w="4820" w:type="dxa"/>
            <w:gridSpan w:val="4"/>
            <w:shd w:val="clear" w:color="auto" w:fill="E5B8B7" w:themeFill="accent2" w:themeFillTint="66"/>
          </w:tcPr>
          <w:p w:rsidR="00BB11D1" w:rsidRDefault="00BB11D1" w:rsidP="00451448">
            <w:pPr>
              <w:pStyle w:val="TableParagraph"/>
              <w:tabs>
                <w:tab w:val="left" w:pos="2692"/>
              </w:tabs>
              <w:spacing w:before="4"/>
              <w:ind w:left="110"/>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-CBDC2.B</w:t>
            </w:r>
          </w:p>
          <w:p w:rsidR="00BB11D1" w:rsidRDefault="00BB11D1" w:rsidP="00451448">
            <w:pPr>
              <w:pStyle w:val="TableParagraph"/>
              <w:tabs>
                <w:tab w:val="right" w:pos="2784"/>
              </w:tabs>
              <w:spacing w:before="10"/>
              <w:ind w:left="110"/>
              <w:rPr>
                <w:sz w:val="20"/>
              </w:rPr>
            </w:pPr>
            <w:r>
              <w:rPr>
                <w:sz w:val="20"/>
              </w:rPr>
              <w:t>Savings +</w:t>
            </w:r>
            <w:r>
              <w:rPr>
                <w:spacing w:val="-44"/>
                <w:sz w:val="20"/>
              </w:rPr>
              <w:t xml:space="preserve"> </w:t>
            </w:r>
            <w:r>
              <w:rPr>
                <w:sz w:val="20"/>
              </w:rPr>
              <w:t>time</w:t>
            </w:r>
            <w:r>
              <w:rPr>
                <w:spacing w:val="-23"/>
                <w:sz w:val="20"/>
              </w:rPr>
              <w:t xml:space="preserve"> </w:t>
            </w:r>
            <w:r>
              <w:rPr>
                <w:sz w:val="20"/>
              </w:rPr>
              <w:t>deposits</w:t>
            </w:r>
            <w:r>
              <w:rPr>
                <w:sz w:val="20"/>
              </w:rPr>
              <w:tab/>
              <w:t>5</w:t>
            </w:r>
          </w:p>
          <w:p w:rsidR="00BB11D1" w:rsidRDefault="00BB11D1" w:rsidP="00451448">
            <w:pPr>
              <w:pStyle w:val="TableParagraph"/>
              <w:tabs>
                <w:tab w:val="right" w:pos="2764"/>
              </w:tabs>
              <w:spacing w:before="15"/>
              <w:ind w:left="110"/>
              <w:rPr>
                <w:sz w:val="20"/>
              </w:rPr>
            </w:pPr>
            <w:r>
              <w:rPr>
                <w:sz w:val="20"/>
              </w:rPr>
              <w:t>Bonds</w:t>
            </w:r>
            <w:r>
              <w:rPr>
                <w:spacing w:val="-14"/>
                <w:sz w:val="20"/>
              </w:rPr>
              <w:t xml:space="preserve"> </w:t>
            </w:r>
            <w:r>
              <w:rPr>
                <w:sz w:val="20"/>
              </w:rPr>
              <w:t>issued</w:t>
            </w:r>
            <w:r>
              <w:rPr>
                <w:sz w:val="20"/>
              </w:rPr>
              <w:tab/>
              <w:t>4</w:t>
            </w:r>
          </w:p>
          <w:p w:rsidR="00BB11D1" w:rsidRDefault="00BB11D1" w:rsidP="00451448">
            <w:pPr>
              <w:pStyle w:val="TableParagraph"/>
              <w:tabs>
                <w:tab w:val="right" w:pos="2803"/>
              </w:tabs>
              <w:spacing w:before="15"/>
              <w:ind w:left="110"/>
              <w:rPr>
                <w:sz w:val="20"/>
              </w:rPr>
            </w:pPr>
            <w:r>
              <w:rPr>
                <w:sz w:val="20"/>
              </w:rPr>
              <w:t>Equity</w:t>
            </w:r>
            <w:r>
              <w:rPr>
                <w:sz w:val="20"/>
              </w:rPr>
              <w:tab/>
              <w:t>3</w:t>
            </w:r>
          </w:p>
          <w:p w:rsidR="00BB11D1" w:rsidRDefault="00BB11D1" w:rsidP="00451448">
            <w:pPr>
              <w:pStyle w:val="TableParagraph"/>
              <w:tabs>
                <w:tab w:val="left" w:pos="2699"/>
              </w:tabs>
              <w:spacing w:before="14"/>
              <w:ind w:left="110"/>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16"/>
                <w:sz w:val="20"/>
              </w:rPr>
              <w:t xml:space="preserve"> </w:t>
            </w:r>
            <w:r>
              <w:rPr>
                <w:rFonts w:ascii="Trebuchet MS"/>
                <w:b/>
                <w:color w:val="00AF50"/>
                <w:sz w:val="20"/>
              </w:rPr>
              <w:t>-CBDC1.B</w:t>
            </w:r>
          </w:p>
          <w:p w:rsidR="00BB11D1" w:rsidRDefault="00BB11D1" w:rsidP="00451448">
            <w:pPr>
              <w:pStyle w:val="TableParagraph"/>
              <w:spacing w:before="11" w:line="220" w:lineRule="exact"/>
              <w:ind w:left="110"/>
              <w:rPr>
                <w:rFonts w:ascii="Trebuchet MS"/>
                <w:b/>
                <w:sz w:val="20"/>
              </w:rPr>
            </w:pPr>
            <w:r>
              <w:rPr>
                <w:rFonts w:ascii="Trebuchet MS"/>
                <w:b/>
                <w:w w:val="95"/>
                <w:sz w:val="20"/>
              </w:rPr>
              <w:t xml:space="preserve">Liabilities to banks of country B </w:t>
            </w:r>
            <w:r>
              <w:rPr>
                <w:rFonts w:ascii="Trebuchet MS"/>
                <w:b/>
                <w:color w:val="00AF50"/>
                <w:w w:val="95"/>
                <w:sz w:val="20"/>
              </w:rPr>
              <w:t xml:space="preserve">+CBDC1.B </w:t>
            </w:r>
            <w:r>
              <w:rPr>
                <w:rFonts w:ascii="Trebuchet MS"/>
                <w:b/>
                <w:color w:val="FF0000"/>
                <w:w w:val="95"/>
                <w:sz w:val="20"/>
              </w:rPr>
              <w:t>+CBDC2.B</w:t>
            </w:r>
          </w:p>
        </w:tc>
      </w:tr>
      <w:tr w:rsidR="00BB11D1" w:rsidTr="00BB11D1">
        <w:trPr>
          <w:trHeight w:val="244"/>
        </w:trPr>
        <w:tc>
          <w:tcPr>
            <w:tcW w:w="9464" w:type="dxa"/>
            <w:gridSpan w:val="7"/>
            <w:shd w:val="clear" w:color="auto" w:fill="E5B8B7" w:themeFill="accent2" w:themeFillTint="66"/>
          </w:tcPr>
          <w:p w:rsidR="00BB11D1" w:rsidRDefault="00BB11D1" w:rsidP="00451448">
            <w:pPr>
              <w:pStyle w:val="TableParagraph"/>
              <w:spacing w:before="4" w:line="220" w:lineRule="exact"/>
              <w:ind w:left="1501" w:right="1493"/>
              <w:jc w:val="center"/>
              <w:rPr>
                <w:rFonts w:ascii="Trebuchet MS"/>
                <w:b/>
                <w:sz w:val="20"/>
              </w:rPr>
            </w:pPr>
            <w:r>
              <w:rPr>
                <w:rFonts w:ascii="Trebuchet MS"/>
                <w:b/>
                <w:sz w:val="20"/>
              </w:rPr>
              <w:t>B - Central Bank</w:t>
            </w:r>
          </w:p>
        </w:tc>
      </w:tr>
      <w:tr w:rsidR="00BB11D1" w:rsidTr="00BB11D1">
        <w:trPr>
          <w:trHeight w:val="244"/>
        </w:trPr>
        <w:tc>
          <w:tcPr>
            <w:tcW w:w="4930" w:type="dxa"/>
            <w:gridSpan w:val="5"/>
            <w:shd w:val="clear" w:color="auto" w:fill="E5B8B7" w:themeFill="accent2" w:themeFillTint="66"/>
          </w:tcPr>
          <w:p w:rsidR="00BB11D1" w:rsidRDefault="00BB11D1" w:rsidP="00451448">
            <w:pPr>
              <w:pStyle w:val="TableParagraph"/>
              <w:tabs>
                <w:tab w:val="left" w:pos="2560"/>
              </w:tabs>
              <w:spacing w:before="4" w:line="220" w:lineRule="exact"/>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18"/>
                <w:sz w:val="20"/>
              </w:rPr>
              <w:t xml:space="preserve"> </w:t>
            </w:r>
            <w:r>
              <w:rPr>
                <w:rFonts w:ascii="Trebuchet MS"/>
                <w:b/>
                <w:color w:val="00AF50"/>
                <w:sz w:val="20"/>
              </w:rPr>
              <w:t>-CBDC1.B</w:t>
            </w:r>
          </w:p>
        </w:tc>
        <w:tc>
          <w:tcPr>
            <w:tcW w:w="1849" w:type="dxa"/>
            <w:tcBorders>
              <w:right w:val="nil"/>
            </w:tcBorders>
            <w:shd w:val="clear" w:color="auto" w:fill="E5B8B7" w:themeFill="accent2" w:themeFillTint="66"/>
          </w:tcPr>
          <w:p w:rsidR="00BB11D1" w:rsidRDefault="00BB11D1" w:rsidP="00451448">
            <w:pPr>
              <w:pStyle w:val="TableParagraph"/>
              <w:spacing w:before="4" w:line="220" w:lineRule="exact"/>
              <w:ind w:left="107"/>
              <w:rPr>
                <w:sz w:val="20"/>
              </w:rPr>
            </w:pPr>
            <w:r>
              <w:rPr>
                <w:sz w:val="20"/>
              </w:rPr>
              <w:t>Banknotes issued</w:t>
            </w:r>
          </w:p>
        </w:tc>
        <w:tc>
          <w:tcPr>
            <w:tcW w:w="2685" w:type="dxa"/>
            <w:tcBorders>
              <w:left w:val="nil"/>
            </w:tcBorders>
            <w:shd w:val="clear" w:color="auto" w:fill="E5B8B7" w:themeFill="accent2" w:themeFillTint="66"/>
          </w:tcPr>
          <w:p w:rsidR="00BB11D1" w:rsidRDefault="00BB11D1" w:rsidP="00451448">
            <w:pPr>
              <w:pStyle w:val="TableParagraph"/>
              <w:spacing w:before="4" w:line="220" w:lineRule="exact"/>
              <w:ind w:left="312"/>
              <w:rPr>
                <w:rFonts w:ascii="Trebuchet MS"/>
                <w:b/>
                <w:sz w:val="20"/>
              </w:rPr>
            </w:pPr>
            <w:r>
              <w:rPr>
                <w:sz w:val="20"/>
              </w:rPr>
              <w:t xml:space="preserve">1 </w:t>
            </w:r>
            <w:r>
              <w:rPr>
                <w:rFonts w:ascii="Trebuchet MS"/>
                <w:b/>
                <w:color w:val="00AF50"/>
                <w:sz w:val="20"/>
              </w:rPr>
              <w:t>-CBDC1.B</w:t>
            </w:r>
          </w:p>
        </w:tc>
      </w:tr>
    </w:tbl>
    <w:p w:rsidR="00BB11D1" w:rsidRPr="00BB11D1" w:rsidRDefault="00BB11D1" w:rsidP="00BB11D1">
      <w:pPr>
        <w:bidi/>
        <w:spacing w:line="220" w:lineRule="exact"/>
        <w:rPr>
          <w:rFonts w:asciiTheme="majorBidi" w:hAnsiTheme="majorBidi" w:cstheme="majorBidi"/>
          <w:sz w:val="20"/>
        </w:rPr>
        <w:sectPr w:rsidR="00BB11D1" w:rsidRPr="00BB11D1" w:rsidSect="00BB11D1">
          <w:pgSz w:w="11910" w:h="16840"/>
          <w:pgMar w:top="1440" w:right="1440" w:bottom="1440" w:left="1440" w:header="0" w:footer="523" w:gutter="0"/>
          <w:cols w:space="720"/>
        </w:sectPr>
      </w:pPr>
    </w:p>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spacing w:before="10"/>
        <w:rPr>
          <w:rFonts w:asciiTheme="majorBidi" w:hAnsiTheme="majorBidi" w:cstheme="majorBidi"/>
          <w:i/>
          <w:sz w:val="25"/>
        </w:rPr>
      </w:pPr>
    </w:p>
    <w:p w:rsidR="000255A4" w:rsidRPr="00BB11D1" w:rsidRDefault="00BB11D1" w:rsidP="006A2441">
      <w:pPr>
        <w:bidi/>
        <w:spacing w:before="59" w:line="254" w:lineRule="auto"/>
        <w:ind w:left="249"/>
        <w:rPr>
          <w:rFonts w:asciiTheme="majorBidi" w:hAnsiTheme="majorBidi" w:cstheme="majorBidi"/>
          <w:i/>
        </w:rPr>
      </w:pPr>
      <w:bookmarkStart w:id="19" w:name="Figure_A.2_Financial_accounts_representa"/>
      <w:bookmarkEnd w:id="19"/>
      <w:r w:rsidRPr="00BB11D1">
        <w:rPr>
          <w:rFonts w:asciiTheme="majorBidi" w:hAnsiTheme="majorBidi" w:cs="Times New Roman"/>
          <w:i/>
          <w:iCs/>
          <w:w w:val="95"/>
          <w:rtl/>
          <w:lang w:bidi="ar-SA"/>
        </w:rPr>
        <w:t>الشكل أ .2: تمثيل الحسابات المالية لاتفاقية التنوع البيولوجي ، وحالتين من الدول ، وأسعار الصرف الثابتة ، والاحتياطيات الأجنبية في شكل ودائع لدى البنوك (حسابات الأسر دون تغيير عن الرقم السابق)</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0"/>
        <w:gridCol w:w="4534"/>
      </w:tblGrid>
      <w:tr w:rsidR="00BB11D1" w:rsidTr="00BB11D1">
        <w:trPr>
          <w:trHeight w:val="244"/>
        </w:trPr>
        <w:tc>
          <w:tcPr>
            <w:tcW w:w="9464" w:type="dxa"/>
            <w:gridSpan w:val="2"/>
            <w:shd w:val="clear" w:color="auto" w:fill="B8CCE4" w:themeFill="accent1" w:themeFillTint="66"/>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A- Commercial Banks</w:t>
            </w:r>
          </w:p>
        </w:tc>
      </w:tr>
      <w:tr w:rsidR="00BB11D1" w:rsidTr="00BB11D1">
        <w:trPr>
          <w:trHeight w:val="1465"/>
        </w:trPr>
        <w:tc>
          <w:tcPr>
            <w:tcW w:w="4930" w:type="dxa"/>
            <w:shd w:val="clear" w:color="auto" w:fill="B8CCE4" w:themeFill="accent1" w:themeFillTint="66"/>
          </w:tcPr>
          <w:p w:rsidR="00BB11D1" w:rsidRDefault="00BB11D1" w:rsidP="00451448">
            <w:pPr>
              <w:pStyle w:val="TableParagraph"/>
              <w:tabs>
                <w:tab w:val="right" w:pos="3088"/>
              </w:tabs>
              <w:spacing w:before="4"/>
              <w:ind w:left="107"/>
              <w:rPr>
                <w:sz w:val="20"/>
              </w:rPr>
            </w:pPr>
            <w:r>
              <w:rPr>
                <w:sz w:val="20"/>
              </w:rPr>
              <w:t>Loans</w:t>
            </w:r>
            <w:r>
              <w:rPr>
                <w:spacing w:val="-15"/>
                <w:sz w:val="20"/>
              </w:rPr>
              <w:t xml:space="preserve"> </w:t>
            </w:r>
            <w:r>
              <w:rPr>
                <w:sz w:val="20"/>
              </w:rPr>
              <w:t>to</w:t>
            </w:r>
            <w:r>
              <w:rPr>
                <w:spacing w:val="-15"/>
                <w:sz w:val="20"/>
              </w:rPr>
              <w:t xml:space="preserve"> </w:t>
            </w:r>
            <w:r>
              <w:rPr>
                <w:sz w:val="20"/>
              </w:rPr>
              <w:t>corporates</w:t>
            </w:r>
            <w:r>
              <w:rPr>
                <w:sz w:val="20"/>
              </w:rPr>
              <w:tab/>
              <w:t>8</w:t>
            </w:r>
          </w:p>
          <w:p w:rsidR="00BB11D1" w:rsidRDefault="00BB11D1" w:rsidP="00451448">
            <w:pPr>
              <w:pStyle w:val="TableParagraph"/>
              <w:tabs>
                <w:tab w:val="right" w:pos="3069"/>
              </w:tabs>
              <w:spacing w:before="15"/>
              <w:ind w:left="107"/>
              <w:rPr>
                <w:sz w:val="20"/>
              </w:rPr>
            </w:pPr>
            <w:r>
              <w:rPr>
                <w:sz w:val="20"/>
              </w:rPr>
              <w:t>Loans</w:t>
            </w:r>
            <w:r>
              <w:rPr>
                <w:spacing w:val="-15"/>
                <w:sz w:val="20"/>
              </w:rPr>
              <w:t xml:space="preserve"> </w:t>
            </w:r>
            <w:r>
              <w:rPr>
                <w:sz w:val="20"/>
              </w:rPr>
              <w:t>to</w:t>
            </w:r>
            <w:r>
              <w:rPr>
                <w:spacing w:val="-16"/>
                <w:sz w:val="20"/>
              </w:rPr>
              <w:t xml:space="preserve"> </w:t>
            </w:r>
            <w:r>
              <w:rPr>
                <w:sz w:val="20"/>
              </w:rPr>
              <w:t>government</w:t>
            </w:r>
            <w:r>
              <w:rPr>
                <w:sz w:val="20"/>
              </w:rPr>
              <w:tab/>
              <w:t>2</w:t>
            </w:r>
          </w:p>
          <w:p w:rsidR="00BB11D1" w:rsidRDefault="00BB11D1" w:rsidP="00451448">
            <w:pPr>
              <w:pStyle w:val="TableParagraph"/>
              <w:tabs>
                <w:tab w:val="right" w:pos="3090"/>
              </w:tabs>
              <w:spacing w:before="12"/>
              <w:ind w:left="107"/>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tabs>
                <w:tab w:val="right" w:pos="3074"/>
              </w:tabs>
              <w:spacing w:before="15"/>
              <w:ind w:left="107"/>
              <w:rPr>
                <w:sz w:val="20"/>
              </w:rPr>
            </w:pPr>
            <w:r>
              <w:rPr>
                <w:sz w:val="20"/>
              </w:rPr>
              <w:t>Corp/state</w:t>
            </w:r>
            <w:r>
              <w:rPr>
                <w:spacing w:val="-15"/>
                <w:sz w:val="20"/>
              </w:rPr>
              <w:t xml:space="preserve"> </w:t>
            </w:r>
            <w:r>
              <w:rPr>
                <w:sz w:val="20"/>
              </w:rPr>
              <w:t>bonds</w:t>
            </w:r>
            <w:r>
              <w:rPr>
                <w:sz w:val="20"/>
              </w:rPr>
              <w:tab/>
              <w:t>5</w:t>
            </w:r>
          </w:p>
          <w:p w:rsidR="00BB11D1" w:rsidRDefault="00BB11D1" w:rsidP="00451448">
            <w:pPr>
              <w:pStyle w:val="TableParagraph"/>
              <w:tabs>
                <w:tab w:val="left" w:pos="2958"/>
              </w:tabs>
              <w:spacing w:before="15"/>
              <w:ind w:left="107"/>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tc>
        <w:tc>
          <w:tcPr>
            <w:tcW w:w="4534" w:type="dxa"/>
            <w:shd w:val="clear" w:color="auto" w:fill="B8CCE4" w:themeFill="accent1" w:themeFillTint="66"/>
          </w:tcPr>
          <w:p w:rsidR="00BB11D1" w:rsidRDefault="00BB11D1" w:rsidP="00451448">
            <w:pPr>
              <w:pStyle w:val="TableParagraph"/>
              <w:tabs>
                <w:tab w:val="left" w:pos="2147"/>
              </w:tabs>
              <w:spacing w:before="4"/>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-CBDC2.A</w:t>
            </w:r>
          </w:p>
          <w:p w:rsidR="00BB11D1" w:rsidRDefault="00BB11D1" w:rsidP="00451448">
            <w:pPr>
              <w:pStyle w:val="TableParagraph"/>
              <w:tabs>
                <w:tab w:val="right" w:pos="2219"/>
              </w:tabs>
              <w:spacing w:before="12" w:line="252" w:lineRule="auto"/>
              <w:ind w:left="107" w:right="2237"/>
              <w:rPr>
                <w:sz w:val="20"/>
              </w:rPr>
            </w:pPr>
            <w:r>
              <w:rPr>
                <w:sz w:val="20"/>
              </w:rPr>
              <w:t>Savings</w:t>
            </w:r>
            <w:r>
              <w:rPr>
                <w:spacing w:val="-40"/>
                <w:sz w:val="20"/>
              </w:rPr>
              <w:t xml:space="preserve"> </w:t>
            </w:r>
            <w:r>
              <w:rPr>
                <w:sz w:val="20"/>
              </w:rPr>
              <w:t>+</w:t>
            </w:r>
            <w:r>
              <w:rPr>
                <w:spacing w:val="-39"/>
                <w:sz w:val="20"/>
              </w:rPr>
              <w:t xml:space="preserve"> </w:t>
            </w:r>
            <w:r>
              <w:rPr>
                <w:sz w:val="20"/>
              </w:rPr>
              <w:t>time</w:t>
            </w:r>
            <w:r>
              <w:rPr>
                <w:spacing w:val="-40"/>
                <w:sz w:val="20"/>
              </w:rPr>
              <w:t xml:space="preserve"> </w:t>
            </w:r>
            <w:r>
              <w:rPr>
                <w:sz w:val="20"/>
              </w:rPr>
              <w:t>deposits</w:t>
            </w:r>
            <w:r>
              <w:rPr>
                <w:spacing w:val="9"/>
                <w:sz w:val="20"/>
              </w:rPr>
              <w:t xml:space="preserve"> </w:t>
            </w:r>
            <w:r>
              <w:rPr>
                <w:sz w:val="20"/>
              </w:rPr>
              <w:t>5 Bonds</w:t>
            </w:r>
            <w:r>
              <w:rPr>
                <w:spacing w:val="-16"/>
                <w:sz w:val="20"/>
              </w:rPr>
              <w:t xml:space="preserve"> </w:t>
            </w:r>
            <w:r>
              <w:rPr>
                <w:sz w:val="20"/>
              </w:rPr>
              <w:t>issued</w:t>
            </w:r>
            <w:r>
              <w:rPr>
                <w:sz w:val="20"/>
              </w:rPr>
              <w:tab/>
              <w:t>4</w:t>
            </w:r>
          </w:p>
          <w:p w:rsidR="00BB11D1" w:rsidRDefault="00BB11D1" w:rsidP="00451448">
            <w:pPr>
              <w:pStyle w:val="TableParagraph"/>
              <w:tabs>
                <w:tab w:val="right" w:pos="2215"/>
              </w:tabs>
              <w:spacing w:before="5"/>
              <w:ind w:left="107"/>
              <w:rPr>
                <w:sz w:val="20"/>
              </w:rPr>
            </w:pPr>
            <w:r>
              <w:rPr>
                <w:sz w:val="20"/>
              </w:rPr>
              <w:t>Equity</w:t>
            </w:r>
            <w:r>
              <w:rPr>
                <w:sz w:val="20"/>
              </w:rPr>
              <w:tab/>
              <w:t>3</w:t>
            </w:r>
          </w:p>
          <w:p w:rsidR="00BB11D1" w:rsidRDefault="00BB11D1" w:rsidP="00451448">
            <w:pPr>
              <w:pStyle w:val="TableParagraph"/>
              <w:tabs>
                <w:tab w:val="left" w:pos="1609"/>
              </w:tabs>
              <w:spacing w:before="14"/>
              <w:ind w:left="107"/>
              <w:rPr>
                <w:rFonts w:ascii="Trebuchet MS"/>
                <w:b/>
                <w:sz w:val="20"/>
              </w:rPr>
            </w:pPr>
            <w:r>
              <w:rPr>
                <w:sz w:val="20"/>
              </w:rPr>
              <w:t>CB</w:t>
            </w:r>
            <w:r>
              <w:rPr>
                <w:spacing w:val="-35"/>
                <w:sz w:val="20"/>
              </w:rPr>
              <w:t xml:space="preserve"> </w:t>
            </w:r>
            <w:r>
              <w:rPr>
                <w:sz w:val="20"/>
              </w:rPr>
              <w:t>credit</w:t>
            </w:r>
            <w:r>
              <w:rPr>
                <w:sz w:val="20"/>
              </w:rPr>
              <w:tab/>
            </w:r>
            <w:r>
              <w:rPr>
                <w:rFonts w:ascii="Trebuchet MS"/>
                <w:b/>
                <w:w w:val="95"/>
                <w:sz w:val="20"/>
              </w:rPr>
              <w:t>1</w:t>
            </w:r>
            <w:r>
              <w:rPr>
                <w:rFonts w:ascii="Trebuchet MS"/>
                <w:b/>
                <w:spacing w:val="-36"/>
                <w:w w:val="95"/>
                <w:sz w:val="20"/>
              </w:rPr>
              <w:t xml:space="preserve"> </w:t>
            </w:r>
            <w:r>
              <w:rPr>
                <w:rFonts w:ascii="Trebuchet MS"/>
                <w:b/>
                <w:color w:val="FF0000"/>
                <w:w w:val="95"/>
                <w:sz w:val="20"/>
              </w:rPr>
              <w:t>+CBDC2.A</w:t>
            </w:r>
            <w:r>
              <w:rPr>
                <w:rFonts w:ascii="Trebuchet MS"/>
                <w:b/>
                <w:color w:val="FF0000"/>
                <w:spacing w:val="-36"/>
                <w:w w:val="95"/>
                <w:sz w:val="20"/>
              </w:rPr>
              <w:t xml:space="preserve"> </w:t>
            </w:r>
            <w:r>
              <w:rPr>
                <w:rFonts w:ascii="Trebuchet MS"/>
                <w:b/>
                <w:color w:val="00AF50"/>
                <w:w w:val="95"/>
                <w:sz w:val="20"/>
              </w:rPr>
              <w:t>+CBDC1.B</w:t>
            </w:r>
            <w:r>
              <w:rPr>
                <w:rFonts w:ascii="Trebuchet MS"/>
                <w:b/>
                <w:color w:val="00AF50"/>
                <w:spacing w:val="-35"/>
                <w:w w:val="95"/>
                <w:sz w:val="20"/>
              </w:rPr>
              <w:t xml:space="preserve"> </w:t>
            </w:r>
            <w:r>
              <w:rPr>
                <w:rFonts w:ascii="Trebuchet MS"/>
                <w:b/>
                <w:color w:val="FF0000"/>
                <w:w w:val="95"/>
                <w:sz w:val="20"/>
              </w:rPr>
              <w:t>+CBDC2.B</w:t>
            </w:r>
          </w:p>
          <w:p w:rsidR="00BB11D1" w:rsidRDefault="00BB11D1" w:rsidP="00451448">
            <w:pPr>
              <w:pStyle w:val="TableParagraph"/>
              <w:spacing w:before="13" w:line="220" w:lineRule="exact"/>
              <w:ind w:left="107"/>
              <w:rPr>
                <w:rFonts w:ascii="Trebuchet MS"/>
                <w:b/>
                <w:sz w:val="20"/>
              </w:rPr>
            </w:pPr>
            <w:r>
              <w:rPr>
                <w:rFonts w:ascii="Trebuchet MS"/>
                <w:b/>
                <w:w w:val="95"/>
                <w:sz w:val="20"/>
              </w:rPr>
              <w:t xml:space="preserve">Deposits foreign CBs (change) </w:t>
            </w:r>
            <w:r>
              <w:rPr>
                <w:rFonts w:ascii="Trebuchet MS"/>
                <w:b/>
                <w:color w:val="00AF50"/>
                <w:w w:val="95"/>
                <w:sz w:val="20"/>
              </w:rPr>
              <w:t xml:space="preserve">-CBDC1.B </w:t>
            </w:r>
            <w:r>
              <w:rPr>
                <w:rFonts w:ascii="Trebuchet MS"/>
                <w:b/>
                <w:color w:val="FF0000"/>
                <w:w w:val="95"/>
                <w:sz w:val="20"/>
              </w:rPr>
              <w:t>-CBDC2.B</w:t>
            </w:r>
          </w:p>
        </w:tc>
      </w:tr>
      <w:tr w:rsidR="00BB11D1" w:rsidTr="00BB11D1">
        <w:trPr>
          <w:trHeight w:val="242"/>
        </w:trPr>
        <w:tc>
          <w:tcPr>
            <w:tcW w:w="9464" w:type="dxa"/>
            <w:gridSpan w:val="2"/>
            <w:shd w:val="clear" w:color="auto" w:fill="B8CCE4" w:themeFill="accent1" w:themeFillTint="66"/>
          </w:tcPr>
          <w:p w:rsidR="00BB11D1" w:rsidRDefault="00BB11D1" w:rsidP="00451448">
            <w:pPr>
              <w:pStyle w:val="TableParagraph"/>
              <w:spacing w:before="1" w:line="220" w:lineRule="exact"/>
              <w:ind w:left="1500" w:right="1495"/>
              <w:jc w:val="center"/>
              <w:rPr>
                <w:rFonts w:ascii="Trebuchet MS"/>
                <w:b/>
                <w:sz w:val="20"/>
              </w:rPr>
            </w:pPr>
            <w:r>
              <w:rPr>
                <w:rFonts w:ascii="Trebuchet MS"/>
                <w:b/>
                <w:sz w:val="20"/>
              </w:rPr>
              <w:t>A - Central Bank</w:t>
            </w:r>
          </w:p>
        </w:tc>
      </w:tr>
      <w:tr w:rsidR="00BB11D1" w:rsidTr="00BB11D1">
        <w:trPr>
          <w:trHeight w:val="733"/>
        </w:trPr>
        <w:tc>
          <w:tcPr>
            <w:tcW w:w="4930" w:type="dxa"/>
            <w:shd w:val="clear" w:color="auto" w:fill="B8CCE4" w:themeFill="accent1" w:themeFillTint="66"/>
          </w:tcPr>
          <w:p w:rsidR="00BB11D1" w:rsidRDefault="00BB11D1" w:rsidP="00451448">
            <w:pPr>
              <w:pStyle w:val="TableParagraph"/>
              <w:tabs>
                <w:tab w:val="left" w:pos="1658"/>
              </w:tabs>
              <w:spacing w:before="4"/>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36"/>
                <w:sz w:val="20"/>
              </w:rPr>
              <w:t xml:space="preserve"> </w:t>
            </w:r>
            <w:r>
              <w:rPr>
                <w:rFonts w:ascii="Trebuchet MS"/>
                <w:b/>
                <w:color w:val="FF0000"/>
                <w:sz w:val="20"/>
              </w:rPr>
              <w:t>+CBDC2.A</w:t>
            </w:r>
            <w:r>
              <w:rPr>
                <w:rFonts w:ascii="Trebuchet MS"/>
                <w:b/>
                <w:color w:val="FF0000"/>
                <w:spacing w:val="-37"/>
                <w:sz w:val="20"/>
              </w:rPr>
              <w:t xml:space="preserve"> </w:t>
            </w:r>
            <w:r>
              <w:rPr>
                <w:rFonts w:ascii="Trebuchet MS"/>
                <w:b/>
                <w:color w:val="00AF50"/>
                <w:sz w:val="20"/>
              </w:rPr>
              <w:t>+CBDC1.B</w:t>
            </w:r>
            <w:r>
              <w:rPr>
                <w:rFonts w:ascii="Trebuchet MS"/>
                <w:b/>
                <w:color w:val="00AF50"/>
                <w:spacing w:val="-35"/>
                <w:sz w:val="20"/>
              </w:rPr>
              <w:t xml:space="preserve"> </w:t>
            </w:r>
            <w:r>
              <w:rPr>
                <w:rFonts w:ascii="Trebuchet MS"/>
                <w:b/>
                <w:color w:val="FF0000"/>
                <w:sz w:val="20"/>
              </w:rPr>
              <w:t>+CBDC2.B</w:t>
            </w:r>
          </w:p>
        </w:tc>
        <w:tc>
          <w:tcPr>
            <w:tcW w:w="4534" w:type="dxa"/>
            <w:shd w:val="clear" w:color="auto" w:fill="B8CCE4" w:themeFill="accent1" w:themeFillTint="66"/>
          </w:tcPr>
          <w:p w:rsidR="00BB11D1" w:rsidRDefault="00BB11D1" w:rsidP="00451448">
            <w:pPr>
              <w:pStyle w:val="TableParagraph"/>
              <w:tabs>
                <w:tab w:val="left" w:pos="2156"/>
              </w:tabs>
              <w:spacing w:before="4"/>
              <w:ind w:left="107"/>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6"/>
                <w:sz w:val="20"/>
              </w:rPr>
              <w:t xml:space="preserve"> </w:t>
            </w:r>
            <w:r>
              <w:rPr>
                <w:rFonts w:ascii="Trebuchet MS"/>
                <w:b/>
                <w:color w:val="00AF50"/>
                <w:sz w:val="20"/>
              </w:rPr>
              <w:t>-CBDC1</w:t>
            </w:r>
          </w:p>
          <w:p w:rsidR="00BB11D1" w:rsidRDefault="00BB11D1" w:rsidP="00451448">
            <w:pPr>
              <w:pStyle w:val="TableParagraph"/>
              <w:tabs>
                <w:tab w:val="left" w:pos="2178"/>
              </w:tabs>
              <w:spacing w:before="12"/>
              <w:ind w:left="107"/>
              <w:rPr>
                <w:sz w:val="20"/>
              </w:rPr>
            </w:pPr>
            <w:r>
              <w:rPr>
                <w:w w:val="95"/>
                <w:sz w:val="20"/>
              </w:rPr>
              <w:t>Deposits</w:t>
            </w:r>
            <w:r>
              <w:rPr>
                <w:spacing w:val="-22"/>
                <w:w w:val="95"/>
                <w:sz w:val="20"/>
              </w:rPr>
              <w:t xml:space="preserve"> </w:t>
            </w:r>
            <w:r>
              <w:rPr>
                <w:w w:val="95"/>
                <w:sz w:val="20"/>
              </w:rPr>
              <w:t>of</w:t>
            </w:r>
            <w:r>
              <w:rPr>
                <w:spacing w:val="-23"/>
                <w:w w:val="95"/>
                <w:sz w:val="20"/>
              </w:rPr>
              <w:t xml:space="preserve"> </w:t>
            </w:r>
            <w:r>
              <w:rPr>
                <w:w w:val="95"/>
                <w:sz w:val="20"/>
              </w:rPr>
              <w:t>banks</w:t>
            </w:r>
            <w:r>
              <w:rPr>
                <w:w w:val="95"/>
                <w:sz w:val="20"/>
              </w:rPr>
              <w:tab/>
            </w:r>
            <w:r>
              <w:rPr>
                <w:sz w:val="20"/>
              </w:rPr>
              <w:t>0</w:t>
            </w:r>
          </w:p>
          <w:p w:rsidR="00BB11D1" w:rsidRDefault="00BB11D1" w:rsidP="00451448">
            <w:pPr>
              <w:pStyle w:val="TableParagraph"/>
              <w:tabs>
                <w:tab w:val="left" w:pos="829"/>
              </w:tabs>
              <w:spacing w:before="15" w:line="220" w:lineRule="exact"/>
              <w:ind w:left="107"/>
              <w:rPr>
                <w:rFonts w:ascii="Trebuchet MS"/>
                <w:b/>
                <w:sz w:val="20"/>
              </w:rPr>
            </w:pPr>
            <w:r>
              <w:rPr>
                <w:rFonts w:ascii="Trebuchet MS"/>
                <w:b/>
                <w:sz w:val="20"/>
              </w:rPr>
              <w:t>CBDC</w:t>
            </w:r>
            <w:r>
              <w:rPr>
                <w:rFonts w:ascii="Trebuchet MS"/>
                <w:b/>
                <w:sz w:val="20"/>
              </w:rPr>
              <w:tab/>
            </w:r>
            <w:r>
              <w:rPr>
                <w:rFonts w:ascii="Trebuchet MS"/>
                <w:b/>
                <w:color w:val="00AF50"/>
                <w:w w:val="95"/>
                <w:sz w:val="20"/>
              </w:rPr>
              <w:t>+CBDC1.A</w:t>
            </w:r>
            <w:r>
              <w:rPr>
                <w:rFonts w:ascii="Trebuchet MS"/>
                <w:b/>
                <w:color w:val="00AF50"/>
                <w:spacing w:val="-38"/>
                <w:w w:val="95"/>
                <w:sz w:val="20"/>
              </w:rPr>
              <w:t xml:space="preserve"> </w:t>
            </w:r>
            <w:r>
              <w:rPr>
                <w:rFonts w:ascii="Trebuchet MS"/>
                <w:b/>
                <w:color w:val="FF0000"/>
                <w:w w:val="95"/>
                <w:sz w:val="20"/>
              </w:rPr>
              <w:t>+CBDC2.A</w:t>
            </w:r>
            <w:r>
              <w:rPr>
                <w:rFonts w:ascii="Trebuchet MS"/>
                <w:b/>
                <w:color w:val="FF0000"/>
                <w:spacing w:val="-37"/>
                <w:w w:val="95"/>
                <w:sz w:val="20"/>
              </w:rPr>
              <w:t xml:space="preserve"> </w:t>
            </w:r>
            <w:r>
              <w:rPr>
                <w:rFonts w:ascii="Trebuchet MS"/>
                <w:b/>
                <w:color w:val="00AF50"/>
                <w:w w:val="95"/>
                <w:sz w:val="20"/>
              </w:rPr>
              <w:t>+CBDC1.B</w:t>
            </w:r>
            <w:r>
              <w:rPr>
                <w:rFonts w:ascii="Trebuchet MS"/>
                <w:b/>
                <w:color w:val="00AF50"/>
                <w:spacing w:val="-37"/>
                <w:w w:val="95"/>
                <w:sz w:val="20"/>
              </w:rPr>
              <w:t xml:space="preserve"> </w:t>
            </w:r>
            <w:r>
              <w:rPr>
                <w:rFonts w:ascii="Trebuchet MS"/>
                <w:b/>
                <w:color w:val="FF0000"/>
                <w:w w:val="95"/>
                <w:sz w:val="20"/>
              </w:rPr>
              <w:t>+CBDC2.B</w:t>
            </w:r>
          </w:p>
        </w:tc>
      </w:tr>
      <w:tr w:rsidR="00BB11D1" w:rsidTr="00BB11D1">
        <w:trPr>
          <w:trHeight w:val="244"/>
        </w:trPr>
        <w:tc>
          <w:tcPr>
            <w:tcW w:w="9464" w:type="dxa"/>
            <w:gridSpan w:val="2"/>
            <w:shd w:val="clear" w:color="auto" w:fill="E5B8B7" w:themeFill="accent2" w:themeFillTint="66"/>
          </w:tcPr>
          <w:p w:rsidR="00BB11D1" w:rsidRDefault="00BB11D1" w:rsidP="00451448">
            <w:pPr>
              <w:pStyle w:val="TableParagraph"/>
              <w:spacing w:before="4" w:line="220" w:lineRule="exact"/>
              <w:ind w:left="1501" w:right="1493"/>
              <w:jc w:val="center"/>
              <w:rPr>
                <w:rFonts w:ascii="Trebuchet MS"/>
                <w:b/>
                <w:sz w:val="20"/>
              </w:rPr>
            </w:pPr>
            <w:r>
              <w:rPr>
                <w:rFonts w:ascii="Trebuchet MS"/>
                <w:b/>
                <w:sz w:val="20"/>
              </w:rPr>
              <w:t>B- Commercial Banks</w:t>
            </w:r>
          </w:p>
        </w:tc>
      </w:tr>
      <w:tr w:rsidR="00BB11D1" w:rsidTr="00BB11D1">
        <w:trPr>
          <w:trHeight w:val="1218"/>
        </w:trPr>
        <w:tc>
          <w:tcPr>
            <w:tcW w:w="4930" w:type="dxa"/>
            <w:shd w:val="clear" w:color="auto" w:fill="E5B8B7" w:themeFill="accent2" w:themeFillTint="66"/>
          </w:tcPr>
          <w:p w:rsidR="00BB11D1" w:rsidRDefault="00BB11D1" w:rsidP="00451448">
            <w:pPr>
              <w:pStyle w:val="TableParagraph"/>
              <w:tabs>
                <w:tab w:val="right" w:pos="3088"/>
              </w:tabs>
              <w:spacing w:before="4"/>
              <w:ind w:left="107"/>
              <w:rPr>
                <w:sz w:val="20"/>
              </w:rPr>
            </w:pPr>
            <w:r>
              <w:rPr>
                <w:sz w:val="20"/>
              </w:rPr>
              <w:t>Loans</w:t>
            </w:r>
            <w:r>
              <w:rPr>
                <w:spacing w:val="-15"/>
                <w:sz w:val="20"/>
              </w:rPr>
              <w:t xml:space="preserve"> </w:t>
            </w:r>
            <w:r>
              <w:rPr>
                <w:sz w:val="20"/>
              </w:rPr>
              <w:t>to</w:t>
            </w:r>
            <w:r>
              <w:rPr>
                <w:spacing w:val="-15"/>
                <w:sz w:val="20"/>
              </w:rPr>
              <w:t xml:space="preserve"> </w:t>
            </w:r>
            <w:r>
              <w:rPr>
                <w:sz w:val="20"/>
              </w:rPr>
              <w:t>corporates</w:t>
            </w:r>
            <w:r>
              <w:rPr>
                <w:sz w:val="20"/>
              </w:rPr>
              <w:tab/>
              <w:t>8</w:t>
            </w:r>
          </w:p>
          <w:p w:rsidR="00BB11D1" w:rsidRDefault="00BB11D1" w:rsidP="00451448">
            <w:pPr>
              <w:pStyle w:val="TableParagraph"/>
              <w:tabs>
                <w:tab w:val="right" w:pos="3069"/>
              </w:tabs>
              <w:spacing w:before="12"/>
              <w:ind w:left="107"/>
              <w:rPr>
                <w:sz w:val="20"/>
              </w:rPr>
            </w:pPr>
            <w:r>
              <w:rPr>
                <w:sz w:val="20"/>
              </w:rPr>
              <w:t>Loans</w:t>
            </w:r>
            <w:r>
              <w:rPr>
                <w:spacing w:val="-15"/>
                <w:sz w:val="20"/>
              </w:rPr>
              <w:t xml:space="preserve"> </w:t>
            </w:r>
            <w:r>
              <w:rPr>
                <w:sz w:val="20"/>
              </w:rPr>
              <w:t>to</w:t>
            </w:r>
            <w:r>
              <w:rPr>
                <w:spacing w:val="-16"/>
                <w:sz w:val="20"/>
              </w:rPr>
              <w:t xml:space="preserve"> </w:t>
            </w:r>
            <w:r>
              <w:rPr>
                <w:sz w:val="20"/>
              </w:rPr>
              <w:t>government</w:t>
            </w:r>
            <w:r>
              <w:rPr>
                <w:sz w:val="20"/>
              </w:rPr>
              <w:tab/>
              <w:t>2</w:t>
            </w:r>
          </w:p>
          <w:p w:rsidR="00BB11D1" w:rsidRDefault="00BB11D1" w:rsidP="00451448">
            <w:pPr>
              <w:pStyle w:val="TableParagraph"/>
              <w:tabs>
                <w:tab w:val="right" w:pos="3047"/>
              </w:tabs>
              <w:spacing w:before="15"/>
              <w:ind w:left="107"/>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tabs>
                <w:tab w:val="right" w:pos="3074"/>
              </w:tabs>
              <w:spacing w:before="15"/>
              <w:ind w:left="107"/>
              <w:rPr>
                <w:sz w:val="20"/>
              </w:rPr>
            </w:pPr>
            <w:r>
              <w:rPr>
                <w:sz w:val="20"/>
              </w:rPr>
              <w:t>Corp/state</w:t>
            </w:r>
            <w:r>
              <w:rPr>
                <w:spacing w:val="-15"/>
                <w:sz w:val="20"/>
              </w:rPr>
              <w:t xml:space="preserve"> </w:t>
            </w:r>
            <w:r>
              <w:rPr>
                <w:sz w:val="20"/>
              </w:rPr>
              <w:t>bonds</w:t>
            </w:r>
            <w:r>
              <w:rPr>
                <w:sz w:val="20"/>
              </w:rPr>
              <w:tab/>
              <w:t>5</w:t>
            </w:r>
          </w:p>
        </w:tc>
        <w:tc>
          <w:tcPr>
            <w:tcW w:w="4534" w:type="dxa"/>
            <w:shd w:val="clear" w:color="auto" w:fill="E5B8B7" w:themeFill="accent2" w:themeFillTint="66"/>
          </w:tcPr>
          <w:p w:rsidR="00BB11D1" w:rsidRDefault="00BB11D1" w:rsidP="00451448">
            <w:pPr>
              <w:pStyle w:val="TableParagraph"/>
              <w:tabs>
                <w:tab w:val="left" w:pos="2147"/>
              </w:tabs>
              <w:spacing w:before="4"/>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-CBDC2.B</w:t>
            </w:r>
          </w:p>
          <w:p w:rsidR="00BB11D1" w:rsidRDefault="00BB11D1" w:rsidP="00451448">
            <w:pPr>
              <w:pStyle w:val="TableParagraph"/>
              <w:tabs>
                <w:tab w:val="right" w:pos="2264"/>
              </w:tabs>
              <w:spacing w:before="10" w:line="254" w:lineRule="auto"/>
              <w:ind w:left="107" w:right="2237"/>
              <w:rPr>
                <w:sz w:val="20"/>
              </w:rPr>
            </w:pPr>
            <w:r>
              <w:rPr>
                <w:sz w:val="20"/>
              </w:rPr>
              <w:t>Savings</w:t>
            </w:r>
            <w:r>
              <w:rPr>
                <w:spacing w:val="-40"/>
                <w:sz w:val="20"/>
              </w:rPr>
              <w:t xml:space="preserve"> </w:t>
            </w:r>
            <w:r>
              <w:rPr>
                <w:sz w:val="20"/>
              </w:rPr>
              <w:t>+</w:t>
            </w:r>
            <w:r>
              <w:rPr>
                <w:spacing w:val="-39"/>
                <w:sz w:val="20"/>
              </w:rPr>
              <w:t xml:space="preserve"> </w:t>
            </w:r>
            <w:r>
              <w:rPr>
                <w:sz w:val="20"/>
              </w:rPr>
              <w:t>time</w:t>
            </w:r>
            <w:r>
              <w:rPr>
                <w:spacing w:val="-40"/>
                <w:sz w:val="20"/>
              </w:rPr>
              <w:t xml:space="preserve"> </w:t>
            </w:r>
            <w:r>
              <w:rPr>
                <w:sz w:val="20"/>
              </w:rPr>
              <w:t>deposits</w:t>
            </w:r>
            <w:r>
              <w:rPr>
                <w:spacing w:val="9"/>
                <w:sz w:val="20"/>
              </w:rPr>
              <w:t xml:space="preserve"> </w:t>
            </w:r>
            <w:r>
              <w:rPr>
                <w:sz w:val="20"/>
              </w:rPr>
              <w:t>5 Bonds</w:t>
            </w:r>
            <w:r>
              <w:rPr>
                <w:spacing w:val="-16"/>
                <w:sz w:val="20"/>
              </w:rPr>
              <w:t xml:space="preserve"> </w:t>
            </w:r>
            <w:r>
              <w:rPr>
                <w:sz w:val="20"/>
              </w:rPr>
              <w:t>issued</w:t>
            </w:r>
            <w:r>
              <w:rPr>
                <w:sz w:val="20"/>
              </w:rPr>
              <w:tab/>
              <w:t>4</w:t>
            </w:r>
          </w:p>
          <w:p w:rsidR="00BB11D1" w:rsidRDefault="00BB11D1" w:rsidP="00451448">
            <w:pPr>
              <w:pStyle w:val="TableParagraph"/>
              <w:tabs>
                <w:tab w:val="right" w:pos="2260"/>
              </w:tabs>
              <w:spacing w:before="2"/>
              <w:ind w:left="107"/>
              <w:rPr>
                <w:sz w:val="20"/>
              </w:rPr>
            </w:pPr>
            <w:r>
              <w:rPr>
                <w:sz w:val="20"/>
              </w:rPr>
              <w:t>Equity</w:t>
            </w:r>
            <w:r>
              <w:rPr>
                <w:sz w:val="20"/>
              </w:rPr>
              <w:tab/>
              <w:t>3</w:t>
            </w:r>
          </w:p>
          <w:p w:rsidR="00BB11D1" w:rsidRDefault="00BB11D1" w:rsidP="00451448">
            <w:pPr>
              <w:pStyle w:val="TableParagraph"/>
              <w:tabs>
                <w:tab w:val="left" w:pos="2156"/>
              </w:tabs>
              <w:spacing w:before="12" w:line="220" w:lineRule="exact"/>
              <w:ind w:left="107"/>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r>
            <w:r>
              <w:rPr>
                <w:rFonts w:ascii="Trebuchet MS"/>
                <w:b/>
                <w:sz w:val="20"/>
              </w:rPr>
              <w:t>1</w:t>
            </w:r>
            <w:r>
              <w:rPr>
                <w:rFonts w:ascii="Trebuchet MS"/>
                <w:b/>
                <w:spacing w:val="-19"/>
                <w:sz w:val="20"/>
              </w:rPr>
              <w:t xml:space="preserve"> </w:t>
            </w:r>
            <w:r>
              <w:rPr>
                <w:rFonts w:ascii="Trebuchet MS"/>
                <w:b/>
                <w:color w:val="FF0000"/>
                <w:sz w:val="20"/>
              </w:rPr>
              <w:t>+CBDC2.B</w:t>
            </w:r>
          </w:p>
        </w:tc>
      </w:tr>
      <w:tr w:rsidR="00BB11D1" w:rsidTr="00BB11D1">
        <w:trPr>
          <w:trHeight w:val="244"/>
        </w:trPr>
        <w:tc>
          <w:tcPr>
            <w:tcW w:w="9464" w:type="dxa"/>
            <w:gridSpan w:val="2"/>
            <w:shd w:val="clear" w:color="auto" w:fill="E5B8B7" w:themeFill="accent2" w:themeFillTint="66"/>
          </w:tcPr>
          <w:p w:rsidR="00BB11D1" w:rsidRDefault="00BB11D1" w:rsidP="00451448">
            <w:pPr>
              <w:pStyle w:val="TableParagraph"/>
              <w:spacing w:before="4" w:line="220" w:lineRule="exact"/>
              <w:ind w:left="1501" w:right="1493"/>
              <w:jc w:val="center"/>
              <w:rPr>
                <w:rFonts w:ascii="Trebuchet MS"/>
                <w:b/>
                <w:sz w:val="20"/>
              </w:rPr>
            </w:pPr>
            <w:r>
              <w:rPr>
                <w:rFonts w:ascii="Trebuchet MS"/>
                <w:b/>
                <w:sz w:val="20"/>
              </w:rPr>
              <w:t>B - Central Bank</w:t>
            </w:r>
          </w:p>
        </w:tc>
      </w:tr>
      <w:tr w:rsidR="00BB11D1" w:rsidTr="00BB11D1">
        <w:trPr>
          <w:trHeight w:val="489"/>
        </w:trPr>
        <w:tc>
          <w:tcPr>
            <w:tcW w:w="4930" w:type="dxa"/>
            <w:shd w:val="clear" w:color="auto" w:fill="E5B8B7" w:themeFill="accent2" w:themeFillTint="66"/>
          </w:tcPr>
          <w:p w:rsidR="00BB11D1" w:rsidRDefault="00BB11D1" w:rsidP="00451448">
            <w:pPr>
              <w:pStyle w:val="TableParagraph"/>
              <w:tabs>
                <w:tab w:val="left" w:pos="2135"/>
              </w:tabs>
              <w:spacing w:before="4"/>
              <w:ind w:left="107"/>
              <w:rPr>
                <w:rFonts w:ascii="Trebuchet MS"/>
                <w:b/>
                <w:sz w:val="20"/>
              </w:rPr>
            </w:pPr>
            <w:r>
              <w:rPr>
                <w:rFonts w:ascii="Trebuchet MS"/>
                <w:b/>
                <w:w w:val="95"/>
                <w:sz w:val="20"/>
              </w:rPr>
              <w:t>FX</w:t>
            </w:r>
            <w:r>
              <w:rPr>
                <w:rFonts w:ascii="Trebuchet MS"/>
                <w:b/>
                <w:spacing w:val="-36"/>
                <w:w w:val="95"/>
                <w:sz w:val="20"/>
              </w:rPr>
              <w:t xml:space="preserve"> </w:t>
            </w:r>
            <w:r>
              <w:rPr>
                <w:rFonts w:ascii="Trebuchet MS"/>
                <w:b/>
                <w:w w:val="95"/>
                <w:sz w:val="20"/>
              </w:rPr>
              <w:t>reserves</w:t>
            </w:r>
            <w:r>
              <w:rPr>
                <w:rFonts w:ascii="Trebuchet MS"/>
                <w:b/>
                <w:spacing w:val="-15"/>
                <w:w w:val="95"/>
                <w:sz w:val="20"/>
              </w:rPr>
              <w:t xml:space="preserve"> </w:t>
            </w:r>
            <w:r>
              <w:rPr>
                <w:rFonts w:ascii="Trebuchet MS"/>
                <w:b/>
                <w:w w:val="95"/>
                <w:sz w:val="20"/>
              </w:rPr>
              <w:t>(change)</w:t>
            </w:r>
            <w:r>
              <w:rPr>
                <w:rFonts w:ascii="Trebuchet MS"/>
                <w:b/>
                <w:w w:val="95"/>
                <w:sz w:val="20"/>
              </w:rPr>
              <w:tab/>
            </w:r>
            <w:r>
              <w:rPr>
                <w:color w:val="00AF50"/>
                <w:w w:val="95"/>
                <w:sz w:val="20"/>
              </w:rPr>
              <w:t>-</w:t>
            </w:r>
            <w:r>
              <w:rPr>
                <w:rFonts w:ascii="Trebuchet MS"/>
                <w:b/>
                <w:color w:val="00AF50"/>
                <w:w w:val="95"/>
                <w:sz w:val="20"/>
              </w:rPr>
              <w:t>CBDC1.B</w:t>
            </w:r>
            <w:r>
              <w:rPr>
                <w:rFonts w:ascii="Trebuchet MS"/>
                <w:b/>
                <w:color w:val="00AF50"/>
                <w:spacing w:val="-15"/>
                <w:w w:val="95"/>
                <w:sz w:val="20"/>
              </w:rPr>
              <w:t xml:space="preserve"> </w:t>
            </w:r>
            <w:r>
              <w:rPr>
                <w:rFonts w:ascii="Trebuchet MS"/>
                <w:b/>
                <w:color w:val="FF0000"/>
                <w:w w:val="95"/>
                <w:sz w:val="20"/>
              </w:rPr>
              <w:t>-CBDC2.B</w:t>
            </w:r>
          </w:p>
          <w:p w:rsidR="00BB11D1" w:rsidRDefault="00BB11D1" w:rsidP="00451448">
            <w:pPr>
              <w:pStyle w:val="TableParagraph"/>
              <w:tabs>
                <w:tab w:val="left" w:pos="2834"/>
              </w:tabs>
              <w:spacing w:before="12" w:line="220" w:lineRule="exact"/>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19"/>
                <w:sz w:val="20"/>
              </w:rPr>
              <w:t xml:space="preserve"> </w:t>
            </w:r>
            <w:r>
              <w:rPr>
                <w:rFonts w:ascii="Trebuchet MS"/>
                <w:b/>
                <w:color w:val="FF0000"/>
                <w:sz w:val="20"/>
              </w:rPr>
              <w:t>+CBDC2.B</w:t>
            </w:r>
          </w:p>
        </w:tc>
        <w:tc>
          <w:tcPr>
            <w:tcW w:w="4534" w:type="dxa"/>
            <w:shd w:val="clear" w:color="auto" w:fill="E5B8B7" w:themeFill="accent2" w:themeFillTint="66"/>
          </w:tcPr>
          <w:p w:rsidR="00BB11D1" w:rsidRDefault="00BB11D1" w:rsidP="00451448">
            <w:pPr>
              <w:pStyle w:val="TableParagraph"/>
              <w:tabs>
                <w:tab w:val="left" w:pos="2156"/>
              </w:tabs>
              <w:spacing w:before="4"/>
              <w:ind w:left="107"/>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3"/>
                <w:sz w:val="20"/>
              </w:rPr>
              <w:t xml:space="preserve"> </w:t>
            </w:r>
            <w:r>
              <w:rPr>
                <w:rFonts w:ascii="Trebuchet MS"/>
                <w:b/>
                <w:color w:val="00AF50"/>
                <w:sz w:val="20"/>
              </w:rPr>
              <w:t>-CBDC1.B</w:t>
            </w:r>
          </w:p>
        </w:tc>
      </w:tr>
    </w:tbl>
    <w:p w:rsidR="000255A4" w:rsidRPr="00BB11D1" w:rsidRDefault="000255A4" w:rsidP="006A2441">
      <w:pPr>
        <w:bidi/>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6"/>
        <w:rPr>
          <w:rFonts w:asciiTheme="majorBidi" w:hAnsiTheme="majorBidi" w:cstheme="majorBidi"/>
          <w:i/>
        </w:rPr>
      </w:pPr>
    </w:p>
    <w:p w:rsidR="000255A4" w:rsidRPr="00BB11D1" w:rsidRDefault="00BB11D1" w:rsidP="006A2441">
      <w:pPr>
        <w:bidi/>
        <w:spacing w:before="59" w:after="14"/>
        <w:ind w:left="249"/>
        <w:rPr>
          <w:rFonts w:asciiTheme="majorBidi" w:hAnsiTheme="majorBidi" w:cstheme="majorBidi"/>
          <w:i/>
        </w:rPr>
      </w:pPr>
      <w:bookmarkStart w:id="20" w:name="Figure_A.3_Libra_–_two_countries_case_–_"/>
      <w:bookmarkEnd w:id="20"/>
      <w:r w:rsidRPr="00BB11D1">
        <w:rPr>
          <w:rFonts w:asciiTheme="majorBidi" w:hAnsiTheme="majorBidi" w:cs="Times New Roman"/>
          <w:rtl/>
          <w:lang w:bidi="ar-SA"/>
        </w:rPr>
        <w:t>الشكل أ .3 الميزان - حالة دولتين - أسعار صرف مرنة</w:t>
      </w:r>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2188"/>
        <w:gridCol w:w="1664"/>
        <w:gridCol w:w="3184"/>
      </w:tblGrid>
      <w:tr w:rsidR="00BB11D1" w:rsidTr="00BB11D1">
        <w:trPr>
          <w:trHeight w:val="244"/>
        </w:trPr>
        <w:tc>
          <w:tcPr>
            <w:tcW w:w="9462" w:type="dxa"/>
            <w:gridSpan w:val="4"/>
            <w:shd w:val="clear" w:color="auto" w:fill="B8CCE4" w:themeFill="accent1" w:themeFillTint="66"/>
          </w:tcPr>
          <w:p w:rsidR="00BB11D1" w:rsidRDefault="00BB11D1" w:rsidP="00451448">
            <w:pPr>
              <w:pStyle w:val="TableParagraph"/>
              <w:spacing w:before="4" w:line="220" w:lineRule="exact"/>
              <w:ind w:left="1526" w:right="1468"/>
              <w:jc w:val="center"/>
              <w:rPr>
                <w:rFonts w:ascii="Trebuchet MS"/>
                <w:b/>
                <w:sz w:val="20"/>
              </w:rPr>
            </w:pPr>
            <w:r>
              <w:rPr>
                <w:rFonts w:ascii="Trebuchet MS"/>
                <w:b/>
                <w:sz w:val="20"/>
              </w:rPr>
              <w:t>A - Households, pension and investment funds, insurance companies</w:t>
            </w:r>
          </w:p>
        </w:tc>
      </w:tr>
      <w:tr w:rsidR="00BB11D1" w:rsidTr="00BB11D1">
        <w:trPr>
          <w:trHeight w:val="2198"/>
        </w:trPr>
        <w:tc>
          <w:tcPr>
            <w:tcW w:w="2426"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254" w:lineRule="auto"/>
              <w:ind w:left="133" w:right="1137"/>
              <w:rPr>
                <w:sz w:val="20"/>
              </w:rPr>
            </w:pPr>
            <w:r>
              <w:rPr>
                <w:sz w:val="20"/>
              </w:rPr>
              <w:t xml:space="preserve">Real Assets </w:t>
            </w:r>
            <w:r>
              <w:rPr>
                <w:w w:val="90"/>
                <w:sz w:val="20"/>
              </w:rPr>
              <w:t>Sight deposits</w:t>
            </w:r>
          </w:p>
          <w:p w:rsidR="00BB11D1" w:rsidRDefault="00BB11D1" w:rsidP="00451448">
            <w:pPr>
              <w:pStyle w:val="TableParagraph"/>
              <w:spacing w:before="2"/>
              <w:ind w:left="133"/>
              <w:rPr>
                <w:sz w:val="20"/>
              </w:rPr>
            </w:pPr>
            <w:r>
              <w:rPr>
                <w:sz w:val="20"/>
              </w:rPr>
              <w:t>Savings + time deposits</w:t>
            </w:r>
          </w:p>
          <w:p w:rsidR="00BB11D1" w:rsidRDefault="00BB11D1" w:rsidP="00451448">
            <w:pPr>
              <w:pStyle w:val="TableParagraph"/>
              <w:spacing w:before="12"/>
              <w:ind w:left="133"/>
              <w:rPr>
                <w:rFonts w:ascii="Trebuchet MS"/>
                <w:b/>
                <w:sz w:val="20"/>
              </w:rPr>
            </w:pPr>
            <w:r>
              <w:rPr>
                <w:rFonts w:ascii="Trebuchet MS"/>
                <w:b/>
                <w:w w:val="95"/>
                <w:sz w:val="20"/>
              </w:rPr>
              <w:t>STC</w:t>
            </w:r>
          </w:p>
          <w:p w:rsidR="00BB11D1" w:rsidRDefault="00BB11D1" w:rsidP="00451448">
            <w:pPr>
              <w:pStyle w:val="TableParagraph"/>
              <w:spacing w:before="13" w:line="254" w:lineRule="auto"/>
              <w:ind w:left="133" w:right="1137"/>
              <w:rPr>
                <w:sz w:val="20"/>
              </w:rPr>
            </w:pPr>
            <w:r>
              <w:rPr>
                <w:w w:val="95"/>
                <w:sz w:val="20"/>
              </w:rPr>
              <w:t xml:space="preserve">Banknotes </w:t>
            </w:r>
            <w:r>
              <w:rPr>
                <w:w w:val="90"/>
                <w:sz w:val="20"/>
              </w:rPr>
              <w:t>Bank bonds</w:t>
            </w:r>
          </w:p>
          <w:p w:rsidR="00BB11D1" w:rsidRDefault="00BB11D1" w:rsidP="00451448">
            <w:pPr>
              <w:pStyle w:val="TableParagraph"/>
              <w:spacing w:line="254" w:lineRule="auto"/>
              <w:ind w:left="133"/>
              <w:rPr>
                <w:sz w:val="20"/>
              </w:rPr>
            </w:pPr>
            <w:r>
              <w:rPr>
                <w:w w:val="95"/>
                <w:sz w:val="20"/>
              </w:rPr>
              <w:t xml:space="preserve">Corporate/state bonds </w:t>
            </w:r>
            <w:r>
              <w:rPr>
                <w:sz w:val="20"/>
              </w:rPr>
              <w:t>Equity</w:t>
            </w:r>
          </w:p>
        </w:tc>
        <w:tc>
          <w:tcPr>
            <w:tcW w:w="2188" w:type="dxa"/>
            <w:tcBorders>
              <w:left w:val="nil"/>
              <w:bottom w:val="single" w:sz="24" w:space="0" w:color="000000"/>
            </w:tcBorders>
            <w:shd w:val="clear" w:color="auto" w:fill="B8CCE4" w:themeFill="accent1" w:themeFillTint="66"/>
          </w:tcPr>
          <w:p w:rsidR="00BB11D1" w:rsidRDefault="00BB11D1" w:rsidP="00451448">
            <w:pPr>
              <w:pStyle w:val="TableParagraph"/>
              <w:spacing w:before="4"/>
              <w:ind w:left="933"/>
              <w:rPr>
                <w:sz w:val="20"/>
              </w:rPr>
            </w:pPr>
            <w:r>
              <w:rPr>
                <w:sz w:val="20"/>
              </w:rPr>
              <w:t>20</w:t>
            </w:r>
          </w:p>
          <w:p w:rsidR="00BB11D1" w:rsidRDefault="00BB11D1" w:rsidP="00451448">
            <w:pPr>
              <w:pStyle w:val="TableParagraph"/>
              <w:spacing w:before="15"/>
              <w:ind w:right="383"/>
              <w:jc w:val="right"/>
              <w:rPr>
                <w:rFonts w:ascii="Trebuchet MS"/>
                <w:b/>
                <w:sz w:val="20"/>
              </w:rPr>
            </w:pPr>
            <w:r>
              <w:rPr>
                <w:w w:val="95"/>
                <w:sz w:val="20"/>
              </w:rPr>
              <w:t>5</w:t>
            </w:r>
            <w:r>
              <w:rPr>
                <w:spacing w:val="-14"/>
                <w:w w:val="95"/>
                <w:sz w:val="20"/>
              </w:rPr>
              <w:t xml:space="preserve"> </w:t>
            </w:r>
            <w:r>
              <w:rPr>
                <w:rFonts w:ascii="Trebuchet MS"/>
                <w:b/>
                <w:color w:val="FF0000"/>
                <w:w w:val="95"/>
                <w:sz w:val="20"/>
              </w:rPr>
              <w:t>-</w:t>
            </w:r>
            <w:r>
              <w:rPr>
                <w:rFonts w:ascii="Trebuchet MS"/>
                <w:b/>
                <w:color w:val="FF0000"/>
                <w:spacing w:val="-39"/>
                <w:w w:val="95"/>
                <w:sz w:val="20"/>
              </w:rPr>
              <w:t xml:space="preserve"> </w:t>
            </w:r>
            <w:r>
              <w:rPr>
                <w:rFonts w:ascii="Trebuchet MS"/>
                <w:b/>
                <w:color w:val="FF0000"/>
                <w:w w:val="95"/>
                <w:sz w:val="20"/>
              </w:rPr>
              <w:t>STC2.A</w:t>
            </w:r>
          </w:p>
          <w:p w:rsidR="00BB11D1" w:rsidRDefault="00BB11D1" w:rsidP="00451448">
            <w:pPr>
              <w:pStyle w:val="TableParagraph"/>
              <w:spacing w:before="12"/>
              <w:ind w:left="873"/>
              <w:rPr>
                <w:sz w:val="20"/>
              </w:rPr>
            </w:pPr>
            <w:r>
              <w:rPr>
                <w:w w:val="90"/>
                <w:sz w:val="20"/>
              </w:rPr>
              <w:t>4</w:t>
            </w:r>
          </w:p>
          <w:p w:rsidR="00BB11D1" w:rsidRDefault="00BB11D1" w:rsidP="00451448">
            <w:pPr>
              <w:pStyle w:val="TableParagraph"/>
              <w:spacing w:before="13"/>
              <w:ind w:right="386"/>
              <w:jc w:val="right"/>
              <w:rPr>
                <w:rFonts w:ascii="Trebuchet MS"/>
                <w:b/>
                <w:sz w:val="20"/>
              </w:rPr>
            </w:pPr>
            <w:r>
              <w:rPr>
                <w:rFonts w:ascii="Trebuchet MS"/>
                <w:b/>
                <w:color w:val="FF0000"/>
                <w:w w:val="90"/>
                <w:sz w:val="20"/>
              </w:rPr>
              <w:t>STC2.A</w:t>
            </w:r>
            <w:r>
              <w:rPr>
                <w:rFonts w:ascii="Trebuchet MS"/>
                <w:b/>
                <w:color w:val="FF0000"/>
                <w:spacing w:val="21"/>
                <w:w w:val="90"/>
                <w:sz w:val="20"/>
              </w:rPr>
              <w:t xml:space="preserve"> </w:t>
            </w:r>
            <w:r>
              <w:rPr>
                <w:rFonts w:ascii="Trebuchet MS"/>
                <w:b/>
                <w:color w:val="00AF50"/>
                <w:w w:val="90"/>
                <w:sz w:val="20"/>
              </w:rPr>
              <w:t>+STC1.A</w:t>
            </w:r>
          </w:p>
          <w:p w:rsidR="00BB11D1" w:rsidRDefault="00BB11D1" w:rsidP="00451448">
            <w:pPr>
              <w:pStyle w:val="TableParagraph"/>
              <w:spacing w:before="12"/>
              <w:ind w:right="391"/>
              <w:jc w:val="right"/>
              <w:rPr>
                <w:rFonts w:ascii="Trebuchet MS"/>
                <w:b/>
                <w:sz w:val="20"/>
              </w:rPr>
            </w:pPr>
            <w:r>
              <w:rPr>
                <w:w w:val="95"/>
                <w:sz w:val="20"/>
              </w:rPr>
              <w:t>1</w:t>
            </w:r>
            <w:r>
              <w:rPr>
                <w:spacing w:val="4"/>
                <w:w w:val="95"/>
                <w:sz w:val="20"/>
              </w:rPr>
              <w:t xml:space="preserve"> </w:t>
            </w:r>
            <w:r>
              <w:rPr>
                <w:rFonts w:ascii="Trebuchet MS"/>
                <w:b/>
                <w:color w:val="00AF50"/>
                <w:w w:val="95"/>
                <w:sz w:val="20"/>
              </w:rPr>
              <w:t>-STC1.A</w:t>
            </w:r>
          </w:p>
          <w:p w:rsidR="00BB11D1" w:rsidRDefault="00BB11D1" w:rsidP="00451448">
            <w:pPr>
              <w:pStyle w:val="TableParagraph"/>
              <w:spacing w:before="13"/>
              <w:ind w:right="242"/>
              <w:jc w:val="center"/>
              <w:rPr>
                <w:sz w:val="20"/>
              </w:rPr>
            </w:pPr>
            <w:r>
              <w:rPr>
                <w:w w:val="90"/>
                <w:sz w:val="20"/>
              </w:rPr>
              <w:t>4</w:t>
            </w:r>
          </w:p>
          <w:p w:rsidR="00BB11D1" w:rsidRDefault="00BB11D1" w:rsidP="00451448">
            <w:pPr>
              <w:pStyle w:val="TableParagraph"/>
              <w:spacing w:before="12"/>
              <w:ind w:right="232"/>
              <w:jc w:val="center"/>
              <w:rPr>
                <w:sz w:val="20"/>
              </w:rPr>
            </w:pPr>
            <w:r>
              <w:rPr>
                <w:w w:val="90"/>
                <w:sz w:val="20"/>
              </w:rPr>
              <w:t>7</w:t>
            </w:r>
          </w:p>
          <w:p w:rsidR="00BB11D1" w:rsidRDefault="00BB11D1" w:rsidP="00451448">
            <w:pPr>
              <w:pStyle w:val="TableParagraph"/>
              <w:spacing w:before="15"/>
              <w:ind w:right="203"/>
              <w:jc w:val="center"/>
              <w:rPr>
                <w:sz w:val="20"/>
              </w:rPr>
            </w:pPr>
            <w:r>
              <w:rPr>
                <w:w w:val="90"/>
                <w:sz w:val="20"/>
              </w:rPr>
              <w:t>8</w:t>
            </w:r>
          </w:p>
        </w:tc>
        <w:tc>
          <w:tcPr>
            <w:tcW w:w="1664"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511" w:lineRule="auto"/>
              <w:ind w:left="146"/>
              <w:rPr>
                <w:sz w:val="20"/>
              </w:rPr>
            </w:pPr>
            <w:r>
              <w:rPr>
                <w:w w:val="90"/>
                <w:sz w:val="20"/>
              </w:rPr>
              <w:t xml:space="preserve">Household Equity </w:t>
            </w:r>
            <w:r>
              <w:rPr>
                <w:sz w:val="20"/>
              </w:rPr>
              <w:t>Bank loans</w:t>
            </w:r>
          </w:p>
        </w:tc>
        <w:tc>
          <w:tcPr>
            <w:tcW w:w="3184" w:type="dxa"/>
            <w:tcBorders>
              <w:left w:val="nil"/>
              <w:bottom w:val="single" w:sz="24" w:space="0" w:color="000000"/>
            </w:tcBorders>
            <w:shd w:val="clear" w:color="auto" w:fill="B8CCE4" w:themeFill="accent1" w:themeFillTint="66"/>
          </w:tcPr>
          <w:p w:rsidR="00BB11D1" w:rsidRDefault="00BB11D1" w:rsidP="00451448">
            <w:pPr>
              <w:pStyle w:val="TableParagraph"/>
              <w:spacing w:before="4"/>
              <w:ind w:left="787" w:right="397"/>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spacing w:before="1"/>
              <w:ind w:left="448"/>
              <w:jc w:val="center"/>
              <w:rPr>
                <w:sz w:val="20"/>
              </w:rPr>
            </w:pPr>
            <w:r>
              <w:rPr>
                <w:w w:val="90"/>
                <w:sz w:val="20"/>
              </w:rPr>
              <w:t>5</w:t>
            </w:r>
          </w:p>
        </w:tc>
      </w:tr>
      <w:tr w:rsidR="00BB11D1" w:rsidTr="00BB11D1">
        <w:trPr>
          <w:trHeight w:val="244"/>
        </w:trPr>
        <w:tc>
          <w:tcPr>
            <w:tcW w:w="9462" w:type="dxa"/>
            <w:gridSpan w:val="4"/>
            <w:tcBorders>
              <w:top w:val="single" w:sz="24" w:space="0" w:color="000000"/>
            </w:tcBorders>
            <w:shd w:val="clear" w:color="auto" w:fill="B8CCE4" w:themeFill="accent1" w:themeFillTint="66"/>
          </w:tcPr>
          <w:p w:rsidR="00BB11D1" w:rsidRDefault="00BB11D1" w:rsidP="00451448">
            <w:pPr>
              <w:pStyle w:val="TableParagraph"/>
              <w:spacing w:before="4" w:line="220" w:lineRule="exact"/>
              <w:ind w:left="1526" w:right="1465"/>
              <w:jc w:val="center"/>
              <w:rPr>
                <w:rFonts w:ascii="Trebuchet MS"/>
                <w:b/>
                <w:sz w:val="20"/>
              </w:rPr>
            </w:pPr>
            <w:r>
              <w:rPr>
                <w:rFonts w:ascii="Trebuchet MS"/>
                <w:b/>
                <w:sz w:val="20"/>
              </w:rPr>
              <w:t>A - Commercial Banks</w:t>
            </w:r>
          </w:p>
        </w:tc>
      </w:tr>
      <w:tr w:rsidR="00BB11D1" w:rsidTr="00BB11D1">
        <w:trPr>
          <w:trHeight w:val="263"/>
        </w:trPr>
        <w:tc>
          <w:tcPr>
            <w:tcW w:w="4614" w:type="dxa"/>
            <w:gridSpan w:val="2"/>
            <w:tcBorders>
              <w:bottom w:val="nil"/>
            </w:tcBorders>
            <w:shd w:val="clear" w:color="auto" w:fill="B8CCE4" w:themeFill="accent1" w:themeFillTint="66"/>
          </w:tcPr>
          <w:p w:rsidR="00BB11D1" w:rsidRDefault="00BB11D1" w:rsidP="00451448">
            <w:pPr>
              <w:pStyle w:val="TableParagraph"/>
              <w:tabs>
                <w:tab w:val="right" w:pos="3341"/>
              </w:tabs>
              <w:spacing w:before="4"/>
              <w:ind w:left="133"/>
              <w:rPr>
                <w:sz w:val="20"/>
              </w:rPr>
            </w:pPr>
            <w:r>
              <w:rPr>
                <w:sz w:val="20"/>
              </w:rPr>
              <w:t>Loans</w:t>
            </w:r>
            <w:r>
              <w:rPr>
                <w:spacing w:val="-14"/>
                <w:sz w:val="20"/>
              </w:rPr>
              <w:t xml:space="preserve"> </w:t>
            </w:r>
            <w:r>
              <w:rPr>
                <w:sz w:val="20"/>
              </w:rPr>
              <w:t>to</w:t>
            </w:r>
            <w:r>
              <w:rPr>
                <w:spacing w:val="-14"/>
                <w:sz w:val="20"/>
              </w:rPr>
              <w:t xml:space="preserve"> </w:t>
            </w:r>
            <w:r>
              <w:rPr>
                <w:sz w:val="20"/>
              </w:rPr>
              <w:t>corporates</w:t>
            </w:r>
            <w:r>
              <w:rPr>
                <w:sz w:val="20"/>
              </w:rPr>
              <w:tab/>
              <w:t>8</w:t>
            </w:r>
          </w:p>
        </w:tc>
        <w:tc>
          <w:tcPr>
            <w:tcW w:w="4848" w:type="dxa"/>
            <w:gridSpan w:val="2"/>
            <w:tcBorders>
              <w:bottom w:val="nil"/>
            </w:tcBorders>
            <w:shd w:val="clear" w:color="auto" w:fill="B8CCE4" w:themeFill="accent1" w:themeFillTint="66"/>
          </w:tcPr>
          <w:p w:rsidR="00BB11D1" w:rsidRDefault="00BB11D1" w:rsidP="00451448">
            <w:pPr>
              <w:pStyle w:val="TableParagraph"/>
              <w:tabs>
                <w:tab w:val="left" w:pos="2430"/>
              </w:tabs>
              <w:spacing w:before="4"/>
              <w:ind w:left="119"/>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hAnsi="Trebuchet MS"/>
                <w:b/>
                <w:color w:val="FF0000"/>
                <w:sz w:val="20"/>
              </w:rPr>
              <w:t>–STC2.A</w:t>
            </w:r>
          </w:p>
        </w:tc>
      </w:tr>
      <w:tr w:rsidR="00BB11D1" w:rsidTr="00BB11D1">
        <w:trPr>
          <w:trHeight w:val="243"/>
        </w:trPr>
        <w:tc>
          <w:tcPr>
            <w:tcW w:w="4614" w:type="dxa"/>
            <w:gridSpan w:val="2"/>
            <w:tcBorders>
              <w:top w:val="nil"/>
              <w:bottom w:val="nil"/>
            </w:tcBorders>
            <w:shd w:val="clear" w:color="auto" w:fill="B8CCE4" w:themeFill="accent1" w:themeFillTint="66"/>
          </w:tcPr>
          <w:p w:rsidR="00BB11D1" w:rsidRDefault="00BB11D1" w:rsidP="00451448">
            <w:pPr>
              <w:pStyle w:val="TableParagraph"/>
              <w:tabs>
                <w:tab w:val="right" w:pos="3320"/>
              </w:tabs>
              <w:spacing w:line="213" w:lineRule="exact"/>
              <w:ind w:left="133"/>
              <w:rPr>
                <w:sz w:val="20"/>
              </w:rPr>
            </w:pPr>
            <w:r>
              <w:rPr>
                <w:sz w:val="20"/>
              </w:rPr>
              <w:t>Loans</w:t>
            </w:r>
            <w:r>
              <w:rPr>
                <w:spacing w:val="-14"/>
                <w:sz w:val="20"/>
              </w:rPr>
              <w:t xml:space="preserve"> </w:t>
            </w:r>
            <w:r>
              <w:rPr>
                <w:sz w:val="20"/>
              </w:rPr>
              <w:t>to</w:t>
            </w:r>
            <w:r>
              <w:rPr>
                <w:spacing w:val="-15"/>
                <w:sz w:val="20"/>
              </w:rPr>
              <w:t xml:space="preserve"> </w:t>
            </w:r>
            <w:r>
              <w:rPr>
                <w:sz w:val="20"/>
              </w:rPr>
              <w:t>government</w:t>
            </w:r>
            <w:r>
              <w:rPr>
                <w:sz w:val="20"/>
              </w:rPr>
              <w:tab/>
              <w:t>2</w:t>
            </w:r>
          </w:p>
        </w:tc>
        <w:tc>
          <w:tcPr>
            <w:tcW w:w="4848" w:type="dxa"/>
            <w:gridSpan w:val="2"/>
            <w:tcBorders>
              <w:top w:val="nil"/>
              <w:bottom w:val="nil"/>
            </w:tcBorders>
            <w:shd w:val="clear" w:color="auto" w:fill="B8CCE4" w:themeFill="accent1" w:themeFillTint="66"/>
          </w:tcPr>
          <w:p w:rsidR="00BB11D1" w:rsidRDefault="00BB11D1" w:rsidP="00451448">
            <w:pPr>
              <w:pStyle w:val="TableParagraph"/>
              <w:spacing w:line="215" w:lineRule="exact"/>
              <w:ind w:left="119"/>
              <w:rPr>
                <w:sz w:val="20"/>
              </w:rPr>
            </w:pPr>
            <w:r>
              <w:rPr>
                <w:w w:val="90"/>
                <w:sz w:val="20"/>
              </w:rPr>
              <w:t xml:space="preserve">STC Vehicle’s Deposits </w:t>
            </w:r>
            <w:r>
              <w:rPr>
                <w:b/>
                <w:w w:val="90"/>
                <w:sz w:val="20"/>
              </w:rPr>
              <w:t>α</w:t>
            </w:r>
            <w:r>
              <w:rPr>
                <w:rFonts w:ascii="Trebuchet MS" w:hAnsi="Trebuchet MS"/>
                <w:b/>
                <w:w w:val="90"/>
                <w:sz w:val="20"/>
              </w:rPr>
              <w:t>(</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20"/>
              </w:rPr>
              <w:t>)</w:t>
            </w:r>
          </w:p>
        </w:tc>
      </w:tr>
      <w:tr w:rsidR="00BB11D1" w:rsidTr="00BB11D1">
        <w:trPr>
          <w:trHeight w:val="244"/>
        </w:trPr>
        <w:tc>
          <w:tcPr>
            <w:tcW w:w="4614" w:type="dxa"/>
            <w:gridSpan w:val="2"/>
            <w:tcBorders>
              <w:top w:val="nil"/>
              <w:bottom w:val="nil"/>
            </w:tcBorders>
            <w:shd w:val="clear" w:color="auto" w:fill="B8CCE4" w:themeFill="accent1" w:themeFillTint="66"/>
          </w:tcPr>
          <w:p w:rsidR="00BB11D1" w:rsidRDefault="00BB11D1" w:rsidP="00451448">
            <w:pPr>
              <w:pStyle w:val="TableParagraph"/>
              <w:tabs>
                <w:tab w:val="right" w:pos="3344"/>
              </w:tabs>
              <w:spacing w:line="215" w:lineRule="exact"/>
              <w:ind w:left="133"/>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tc>
        <w:tc>
          <w:tcPr>
            <w:tcW w:w="4848" w:type="dxa"/>
            <w:gridSpan w:val="2"/>
            <w:tcBorders>
              <w:top w:val="nil"/>
              <w:bottom w:val="nil"/>
            </w:tcBorders>
            <w:shd w:val="clear" w:color="auto" w:fill="B8CCE4" w:themeFill="accent1" w:themeFillTint="66"/>
          </w:tcPr>
          <w:p w:rsidR="00BB11D1" w:rsidRDefault="00BB11D1" w:rsidP="00451448">
            <w:pPr>
              <w:pStyle w:val="TableParagraph"/>
              <w:tabs>
                <w:tab w:val="left" w:pos="2378"/>
              </w:tabs>
              <w:spacing w:line="215" w:lineRule="exact"/>
              <w:ind w:left="119"/>
              <w:rPr>
                <w:sz w:val="20"/>
              </w:rPr>
            </w:pPr>
            <w:r>
              <w:rPr>
                <w:w w:val="95"/>
                <w:sz w:val="20"/>
              </w:rPr>
              <w:t>Savings</w:t>
            </w:r>
            <w:r>
              <w:rPr>
                <w:spacing w:val="-27"/>
                <w:w w:val="95"/>
                <w:sz w:val="20"/>
              </w:rPr>
              <w:t xml:space="preserve"> </w:t>
            </w:r>
            <w:r>
              <w:rPr>
                <w:w w:val="95"/>
                <w:sz w:val="20"/>
              </w:rPr>
              <w:t>+</w:t>
            </w:r>
            <w:r>
              <w:rPr>
                <w:spacing w:val="-27"/>
                <w:w w:val="95"/>
                <w:sz w:val="20"/>
              </w:rPr>
              <w:t xml:space="preserve"> </w:t>
            </w:r>
            <w:r>
              <w:rPr>
                <w:w w:val="95"/>
                <w:sz w:val="20"/>
              </w:rPr>
              <w:t>time</w:t>
            </w:r>
            <w:r>
              <w:rPr>
                <w:spacing w:val="-27"/>
                <w:w w:val="95"/>
                <w:sz w:val="20"/>
              </w:rPr>
              <w:t xml:space="preserve"> </w:t>
            </w:r>
            <w:r>
              <w:rPr>
                <w:w w:val="95"/>
                <w:sz w:val="20"/>
              </w:rPr>
              <w:t>deposits</w:t>
            </w:r>
            <w:r>
              <w:rPr>
                <w:w w:val="95"/>
                <w:sz w:val="20"/>
              </w:rPr>
              <w:tab/>
            </w:r>
            <w:r>
              <w:rPr>
                <w:sz w:val="20"/>
              </w:rPr>
              <w:t>5</w:t>
            </w:r>
          </w:p>
        </w:tc>
      </w:tr>
      <w:tr w:rsidR="00BB11D1" w:rsidTr="00BB11D1">
        <w:trPr>
          <w:trHeight w:val="243"/>
        </w:trPr>
        <w:tc>
          <w:tcPr>
            <w:tcW w:w="4614" w:type="dxa"/>
            <w:gridSpan w:val="2"/>
            <w:tcBorders>
              <w:top w:val="nil"/>
              <w:bottom w:val="nil"/>
            </w:tcBorders>
            <w:shd w:val="clear" w:color="auto" w:fill="B8CCE4" w:themeFill="accent1" w:themeFillTint="66"/>
          </w:tcPr>
          <w:p w:rsidR="00BB11D1" w:rsidRDefault="00BB11D1" w:rsidP="00451448">
            <w:pPr>
              <w:pStyle w:val="TableParagraph"/>
              <w:spacing w:line="217" w:lineRule="exact"/>
              <w:ind w:left="133"/>
              <w:rPr>
                <w:sz w:val="20"/>
              </w:rPr>
            </w:pPr>
            <w:r>
              <w:rPr>
                <w:w w:val="90"/>
                <w:sz w:val="20"/>
              </w:rPr>
              <w:t>Corp/gvt bonds 5</w:t>
            </w:r>
            <w:r>
              <w:rPr>
                <w:rFonts w:ascii="Trebuchet MS" w:hAnsi="Trebuchet MS"/>
                <w:b/>
                <w:w w:val="90"/>
                <w:sz w:val="20"/>
              </w:rPr>
              <w:t>–(1-</w:t>
            </w:r>
            <w:r>
              <w:rPr>
                <w:b/>
                <w:w w:val="90"/>
                <w:sz w:val="20"/>
              </w:rPr>
              <w:t>α</w:t>
            </w:r>
            <w:r>
              <w:rPr>
                <w:w w:val="90"/>
                <w:sz w:val="20"/>
              </w:rPr>
              <w:t>)(</w:t>
            </w:r>
            <w:r>
              <w:rPr>
                <w:rFonts w:ascii="Trebuchet MS" w:hAnsi="Trebuchet MS"/>
                <w:b/>
                <w:color w:val="00AF50"/>
                <w:w w:val="90"/>
                <w:sz w:val="18"/>
              </w:rPr>
              <w:t xml:space="preserve">STC1.A+STC1.B </w:t>
            </w:r>
            <w:r>
              <w:rPr>
                <w:rFonts w:ascii="Trebuchet MS" w:hAnsi="Trebuchet MS"/>
                <w:b/>
                <w:color w:val="FF0000"/>
                <w:w w:val="90"/>
                <w:sz w:val="18"/>
              </w:rPr>
              <w:t>+STC2+STC2.B</w:t>
            </w:r>
            <w:r>
              <w:rPr>
                <w:w w:val="90"/>
                <w:sz w:val="20"/>
              </w:rPr>
              <w:t>)</w:t>
            </w:r>
          </w:p>
        </w:tc>
        <w:tc>
          <w:tcPr>
            <w:tcW w:w="4848" w:type="dxa"/>
            <w:gridSpan w:val="2"/>
            <w:tcBorders>
              <w:top w:val="nil"/>
              <w:bottom w:val="nil"/>
            </w:tcBorders>
            <w:shd w:val="clear" w:color="auto" w:fill="B8CCE4" w:themeFill="accent1" w:themeFillTint="66"/>
          </w:tcPr>
          <w:p w:rsidR="00BB11D1" w:rsidRDefault="00BB11D1" w:rsidP="00451448">
            <w:pPr>
              <w:pStyle w:val="TableParagraph"/>
              <w:tabs>
                <w:tab w:val="right" w:pos="2459"/>
              </w:tabs>
              <w:spacing w:line="215" w:lineRule="exact"/>
              <w:ind w:left="119"/>
              <w:rPr>
                <w:sz w:val="20"/>
              </w:rPr>
            </w:pPr>
            <w:r>
              <w:rPr>
                <w:sz w:val="20"/>
              </w:rPr>
              <w:t>Bonds</w:t>
            </w:r>
            <w:r>
              <w:rPr>
                <w:spacing w:val="-15"/>
                <w:sz w:val="20"/>
              </w:rPr>
              <w:t xml:space="preserve"> </w:t>
            </w:r>
            <w:r>
              <w:rPr>
                <w:sz w:val="20"/>
              </w:rPr>
              <w:t>issued</w:t>
            </w:r>
            <w:r>
              <w:rPr>
                <w:sz w:val="20"/>
              </w:rPr>
              <w:tab/>
              <w:t>4</w:t>
            </w:r>
          </w:p>
        </w:tc>
      </w:tr>
      <w:tr w:rsidR="00BB11D1" w:rsidTr="00BB11D1">
        <w:trPr>
          <w:trHeight w:val="243"/>
        </w:trPr>
        <w:tc>
          <w:tcPr>
            <w:tcW w:w="4614" w:type="dxa"/>
            <w:gridSpan w:val="2"/>
            <w:tcBorders>
              <w:top w:val="nil"/>
              <w:bottom w:val="nil"/>
            </w:tcBorders>
            <w:shd w:val="clear" w:color="auto" w:fill="B8CCE4" w:themeFill="accent1" w:themeFillTint="66"/>
          </w:tcPr>
          <w:p w:rsidR="00BB11D1" w:rsidRDefault="00BB11D1" w:rsidP="00451448">
            <w:pPr>
              <w:pStyle w:val="TableParagraph"/>
              <w:tabs>
                <w:tab w:val="left" w:pos="3255"/>
              </w:tabs>
              <w:spacing w:line="213" w:lineRule="exact"/>
              <w:ind w:left="133"/>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tc>
        <w:tc>
          <w:tcPr>
            <w:tcW w:w="4848" w:type="dxa"/>
            <w:gridSpan w:val="2"/>
            <w:tcBorders>
              <w:top w:val="nil"/>
              <w:bottom w:val="nil"/>
            </w:tcBorders>
            <w:shd w:val="clear" w:color="auto" w:fill="B8CCE4" w:themeFill="accent1" w:themeFillTint="66"/>
          </w:tcPr>
          <w:p w:rsidR="00BB11D1" w:rsidRDefault="00BB11D1" w:rsidP="00451448">
            <w:pPr>
              <w:pStyle w:val="TableParagraph"/>
              <w:tabs>
                <w:tab w:val="right" w:pos="2453"/>
              </w:tabs>
              <w:spacing w:line="213" w:lineRule="exact"/>
              <w:ind w:left="119"/>
              <w:rPr>
                <w:sz w:val="20"/>
              </w:rPr>
            </w:pPr>
            <w:r>
              <w:rPr>
                <w:sz w:val="20"/>
              </w:rPr>
              <w:t>Equity</w:t>
            </w:r>
            <w:r>
              <w:rPr>
                <w:sz w:val="20"/>
              </w:rPr>
              <w:tab/>
              <w:t>3</w:t>
            </w:r>
          </w:p>
        </w:tc>
      </w:tr>
      <w:tr w:rsidR="00BB11D1" w:rsidTr="00BB11D1">
        <w:trPr>
          <w:trHeight w:val="224"/>
        </w:trPr>
        <w:tc>
          <w:tcPr>
            <w:tcW w:w="4614" w:type="dxa"/>
            <w:gridSpan w:val="2"/>
            <w:tcBorders>
              <w:top w:val="nil"/>
            </w:tcBorders>
            <w:shd w:val="clear" w:color="auto" w:fill="B8CCE4" w:themeFill="accent1" w:themeFillTint="66"/>
          </w:tcPr>
          <w:p w:rsidR="00BB11D1" w:rsidRDefault="00BB11D1" w:rsidP="00451448">
            <w:pPr>
              <w:pStyle w:val="TableParagraph"/>
              <w:tabs>
                <w:tab w:val="left" w:pos="2708"/>
              </w:tabs>
              <w:spacing w:line="205" w:lineRule="exact"/>
              <w:ind w:left="133"/>
              <w:rPr>
                <w:rFonts w:ascii="Trebuchet MS"/>
                <w:b/>
                <w:sz w:val="20"/>
              </w:rPr>
            </w:pPr>
            <w:r>
              <w:rPr>
                <w:rFonts w:ascii="Trebuchet MS"/>
                <w:b/>
                <w:w w:val="95"/>
                <w:sz w:val="20"/>
              </w:rPr>
              <w:t>Claims</w:t>
            </w:r>
            <w:r>
              <w:rPr>
                <w:rFonts w:ascii="Trebuchet MS"/>
                <w:b/>
                <w:spacing w:val="-29"/>
                <w:w w:val="95"/>
                <w:sz w:val="20"/>
              </w:rPr>
              <w:t xml:space="preserve"> </w:t>
            </w:r>
            <w:r>
              <w:rPr>
                <w:rFonts w:ascii="Trebuchet MS"/>
                <w:b/>
                <w:w w:val="95"/>
                <w:sz w:val="20"/>
              </w:rPr>
              <w:t>to</w:t>
            </w:r>
            <w:r>
              <w:rPr>
                <w:rFonts w:ascii="Trebuchet MS"/>
                <w:b/>
                <w:spacing w:val="-28"/>
                <w:w w:val="95"/>
                <w:sz w:val="20"/>
              </w:rPr>
              <w:t xml:space="preserve"> </w:t>
            </w:r>
            <w:r>
              <w:rPr>
                <w:rFonts w:ascii="Trebuchet MS"/>
                <w:b/>
                <w:w w:val="95"/>
                <w:sz w:val="20"/>
              </w:rPr>
              <w:t>banks</w:t>
            </w:r>
            <w:r>
              <w:rPr>
                <w:rFonts w:ascii="Trebuchet MS"/>
                <w:b/>
                <w:spacing w:val="-28"/>
                <w:w w:val="95"/>
                <w:sz w:val="20"/>
              </w:rPr>
              <w:t xml:space="preserve"> </w:t>
            </w:r>
            <w:r>
              <w:rPr>
                <w:rFonts w:ascii="Trebuchet MS"/>
                <w:b/>
                <w:w w:val="95"/>
                <w:sz w:val="20"/>
              </w:rPr>
              <w:t>in</w:t>
            </w:r>
            <w:r>
              <w:rPr>
                <w:rFonts w:ascii="Trebuchet MS"/>
                <w:b/>
                <w:spacing w:val="-27"/>
                <w:w w:val="95"/>
                <w:sz w:val="20"/>
              </w:rPr>
              <w:t xml:space="preserve"> </w:t>
            </w:r>
            <w:r>
              <w:rPr>
                <w:rFonts w:ascii="Trebuchet MS"/>
                <w:b/>
                <w:w w:val="95"/>
                <w:sz w:val="20"/>
              </w:rPr>
              <w:t>country</w:t>
            </w:r>
            <w:r>
              <w:rPr>
                <w:rFonts w:ascii="Trebuchet MS"/>
                <w:b/>
                <w:spacing w:val="-29"/>
                <w:w w:val="95"/>
                <w:sz w:val="20"/>
              </w:rPr>
              <w:t xml:space="preserve"> </w:t>
            </w:r>
            <w:r>
              <w:rPr>
                <w:rFonts w:ascii="Trebuchet MS"/>
                <w:b/>
                <w:w w:val="95"/>
                <w:sz w:val="20"/>
              </w:rPr>
              <w:t>B</w:t>
            </w:r>
            <w:r>
              <w:rPr>
                <w:rFonts w:ascii="Trebuchet MS"/>
                <w:b/>
                <w:w w:val="95"/>
                <w:sz w:val="20"/>
              </w:rPr>
              <w:tab/>
            </w:r>
            <w:r>
              <w:rPr>
                <w:rFonts w:ascii="Trebuchet MS"/>
                <w:b/>
                <w:color w:val="00AF50"/>
                <w:sz w:val="20"/>
              </w:rPr>
              <w:t>STC1.B</w:t>
            </w:r>
            <w:r>
              <w:rPr>
                <w:rFonts w:ascii="Trebuchet MS"/>
                <w:b/>
                <w:color w:val="00AF50"/>
                <w:spacing w:val="-28"/>
                <w:sz w:val="20"/>
              </w:rPr>
              <w:t xml:space="preserve"> </w:t>
            </w:r>
            <w:r>
              <w:rPr>
                <w:rFonts w:ascii="Trebuchet MS"/>
                <w:b/>
                <w:color w:val="FF0000"/>
                <w:sz w:val="20"/>
              </w:rPr>
              <w:t>+STC2.B</w:t>
            </w:r>
          </w:p>
        </w:tc>
        <w:tc>
          <w:tcPr>
            <w:tcW w:w="4848" w:type="dxa"/>
            <w:gridSpan w:val="2"/>
            <w:tcBorders>
              <w:top w:val="nil"/>
            </w:tcBorders>
            <w:shd w:val="clear" w:color="auto" w:fill="B8CCE4" w:themeFill="accent1" w:themeFillTint="66"/>
          </w:tcPr>
          <w:p w:rsidR="00BB11D1" w:rsidRDefault="00BB11D1" w:rsidP="00451448">
            <w:pPr>
              <w:pStyle w:val="TableParagraph"/>
              <w:tabs>
                <w:tab w:val="left" w:pos="2349"/>
              </w:tabs>
              <w:spacing w:line="205" w:lineRule="exact"/>
              <w:ind w:left="119"/>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14"/>
                <w:sz w:val="20"/>
              </w:rPr>
              <w:t xml:space="preserve"> </w:t>
            </w:r>
            <w:r>
              <w:rPr>
                <w:rFonts w:ascii="Trebuchet MS"/>
                <w:b/>
                <w:color w:val="00AF50"/>
                <w:sz w:val="20"/>
              </w:rPr>
              <w:t>-STC1.A</w:t>
            </w:r>
          </w:p>
        </w:tc>
      </w:tr>
      <w:tr w:rsidR="00BB11D1" w:rsidTr="00BB11D1">
        <w:trPr>
          <w:trHeight w:val="244"/>
        </w:trPr>
        <w:tc>
          <w:tcPr>
            <w:tcW w:w="9462" w:type="dxa"/>
            <w:gridSpan w:val="4"/>
            <w:shd w:val="clear" w:color="auto" w:fill="B8CCE4" w:themeFill="accent1" w:themeFillTint="66"/>
          </w:tcPr>
          <w:p w:rsidR="00BB11D1" w:rsidRDefault="00BB11D1" w:rsidP="00451448">
            <w:pPr>
              <w:pStyle w:val="TableParagraph"/>
              <w:spacing w:before="4" w:line="220" w:lineRule="exact"/>
              <w:ind w:left="1526" w:right="1468"/>
              <w:jc w:val="center"/>
              <w:rPr>
                <w:rFonts w:ascii="Trebuchet MS"/>
                <w:b/>
                <w:sz w:val="20"/>
              </w:rPr>
            </w:pPr>
            <w:r>
              <w:rPr>
                <w:rFonts w:ascii="Trebuchet MS"/>
                <w:b/>
                <w:sz w:val="20"/>
              </w:rPr>
              <w:t>A - Central Bank</w:t>
            </w:r>
          </w:p>
        </w:tc>
      </w:tr>
      <w:tr w:rsidR="00BB11D1" w:rsidTr="00BB11D1">
        <w:trPr>
          <w:trHeight w:val="244"/>
        </w:trPr>
        <w:tc>
          <w:tcPr>
            <w:tcW w:w="2426"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220" w:lineRule="exact"/>
              <w:ind w:left="133"/>
              <w:rPr>
                <w:sz w:val="20"/>
              </w:rPr>
            </w:pPr>
            <w:r>
              <w:rPr>
                <w:sz w:val="20"/>
              </w:rPr>
              <w:t>Credit to banks</w:t>
            </w:r>
          </w:p>
        </w:tc>
        <w:tc>
          <w:tcPr>
            <w:tcW w:w="2188" w:type="dxa"/>
            <w:tcBorders>
              <w:left w:val="nil"/>
              <w:bottom w:val="single" w:sz="24" w:space="0" w:color="000000"/>
            </w:tcBorders>
            <w:shd w:val="clear" w:color="auto" w:fill="B8CCE4" w:themeFill="accent1" w:themeFillTint="66"/>
          </w:tcPr>
          <w:p w:rsidR="00BB11D1" w:rsidRDefault="00BB11D1" w:rsidP="00451448">
            <w:pPr>
              <w:pStyle w:val="TableParagraph"/>
              <w:spacing w:before="4" w:line="221" w:lineRule="exact"/>
              <w:ind w:left="618"/>
              <w:rPr>
                <w:rFonts w:ascii="Trebuchet MS" w:hAnsi="Trebuchet MS"/>
                <w:b/>
                <w:sz w:val="20"/>
              </w:rPr>
            </w:pPr>
            <w:r>
              <w:rPr>
                <w:rFonts w:ascii="Trebuchet MS" w:hAnsi="Trebuchet MS"/>
                <w:b/>
                <w:sz w:val="20"/>
              </w:rPr>
              <w:t xml:space="preserve">1 </w:t>
            </w:r>
            <w:r>
              <w:rPr>
                <w:rFonts w:ascii="Trebuchet MS" w:hAnsi="Trebuchet MS"/>
                <w:b/>
                <w:color w:val="00AF50"/>
                <w:sz w:val="20"/>
              </w:rPr>
              <w:t>–STC1.A</w:t>
            </w:r>
          </w:p>
        </w:tc>
        <w:tc>
          <w:tcPr>
            <w:tcW w:w="1664"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220" w:lineRule="exact"/>
              <w:ind w:left="119"/>
              <w:rPr>
                <w:sz w:val="20"/>
              </w:rPr>
            </w:pPr>
            <w:r>
              <w:rPr>
                <w:w w:val="95"/>
                <w:sz w:val="20"/>
              </w:rPr>
              <w:t>Banknotes issued</w:t>
            </w:r>
          </w:p>
        </w:tc>
        <w:tc>
          <w:tcPr>
            <w:tcW w:w="3184" w:type="dxa"/>
            <w:tcBorders>
              <w:left w:val="nil"/>
              <w:bottom w:val="single" w:sz="24" w:space="0" w:color="000000"/>
            </w:tcBorders>
            <w:shd w:val="clear" w:color="auto" w:fill="B8CCE4" w:themeFill="accent1" w:themeFillTint="66"/>
          </w:tcPr>
          <w:p w:rsidR="00BB11D1" w:rsidRDefault="00BB11D1" w:rsidP="00451448">
            <w:pPr>
              <w:pStyle w:val="TableParagraph"/>
              <w:spacing w:before="4" w:line="221" w:lineRule="exact"/>
              <w:ind w:left="603" w:right="1263"/>
              <w:jc w:val="center"/>
              <w:rPr>
                <w:rFonts w:ascii="Trebuchet MS"/>
                <w:b/>
                <w:sz w:val="20"/>
              </w:rPr>
            </w:pPr>
            <w:r>
              <w:rPr>
                <w:sz w:val="20"/>
              </w:rPr>
              <w:t xml:space="preserve">1 </w:t>
            </w:r>
            <w:r>
              <w:rPr>
                <w:rFonts w:ascii="Trebuchet MS"/>
                <w:b/>
                <w:color w:val="00AF50"/>
                <w:sz w:val="20"/>
              </w:rPr>
              <w:t>-STC1.A</w:t>
            </w:r>
          </w:p>
        </w:tc>
      </w:tr>
      <w:tr w:rsidR="00BB11D1" w:rsidTr="00451448">
        <w:trPr>
          <w:trHeight w:val="340"/>
        </w:trPr>
        <w:tc>
          <w:tcPr>
            <w:tcW w:w="9462" w:type="dxa"/>
            <w:gridSpan w:val="4"/>
            <w:tcBorders>
              <w:top w:val="single" w:sz="24" w:space="0" w:color="000000"/>
              <w:left w:val="single" w:sz="34" w:space="0" w:color="000000"/>
              <w:right w:val="single" w:sz="24" w:space="0" w:color="000000"/>
            </w:tcBorders>
            <w:shd w:val="clear" w:color="auto" w:fill="FFFF00"/>
          </w:tcPr>
          <w:p w:rsidR="00BB11D1" w:rsidRDefault="00BB11D1" w:rsidP="00451448">
            <w:pPr>
              <w:pStyle w:val="TableParagraph"/>
              <w:spacing w:before="4"/>
              <w:ind w:left="1578" w:right="1536"/>
              <w:jc w:val="center"/>
              <w:rPr>
                <w:rFonts w:ascii="Trebuchet MS" w:hAnsi="Trebuchet MS"/>
                <w:b/>
                <w:sz w:val="20"/>
              </w:rPr>
            </w:pPr>
            <w:r>
              <w:rPr>
                <w:rFonts w:ascii="Trebuchet MS" w:hAnsi="Trebuchet MS"/>
                <w:b/>
                <w:sz w:val="20"/>
              </w:rPr>
              <w:t xml:space="preserve">Global stable coin issuing vehicle </w:t>
            </w:r>
            <w:r>
              <w:rPr>
                <w:rFonts w:ascii="Trebuchet MS" w:hAnsi="Trebuchet MS"/>
                <w:b/>
                <w:w w:val="105"/>
                <w:sz w:val="20"/>
              </w:rPr>
              <w:t xml:space="preserve">– </w:t>
            </w:r>
            <w:r>
              <w:rPr>
                <w:rFonts w:ascii="Trebuchet MS" w:hAnsi="Trebuchet MS"/>
                <w:b/>
                <w:sz w:val="20"/>
              </w:rPr>
              <w:t>holding reserves only in A-Land</w:t>
            </w:r>
          </w:p>
        </w:tc>
      </w:tr>
      <w:tr w:rsidR="00BB11D1" w:rsidTr="00451448">
        <w:trPr>
          <w:trHeight w:val="441"/>
        </w:trPr>
        <w:tc>
          <w:tcPr>
            <w:tcW w:w="4614" w:type="dxa"/>
            <w:gridSpan w:val="2"/>
            <w:tcBorders>
              <w:left w:val="single" w:sz="34" w:space="0" w:color="000000"/>
              <w:bottom w:val="single" w:sz="24" w:space="0" w:color="000000"/>
            </w:tcBorders>
            <w:shd w:val="clear" w:color="auto" w:fill="FFFF00"/>
          </w:tcPr>
          <w:p w:rsidR="00BB11D1" w:rsidRDefault="00BB11D1" w:rsidP="00451448">
            <w:pPr>
              <w:pStyle w:val="TableParagraph"/>
              <w:spacing w:before="3"/>
              <w:ind w:left="95"/>
              <w:rPr>
                <w:sz w:val="18"/>
              </w:rPr>
            </w:pPr>
            <w:r>
              <w:rPr>
                <w:rFonts w:ascii="Trebuchet MS" w:hAnsi="Trebuchet MS"/>
                <w:b/>
                <w:w w:val="90"/>
                <w:sz w:val="18"/>
              </w:rPr>
              <w:t>Deposits</w:t>
            </w:r>
            <w:r>
              <w:rPr>
                <w:rFonts w:ascii="Trebuchet MS" w:hAnsi="Trebuchet MS"/>
                <w:b/>
                <w:spacing w:val="-25"/>
                <w:w w:val="90"/>
                <w:sz w:val="18"/>
              </w:rPr>
              <w:t xml:space="preserve"> </w:t>
            </w:r>
            <w:r>
              <w:rPr>
                <w:rFonts w:ascii="Trebuchet MS" w:hAnsi="Trebuchet MS"/>
                <w:b/>
                <w:w w:val="90"/>
                <w:sz w:val="18"/>
              </w:rPr>
              <w:t>with</w:t>
            </w:r>
            <w:r>
              <w:rPr>
                <w:rFonts w:ascii="Trebuchet MS" w:hAnsi="Trebuchet MS"/>
                <w:b/>
                <w:spacing w:val="-23"/>
                <w:w w:val="90"/>
                <w:sz w:val="18"/>
              </w:rPr>
              <w:t xml:space="preserve"> </w:t>
            </w:r>
            <w:r>
              <w:rPr>
                <w:rFonts w:ascii="Trebuchet MS" w:hAnsi="Trebuchet MS"/>
                <w:b/>
                <w:w w:val="90"/>
                <w:sz w:val="18"/>
              </w:rPr>
              <w:t>A-banks</w:t>
            </w:r>
            <w:r>
              <w:rPr>
                <w:rFonts w:ascii="Trebuchet MS" w:hAnsi="Trebuchet MS"/>
                <w:b/>
                <w:spacing w:val="25"/>
                <w:w w:val="90"/>
                <w:sz w:val="18"/>
              </w:rPr>
              <w:t xml:space="preserve"> </w:t>
            </w:r>
            <w:r>
              <w:rPr>
                <w:b/>
                <w:w w:val="90"/>
                <w:sz w:val="18"/>
              </w:rPr>
              <w:t>α(</w:t>
            </w:r>
            <w:r>
              <w:rPr>
                <w:rFonts w:ascii="Trebuchet MS" w:hAnsi="Trebuchet MS"/>
                <w:b/>
                <w:color w:val="00AF50"/>
                <w:w w:val="90"/>
                <w:sz w:val="18"/>
              </w:rPr>
              <w:t>STC1.A+STC1.B</w:t>
            </w:r>
            <w:r>
              <w:rPr>
                <w:rFonts w:ascii="Trebuchet MS" w:hAnsi="Trebuchet MS"/>
                <w:b/>
                <w:color w:val="00AF50"/>
                <w:spacing w:val="-23"/>
                <w:w w:val="90"/>
                <w:sz w:val="18"/>
              </w:rPr>
              <w:t xml:space="preserve"> </w:t>
            </w:r>
            <w:r>
              <w:rPr>
                <w:rFonts w:ascii="Trebuchet MS" w:hAnsi="Trebuchet MS"/>
                <w:b/>
                <w:color w:val="FF0000"/>
                <w:w w:val="90"/>
                <w:sz w:val="18"/>
              </w:rPr>
              <w:t>+STC2.A+STC2.B</w:t>
            </w:r>
            <w:r>
              <w:rPr>
                <w:w w:val="90"/>
                <w:sz w:val="18"/>
              </w:rPr>
              <w:t>)</w:t>
            </w:r>
          </w:p>
          <w:p w:rsidR="00BB11D1" w:rsidRDefault="00BB11D1" w:rsidP="00451448">
            <w:pPr>
              <w:pStyle w:val="TableParagraph"/>
              <w:spacing w:before="12" w:line="197" w:lineRule="exact"/>
              <w:ind w:left="95"/>
              <w:rPr>
                <w:sz w:val="18"/>
              </w:rPr>
            </w:pPr>
            <w:r>
              <w:rPr>
                <w:rFonts w:ascii="Trebuchet MS" w:hAnsi="Trebuchet MS"/>
                <w:b/>
                <w:w w:val="90"/>
                <w:sz w:val="18"/>
              </w:rPr>
              <w:t>Government</w:t>
            </w:r>
            <w:r>
              <w:rPr>
                <w:rFonts w:ascii="Trebuchet MS" w:hAnsi="Trebuchet MS"/>
                <w:b/>
                <w:spacing w:val="-31"/>
                <w:w w:val="90"/>
                <w:sz w:val="18"/>
              </w:rPr>
              <w:t xml:space="preserve"> </w:t>
            </w:r>
            <w:r>
              <w:rPr>
                <w:rFonts w:ascii="Trebuchet MS" w:hAnsi="Trebuchet MS"/>
                <w:b/>
                <w:w w:val="90"/>
                <w:sz w:val="18"/>
              </w:rPr>
              <w:t>bonds</w:t>
            </w:r>
            <w:r>
              <w:rPr>
                <w:rFonts w:ascii="Trebuchet MS" w:hAnsi="Trebuchet MS"/>
                <w:b/>
                <w:spacing w:val="8"/>
                <w:w w:val="90"/>
                <w:sz w:val="18"/>
              </w:rPr>
              <w:t xml:space="preserve"> </w:t>
            </w:r>
            <w:r>
              <w:rPr>
                <w:rFonts w:ascii="Trebuchet MS" w:hAnsi="Trebuchet MS"/>
                <w:b/>
                <w:w w:val="90"/>
                <w:sz w:val="18"/>
              </w:rPr>
              <w:t>(1-</w:t>
            </w:r>
            <w:r>
              <w:rPr>
                <w:b/>
                <w:w w:val="90"/>
                <w:sz w:val="18"/>
              </w:rPr>
              <w:t>α)</w:t>
            </w:r>
            <w:r>
              <w:rPr>
                <w:w w:val="90"/>
                <w:sz w:val="18"/>
              </w:rPr>
              <w:t>(</w:t>
            </w:r>
            <w:r>
              <w:rPr>
                <w:rFonts w:ascii="Trebuchet MS" w:hAnsi="Trebuchet MS"/>
                <w:b/>
                <w:color w:val="00AF50"/>
                <w:w w:val="90"/>
                <w:sz w:val="18"/>
              </w:rPr>
              <w:t>STC1.A+STC1.B</w:t>
            </w:r>
            <w:r>
              <w:rPr>
                <w:rFonts w:ascii="Trebuchet MS" w:hAnsi="Trebuchet MS"/>
                <w:b/>
                <w:color w:val="00AF50"/>
                <w:spacing w:val="-29"/>
                <w:w w:val="90"/>
                <w:sz w:val="18"/>
              </w:rPr>
              <w:t xml:space="preserve"> </w:t>
            </w:r>
            <w:r>
              <w:rPr>
                <w:rFonts w:ascii="Trebuchet MS" w:hAnsi="Trebuchet MS"/>
                <w:b/>
                <w:color w:val="FF0000"/>
                <w:w w:val="90"/>
                <w:sz w:val="18"/>
              </w:rPr>
              <w:t>+STC2.A+STC2.B</w:t>
            </w:r>
            <w:r>
              <w:rPr>
                <w:w w:val="90"/>
                <w:sz w:val="18"/>
              </w:rPr>
              <w:t>)</w:t>
            </w:r>
          </w:p>
        </w:tc>
        <w:tc>
          <w:tcPr>
            <w:tcW w:w="1664" w:type="dxa"/>
            <w:tcBorders>
              <w:bottom w:val="single" w:sz="24" w:space="0" w:color="000000"/>
              <w:right w:val="nil"/>
            </w:tcBorders>
            <w:shd w:val="clear" w:color="auto" w:fill="FFFF00"/>
          </w:tcPr>
          <w:p w:rsidR="00BB11D1" w:rsidRDefault="00BB11D1" w:rsidP="00451448">
            <w:pPr>
              <w:pStyle w:val="TableParagraph"/>
              <w:spacing w:before="3"/>
              <w:ind w:left="165"/>
              <w:rPr>
                <w:rFonts w:ascii="Trebuchet MS"/>
                <w:b/>
                <w:sz w:val="18"/>
              </w:rPr>
            </w:pPr>
            <w:r>
              <w:rPr>
                <w:rFonts w:ascii="Trebuchet MS"/>
                <w:b/>
                <w:sz w:val="18"/>
              </w:rPr>
              <w:t>STC issued</w:t>
            </w:r>
          </w:p>
        </w:tc>
        <w:tc>
          <w:tcPr>
            <w:tcW w:w="3184" w:type="dxa"/>
            <w:tcBorders>
              <w:left w:val="nil"/>
              <w:bottom w:val="single" w:sz="24" w:space="0" w:color="000000"/>
              <w:right w:val="single" w:sz="24" w:space="0" w:color="000000"/>
            </w:tcBorders>
            <w:shd w:val="clear" w:color="auto" w:fill="FFFF00"/>
          </w:tcPr>
          <w:p w:rsidR="00BB11D1" w:rsidRDefault="00BB11D1" w:rsidP="00451448">
            <w:pPr>
              <w:pStyle w:val="TableParagraph"/>
              <w:spacing w:before="3"/>
              <w:ind w:left="69" w:right="570"/>
              <w:jc w:val="center"/>
              <w:rPr>
                <w:rFonts w:ascii="Trebuchet MS"/>
                <w:b/>
                <w:sz w:val="18"/>
              </w:rPr>
            </w:pPr>
            <w:r>
              <w:rPr>
                <w:rFonts w:ascii="Trebuchet MS"/>
                <w:b/>
                <w:color w:val="00AF50"/>
                <w:w w:val="90"/>
                <w:sz w:val="18"/>
              </w:rPr>
              <w:t xml:space="preserve">STC1.A+STC1.B </w:t>
            </w:r>
            <w:r>
              <w:rPr>
                <w:rFonts w:ascii="Trebuchet MS"/>
                <w:b/>
                <w:color w:val="FF0000"/>
                <w:w w:val="90"/>
                <w:sz w:val="18"/>
              </w:rPr>
              <w:t>+STC2.A+STC2.B</w:t>
            </w:r>
          </w:p>
        </w:tc>
      </w:tr>
      <w:tr w:rsidR="00BB11D1" w:rsidTr="00BB11D1">
        <w:trPr>
          <w:trHeight w:val="242"/>
        </w:trPr>
        <w:tc>
          <w:tcPr>
            <w:tcW w:w="9462" w:type="dxa"/>
            <w:gridSpan w:val="4"/>
            <w:tcBorders>
              <w:top w:val="single" w:sz="24" w:space="0" w:color="000000"/>
            </w:tcBorders>
            <w:shd w:val="clear" w:color="auto" w:fill="E5B8B7" w:themeFill="accent2" w:themeFillTint="66"/>
          </w:tcPr>
          <w:p w:rsidR="00BB11D1" w:rsidRDefault="00BB11D1" w:rsidP="00451448">
            <w:pPr>
              <w:pStyle w:val="TableParagraph"/>
              <w:spacing w:before="2" w:line="220" w:lineRule="exact"/>
              <w:ind w:left="1526" w:right="1468"/>
              <w:jc w:val="center"/>
              <w:rPr>
                <w:rFonts w:ascii="Trebuchet MS"/>
                <w:b/>
                <w:sz w:val="20"/>
              </w:rPr>
            </w:pPr>
            <w:r>
              <w:rPr>
                <w:rFonts w:ascii="Trebuchet MS"/>
                <w:b/>
                <w:sz w:val="20"/>
              </w:rPr>
              <w:t>B - Households, pension and investment funds, insurance companies</w:t>
            </w:r>
          </w:p>
        </w:tc>
      </w:tr>
      <w:tr w:rsidR="00BB11D1" w:rsidTr="00BB11D1">
        <w:trPr>
          <w:trHeight w:val="2198"/>
        </w:trPr>
        <w:tc>
          <w:tcPr>
            <w:tcW w:w="2426" w:type="dxa"/>
            <w:tcBorders>
              <w:bottom w:val="single" w:sz="24" w:space="0" w:color="000000"/>
              <w:right w:val="nil"/>
            </w:tcBorders>
            <w:shd w:val="clear" w:color="auto" w:fill="E5B8B7" w:themeFill="accent2" w:themeFillTint="66"/>
          </w:tcPr>
          <w:p w:rsidR="00BB11D1" w:rsidRDefault="00BB11D1" w:rsidP="00451448">
            <w:pPr>
              <w:pStyle w:val="TableParagraph"/>
              <w:spacing w:before="4" w:line="254" w:lineRule="auto"/>
              <w:ind w:left="133" w:right="1137"/>
              <w:rPr>
                <w:sz w:val="20"/>
              </w:rPr>
            </w:pPr>
            <w:r>
              <w:rPr>
                <w:sz w:val="20"/>
              </w:rPr>
              <w:t xml:space="preserve">Real Assets </w:t>
            </w:r>
            <w:r>
              <w:rPr>
                <w:w w:val="90"/>
                <w:sz w:val="20"/>
              </w:rPr>
              <w:t>Sight deposits</w:t>
            </w:r>
          </w:p>
          <w:p w:rsidR="00BB11D1" w:rsidRDefault="00BB11D1" w:rsidP="00451448">
            <w:pPr>
              <w:pStyle w:val="TableParagraph"/>
              <w:spacing w:before="2"/>
              <w:ind w:left="133"/>
              <w:rPr>
                <w:sz w:val="20"/>
              </w:rPr>
            </w:pPr>
            <w:r>
              <w:rPr>
                <w:sz w:val="20"/>
              </w:rPr>
              <w:t>Savings + time deposits</w:t>
            </w:r>
          </w:p>
          <w:p w:rsidR="00BB11D1" w:rsidRDefault="00BB11D1" w:rsidP="00451448">
            <w:pPr>
              <w:pStyle w:val="TableParagraph"/>
              <w:spacing w:before="12"/>
              <w:ind w:left="133"/>
              <w:rPr>
                <w:rFonts w:ascii="Trebuchet MS"/>
                <w:b/>
                <w:sz w:val="20"/>
              </w:rPr>
            </w:pPr>
            <w:r>
              <w:rPr>
                <w:rFonts w:ascii="Trebuchet MS"/>
                <w:b/>
                <w:w w:val="95"/>
                <w:sz w:val="20"/>
              </w:rPr>
              <w:t>STC</w:t>
            </w:r>
          </w:p>
          <w:p w:rsidR="00BB11D1" w:rsidRDefault="00BB11D1" w:rsidP="00451448">
            <w:pPr>
              <w:pStyle w:val="TableParagraph"/>
              <w:spacing w:before="13" w:line="254" w:lineRule="auto"/>
              <w:ind w:left="133" w:right="1137"/>
              <w:rPr>
                <w:sz w:val="20"/>
              </w:rPr>
            </w:pPr>
            <w:r>
              <w:rPr>
                <w:w w:val="95"/>
                <w:sz w:val="20"/>
              </w:rPr>
              <w:t xml:space="preserve">Banknotes </w:t>
            </w:r>
            <w:r>
              <w:rPr>
                <w:w w:val="90"/>
                <w:sz w:val="20"/>
              </w:rPr>
              <w:t>Bank bonds</w:t>
            </w:r>
          </w:p>
          <w:p w:rsidR="00BB11D1" w:rsidRDefault="00BB11D1" w:rsidP="00451448">
            <w:pPr>
              <w:pStyle w:val="TableParagraph"/>
              <w:spacing w:before="2" w:line="252" w:lineRule="auto"/>
              <w:ind w:left="133"/>
              <w:rPr>
                <w:sz w:val="20"/>
              </w:rPr>
            </w:pPr>
            <w:r>
              <w:rPr>
                <w:w w:val="95"/>
                <w:sz w:val="20"/>
              </w:rPr>
              <w:t xml:space="preserve">Corporate/state bonds </w:t>
            </w:r>
            <w:r>
              <w:rPr>
                <w:sz w:val="20"/>
              </w:rPr>
              <w:t>Equity</w:t>
            </w:r>
          </w:p>
        </w:tc>
        <w:tc>
          <w:tcPr>
            <w:tcW w:w="2188" w:type="dxa"/>
            <w:tcBorders>
              <w:left w:val="nil"/>
              <w:bottom w:val="single" w:sz="24" w:space="0" w:color="000000"/>
            </w:tcBorders>
            <w:shd w:val="clear" w:color="auto" w:fill="E5B8B7" w:themeFill="accent2" w:themeFillTint="66"/>
          </w:tcPr>
          <w:p w:rsidR="00BB11D1" w:rsidRDefault="00BB11D1" w:rsidP="00451448">
            <w:pPr>
              <w:pStyle w:val="TableParagraph"/>
              <w:spacing w:before="4"/>
              <w:ind w:left="932"/>
              <w:rPr>
                <w:sz w:val="20"/>
              </w:rPr>
            </w:pPr>
            <w:r>
              <w:rPr>
                <w:sz w:val="20"/>
              </w:rPr>
              <w:t>20</w:t>
            </w:r>
          </w:p>
          <w:p w:rsidR="00BB11D1" w:rsidRDefault="00BB11D1" w:rsidP="00451448">
            <w:pPr>
              <w:pStyle w:val="TableParagraph"/>
              <w:spacing w:before="15"/>
              <w:ind w:right="438"/>
              <w:jc w:val="right"/>
              <w:rPr>
                <w:rFonts w:ascii="Trebuchet MS"/>
                <w:b/>
                <w:sz w:val="20"/>
              </w:rPr>
            </w:pPr>
            <w:r>
              <w:rPr>
                <w:w w:val="90"/>
                <w:sz w:val="20"/>
              </w:rPr>
              <w:t>5</w:t>
            </w:r>
            <w:r>
              <w:rPr>
                <w:spacing w:val="-24"/>
                <w:w w:val="90"/>
                <w:sz w:val="20"/>
              </w:rPr>
              <w:t xml:space="preserve"> </w:t>
            </w:r>
            <w:r>
              <w:rPr>
                <w:rFonts w:ascii="Trebuchet MS"/>
                <w:b/>
                <w:color w:val="FF0000"/>
                <w:w w:val="90"/>
                <w:sz w:val="20"/>
              </w:rPr>
              <w:t>-</w:t>
            </w:r>
            <w:r>
              <w:rPr>
                <w:rFonts w:ascii="Trebuchet MS"/>
                <w:b/>
                <w:color w:val="FF0000"/>
                <w:spacing w:val="-28"/>
                <w:w w:val="90"/>
                <w:sz w:val="20"/>
              </w:rPr>
              <w:t xml:space="preserve"> </w:t>
            </w:r>
            <w:r>
              <w:rPr>
                <w:rFonts w:ascii="Trebuchet MS"/>
                <w:b/>
                <w:color w:val="FF0000"/>
                <w:w w:val="90"/>
                <w:sz w:val="20"/>
              </w:rPr>
              <w:t>STC2.B</w:t>
            </w:r>
          </w:p>
          <w:p w:rsidR="00BB11D1" w:rsidRDefault="00BB11D1" w:rsidP="00451448">
            <w:pPr>
              <w:pStyle w:val="TableParagraph"/>
              <w:spacing w:before="12"/>
              <w:ind w:left="872"/>
              <w:rPr>
                <w:sz w:val="20"/>
              </w:rPr>
            </w:pPr>
            <w:r>
              <w:rPr>
                <w:w w:val="90"/>
                <w:sz w:val="20"/>
              </w:rPr>
              <w:t>4</w:t>
            </w:r>
          </w:p>
          <w:p w:rsidR="00BB11D1" w:rsidRDefault="00BB11D1" w:rsidP="00451448">
            <w:pPr>
              <w:pStyle w:val="TableParagraph"/>
              <w:spacing w:before="13"/>
              <w:ind w:right="454"/>
              <w:jc w:val="right"/>
              <w:rPr>
                <w:rFonts w:ascii="Trebuchet MS"/>
                <w:b/>
                <w:sz w:val="20"/>
              </w:rPr>
            </w:pPr>
            <w:r>
              <w:rPr>
                <w:rFonts w:ascii="Trebuchet MS"/>
                <w:b/>
                <w:color w:val="FF0000"/>
                <w:w w:val="85"/>
                <w:sz w:val="20"/>
              </w:rPr>
              <w:t>STC2.B</w:t>
            </w:r>
            <w:r>
              <w:rPr>
                <w:rFonts w:ascii="Trebuchet MS"/>
                <w:b/>
                <w:color w:val="FF0000"/>
                <w:spacing w:val="-3"/>
                <w:w w:val="85"/>
                <w:sz w:val="20"/>
              </w:rPr>
              <w:t xml:space="preserve"> </w:t>
            </w:r>
            <w:r>
              <w:rPr>
                <w:rFonts w:ascii="Trebuchet MS"/>
                <w:b/>
                <w:color w:val="00AF50"/>
                <w:w w:val="85"/>
                <w:sz w:val="20"/>
              </w:rPr>
              <w:t>+STC1.B</w:t>
            </w:r>
          </w:p>
          <w:p w:rsidR="00BB11D1" w:rsidRDefault="00BB11D1" w:rsidP="00451448">
            <w:pPr>
              <w:pStyle w:val="TableParagraph"/>
              <w:spacing w:before="12"/>
              <w:ind w:right="445"/>
              <w:jc w:val="right"/>
              <w:rPr>
                <w:rFonts w:ascii="Trebuchet MS"/>
                <w:b/>
                <w:sz w:val="20"/>
              </w:rPr>
            </w:pPr>
            <w:r>
              <w:rPr>
                <w:w w:val="90"/>
                <w:sz w:val="20"/>
              </w:rPr>
              <w:t>1</w:t>
            </w:r>
            <w:r>
              <w:rPr>
                <w:spacing w:val="2"/>
                <w:w w:val="90"/>
                <w:sz w:val="20"/>
              </w:rPr>
              <w:t xml:space="preserve"> </w:t>
            </w:r>
            <w:r>
              <w:rPr>
                <w:rFonts w:ascii="Trebuchet MS"/>
                <w:b/>
                <w:color w:val="00AF50"/>
                <w:w w:val="90"/>
                <w:sz w:val="20"/>
              </w:rPr>
              <w:t>-STC1.B</w:t>
            </w:r>
          </w:p>
          <w:p w:rsidR="00BB11D1" w:rsidRDefault="00BB11D1" w:rsidP="00451448">
            <w:pPr>
              <w:pStyle w:val="TableParagraph"/>
              <w:spacing w:before="13"/>
              <w:ind w:right="242"/>
              <w:jc w:val="center"/>
              <w:rPr>
                <w:sz w:val="20"/>
              </w:rPr>
            </w:pPr>
            <w:r>
              <w:rPr>
                <w:w w:val="90"/>
                <w:sz w:val="20"/>
              </w:rPr>
              <w:t>4</w:t>
            </w:r>
          </w:p>
          <w:p w:rsidR="00BB11D1" w:rsidRDefault="00BB11D1" w:rsidP="00451448">
            <w:pPr>
              <w:pStyle w:val="TableParagraph"/>
              <w:spacing w:before="15"/>
              <w:ind w:right="233"/>
              <w:jc w:val="center"/>
              <w:rPr>
                <w:sz w:val="20"/>
              </w:rPr>
            </w:pPr>
            <w:r>
              <w:rPr>
                <w:w w:val="90"/>
                <w:sz w:val="20"/>
              </w:rPr>
              <w:t>7</w:t>
            </w:r>
          </w:p>
          <w:p w:rsidR="00BB11D1" w:rsidRDefault="00BB11D1" w:rsidP="00451448">
            <w:pPr>
              <w:pStyle w:val="TableParagraph"/>
              <w:spacing w:before="12"/>
              <w:ind w:right="203"/>
              <w:jc w:val="center"/>
              <w:rPr>
                <w:sz w:val="20"/>
              </w:rPr>
            </w:pPr>
            <w:r>
              <w:rPr>
                <w:w w:val="90"/>
                <w:sz w:val="20"/>
              </w:rPr>
              <w:t>8</w:t>
            </w:r>
          </w:p>
        </w:tc>
        <w:tc>
          <w:tcPr>
            <w:tcW w:w="1664" w:type="dxa"/>
            <w:tcBorders>
              <w:bottom w:val="single" w:sz="24" w:space="0" w:color="000000"/>
              <w:right w:val="nil"/>
            </w:tcBorders>
            <w:shd w:val="clear" w:color="auto" w:fill="E5B8B7" w:themeFill="accent2" w:themeFillTint="66"/>
          </w:tcPr>
          <w:p w:rsidR="00BB11D1" w:rsidRDefault="00BB11D1" w:rsidP="00451448">
            <w:pPr>
              <w:pStyle w:val="TableParagraph"/>
              <w:spacing w:before="4" w:line="511" w:lineRule="auto"/>
              <w:ind w:left="146"/>
              <w:rPr>
                <w:sz w:val="20"/>
              </w:rPr>
            </w:pPr>
            <w:r>
              <w:rPr>
                <w:w w:val="90"/>
                <w:sz w:val="20"/>
              </w:rPr>
              <w:t xml:space="preserve">Household Equity </w:t>
            </w:r>
            <w:r>
              <w:rPr>
                <w:sz w:val="20"/>
              </w:rPr>
              <w:t>Bank loans</w:t>
            </w:r>
          </w:p>
        </w:tc>
        <w:tc>
          <w:tcPr>
            <w:tcW w:w="3184" w:type="dxa"/>
            <w:tcBorders>
              <w:left w:val="nil"/>
              <w:bottom w:val="single" w:sz="24" w:space="0" w:color="000000"/>
            </w:tcBorders>
            <w:shd w:val="clear" w:color="auto" w:fill="E5B8B7" w:themeFill="accent2" w:themeFillTint="66"/>
          </w:tcPr>
          <w:p w:rsidR="00BB11D1" w:rsidRDefault="00BB11D1" w:rsidP="00451448">
            <w:pPr>
              <w:pStyle w:val="TableParagraph"/>
              <w:spacing w:before="4"/>
              <w:ind w:left="787" w:right="397"/>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spacing w:before="1"/>
              <w:ind w:left="448"/>
              <w:jc w:val="center"/>
              <w:rPr>
                <w:sz w:val="20"/>
              </w:rPr>
            </w:pPr>
            <w:r>
              <w:rPr>
                <w:w w:val="90"/>
                <w:sz w:val="20"/>
              </w:rPr>
              <w:t>5</w:t>
            </w:r>
          </w:p>
        </w:tc>
      </w:tr>
      <w:tr w:rsidR="00BB11D1" w:rsidTr="00BB11D1">
        <w:trPr>
          <w:trHeight w:val="244"/>
        </w:trPr>
        <w:tc>
          <w:tcPr>
            <w:tcW w:w="9462" w:type="dxa"/>
            <w:gridSpan w:val="4"/>
            <w:tcBorders>
              <w:top w:val="single" w:sz="24" w:space="0" w:color="000000"/>
            </w:tcBorders>
            <w:shd w:val="clear" w:color="auto" w:fill="E5B8B7" w:themeFill="accent2" w:themeFillTint="66"/>
          </w:tcPr>
          <w:p w:rsidR="00BB11D1" w:rsidRDefault="00BB11D1" w:rsidP="00451448">
            <w:pPr>
              <w:pStyle w:val="TableParagraph"/>
              <w:spacing w:before="4" w:line="220" w:lineRule="exact"/>
              <w:ind w:left="1526" w:right="1468"/>
              <w:jc w:val="center"/>
              <w:rPr>
                <w:rFonts w:ascii="Trebuchet MS"/>
                <w:b/>
                <w:sz w:val="20"/>
              </w:rPr>
            </w:pPr>
            <w:r>
              <w:rPr>
                <w:rFonts w:ascii="Trebuchet MS"/>
                <w:b/>
                <w:sz w:val="20"/>
              </w:rPr>
              <w:t>B - Commercial Banks</w:t>
            </w:r>
          </w:p>
        </w:tc>
      </w:tr>
      <w:tr w:rsidR="00BB11D1" w:rsidTr="00BB11D1">
        <w:trPr>
          <w:trHeight w:val="263"/>
        </w:trPr>
        <w:tc>
          <w:tcPr>
            <w:tcW w:w="2426" w:type="dxa"/>
            <w:tcBorders>
              <w:bottom w:val="nil"/>
              <w:right w:val="nil"/>
            </w:tcBorders>
            <w:shd w:val="clear" w:color="auto" w:fill="E5B8B7" w:themeFill="accent2" w:themeFillTint="66"/>
          </w:tcPr>
          <w:p w:rsidR="00BB11D1" w:rsidRDefault="00BB11D1" w:rsidP="00451448">
            <w:pPr>
              <w:pStyle w:val="TableParagraph"/>
              <w:spacing w:before="4"/>
              <w:ind w:left="133"/>
              <w:rPr>
                <w:sz w:val="20"/>
              </w:rPr>
            </w:pPr>
            <w:r>
              <w:rPr>
                <w:sz w:val="20"/>
              </w:rPr>
              <w:t>Loans to corporates</w:t>
            </w:r>
          </w:p>
        </w:tc>
        <w:tc>
          <w:tcPr>
            <w:tcW w:w="2188" w:type="dxa"/>
            <w:tcBorders>
              <w:left w:val="nil"/>
              <w:bottom w:val="nil"/>
            </w:tcBorders>
            <w:shd w:val="clear" w:color="auto" w:fill="E5B8B7" w:themeFill="accent2" w:themeFillTint="66"/>
          </w:tcPr>
          <w:p w:rsidR="00BB11D1" w:rsidRDefault="00BB11D1" w:rsidP="00451448">
            <w:pPr>
              <w:pStyle w:val="TableParagraph"/>
              <w:spacing w:before="4"/>
              <w:ind w:right="440"/>
              <w:jc w:val="center"/>
              <w:rPr>
                <w:sz w:val="20"/>
              </w:rPr>
            </w:pPr>
            <w:r>
              <w:rPr>
                <w:w w:val="90"/>
                <w:sz w:val="20"/>
              </w:rPr>
              <w:t>8</w:t>
            </w:r>
          </w:p>
        </w:tc>
        <w:tc>
          <w:tcPr>
            <w:tcW w:w="4848" w:type="dxa"/>
            <w:gridSpan w:val="2"/>
            <w:tcBorders>
              <w:bottom w:val="nil"/>
            </w:tcBorders>
            <w:shd w:val="clear" w:color="auto" w:fill="E5B8B7" w:themeFill="accent2" w:themeFillTint="66"/>
          </w:tcPr>
          <w:p w:rsidR="00BB11D1" w:rsidRDefault="00BB11D1" w:rsidP="00451448">
            <w:pPr>
              <w:pStyle w:val="TableParagraph"/>
              <w:tabs>
                <w:tab w:val="left" w:pos="2296"/>
              </w:tabs>
              <w:spacing w:before="4"/>
              <w:ind w:left="119"/>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3"/>
                <w:sz w:val="20"/>
              </w:rPr>
              <w:t xml:space="preserve"> </w:t>
            </w:r>
            <w:r>
              <w:rPr>
                <w:rFonts w:ascii="Trebuchet MS" w:hAnsi="Trebuchet MS"/>
                <w:b/>
                <w:color w:val="FF0000"/>
                <w:sz w:val="20"/>
              </w:rPr>
              <w:t>–STC2.B</w:t>
            </w:r>
          </w:p>
        </w:tc>
      </w:tr>
      <w:tr w:rsidR="00BB11D1" w:rsidTr="00BB11D1">
        <w:trPr>
          <w:trHeight w:val="243"/>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3" w:lineRule="exact"/>
              <w:ind w:left="133"/>
              <w:rPr>
                <w:sz w:val="20"/>
              </w:rPr>
            </w:pPr>
            <w:r>
              <w:rPr>
                <w:sz w:val="20"/>
              </w:rPr>
              <w:t>Loans to government</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3" w:lineRule="exact"/>
              <w:ind w:right="482"/>
              <w:jc w:val="center"/>
              <w:rPr>
                <w:sz w:val="20"/>
              </w:rPr>
            </w:pPr>
            <w:r>
              <w:rPr>
                <w:w w:val="90"/>
                <w:sz w:val="20"/>
              </w:rPr>
              <w:t>2</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left" w:pos="2287"/>
              </w:tabs>
              <w:spacing w:line="213" w:lineRule="exact"/>
              <w:ind w:left="119"/>
              <w:rPr>
                <w:sz w:val="20"/>
              </w:rPr>
            </w:pPr>
            <w:r>
              <w:rPr>
                <w:w w:val="95"/>
                <w:sz w:val="20"/>
              </w:rPr>
              <w:t>Savings</w:t>
            </w:r>
            <w:r>
              <w:rPr>
                <w:spacing w:val="-27"/>
                <w:w w:val="95"/>
                <w:sz w:val="20"/>
              </w:rPr>
              <w:t xml:space="preserve"> </w:t>
            </w:r>
            <w:r>
              <w:rPr>
                <w:w w:val="95"/>
                <w:sz w:val="20"/>
              </w:rPr>
              <w:t>+</w:t>
            </w:r>
            <w:r>
              <w:rPr>
                <w:spacing w:val="-27"/>
                <w:w w:val="95"/>
                <w:sz w:val="20"/>
              </w:rPr>
              <w:t xml:space="preserve"> </w:t>
            </w:r>
            <w:r>
              <w:rPr>
                <w:w w:val="95"/>
                <w:sz w:val="20"/>
              </w:rPr>
              <w:t>time</w:t>
            </w:r>
            <w:r>
              <w:rPr>
                <w:spacing w:val="-27"/>
                <w:w w:val="95"/>
                <w:sz w:val="20"/>
              </w:rPr>
              <w:t xml:space="preserve"> </w:t>
            </w:r>
            <w:r>
              <w:rPr>
                <w:w w:val="95"/>
                <w:sz w:val="20"/>
              </w:rPr>
              <w:t>deposits</w:t>
            </w:r>
            <w:r>
              <w:rPr>
                <w:w w:val="95"/>
                <w:sz w:val="20"/>
              </w:rPr>
              <w:tab/>
            </w:r>
            <w:r>
              <w:rPr>
                <w:sz w:val="20"/>
              </w:rPr>
              <w:t>5</w:t>
            </w:r>
          </w:p>
        </w:tc>
      </w:tr>
      <w:tr w:rsidR="00BB11D1" w:rsidTr="00BB11D1">
        <w:trPr>
          <w:trHeight w:val="244"/>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Loans to HH</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5" w:lineRule="exact"/>
              <w:ind w:right="435"/>
              <w:jc w:val="center"/>
              <w:rPr>
                <w:sz w:val="20"/>
              </w:rPr>
            </w:pPr>
            <w:r>
              <w:rPr>
                <w:w w:val="90"/>
                <w:sz w:val="20"/>
              </w:rPr>
              <w:t>5</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right" w:pos="2459"/>
              </w:tabs>
              <w:spacing w:line="215" w:lineRule="exact"/>
              <w:ind w:left="119"/>
              <w:rPr>
                <w:sz w:val="20"/>
              </w:rPr>
            </w:pPr>
            <w:r>
              <w:rPr>
                <w:sz w:val="20"/>
              </w:rPr>
              <w:t>Bonds</w:t>
            </w:r>
            <w:r>
              <w:rPr>
                <w:spacing w:val="-15"/>
                <w:sz w:val="20"/>
              </w:rPr>
              <w:t xml:space="preserve"> </w:t>
            </w:r>
            <w:r>
              <w:rPr>
                <w:sz w:val="20"/>
              </w:rPr>
              <w:t>issued</w:t>
            </w:r>
            <w:r>
              <w:rPr>
                <w:sz w:val="20"/>
              </w:rPr>
              <w:tab/>
              <w:t>4</w:t>
            </w:r>
          </w:p>
        </w:tc>
      </w:tr>
      <w:tr w:rsidR="00BB11D1" w:rsidTr="00BB11D1">
        <w:trPr>
          <w:trHeight w:val="244"/>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Corp/gvt bonds</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5" w:lineRule="exact"/>
              <w:ind w:right="420"/>
              <w:jc w:val="center"/>
              <w:rPr>
                <w:sz w:val="20"/>
              </w:rPr>
            </w:pPr>
            <w:r>
              <w:rPr>
                <w:w w:val="90"/>
                <w:sz w:val="20"/>
              </w:rPr>
              <w:t>5</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right" w:pos="2453"/>
              </w:tabs>
              <w:spacing w:line="215" w:lineRule="exact"/>
              <w:ind w:left="119"/>
              <w:rPr>
                <w:sz w:val="20"/>
              </w:rPr>
            </w:pPr>
            <w:r>
              <w:rPr>
                <w:sz w:val="20"/>
              </w:rPr>
              <w:t>Equity</w:t>
            </w:r>
            <w:r>
              <w:rPr>
                <w:sz w:val="20"/>
              </w:rPr>
              <w:tab/>
              <w:t>3</w:t>
            </w:r>
          </w:p>
        </w:tc>
      </w:tr>
      <w:tr w:rsidR="00BB11D1" w:rsidTr="00BB11D1">
        <w:trPr>
          <w:trHeight w:val="243"/>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Central bank deposits</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5" w:lineRule="exact"/>
              <w:ind w:right="411"/>
              <w:jc w:val="center"/>
              <w:rPr>
                <w:sz w:val="20"/>
              </w:rPr>
            </w:pPr>
            <w:r>
              <w:rPr>
                <w:w w:val="90"/>
                <w:sz w:val="20"/>
              </w:rPr>
              <w:t>0</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left" w:pos="2257"/>
              </w:tabs>
              <w:spacing w:line="217" w:lineRule="exact"/>
              <w:ind w:left="119"/>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29"/>
                <w:sz w:val="20"/>
              </w:rPr>
              <w:t xml:space="preserve"> </w:t>
            </w:r>
            <w:r>
              <w:rPr>
                <w:rFonts w:ascii="Trebuchet MS"/>
                <w:b/>
                <w:color w:val="00AF50"/>
                <w:sz w:val="20"/>
              </w:rPr>
              <w:t>-STC1.B</w:t>
            </w:r>
          </w:p>
        </w:tc>
      </w:tr>
      <w:tr w:rsidR="00BB11D1" w:rsidTr="00BB11D1">
        <w:trPr>
          <w:trHeight w:val="223"/>
        </w:trPr>
        <w:tc>
          <w:tcPr>
            <w:tcW w:w="2426" w:type="dxa"/>
            <w:tcBorders>
              <w:top w:val="nil"/>
              <w:right w:val="nil"/>
            </w:tcBorders>
            <w:shd w:val="clear" w:color="auto" w:fill="E5B8B7" w:themeFill="accent2" w:themeFillTint="66"/>
          </w:tcPr>
          <w:p w:rsidR="00BB11D1" w:rsidRDefault="00BB11D1" w:rsidP="00451448">
            <w:pPr>
              <w:pStyle w:val="TableParagraph"/>
              <w:rPr>
                <w:rFonts w:ascii="Times New Roman"/>
                <w:sz w:val="14"/>
              </w:rPr>
            </w:pPr>
          </w:p>
        </w:tc>
        <w:tc>
          <w:tcPr>
            <w:tcW w:w="2188" w:type="dxa"/>
            <w:tcBorders>
              <w:top w:val="nil"/>
              <w:left w:val="nil"/>
            </w:tcBorders>
            <w:shd w:val="clear" w:color="auto" w:fill="E5B8B7" w:themeFill="accent2" w:themeFillTint="66"/>
          </w:tcPr>
          <w:p w:rsidR="00BB11D1" w:rsidRDefault="00BB11D1" w:rsidP="00451448">
            <w:pPr>
              <w:pStyle w:val="TableParagraph"/>
              <w:rPr>
                <w:rFonts w:ascii="Times New Roman"/>
                <w:sz w:val="14"/>
              </w:rPr>
            </w:pPr>
          </w:p>
        </w:tc>
        <w:tc>
          <w:tcPr>
            <w:tcW w:w="4848" w:type="dxa"/>
            <w:gridSpan w:val="2"/>
            <w:tcBorders>
              <w:top w:val="nil"/>
            </w:tcBorders>
            <w:shd w:val="clear" w:color="auto" w:fill="E5B8B7" w:themeFill="accent2" w:themeFillTint="66"/>
          </w:tcPr>
          <w:p w:rsidR="00BB11D1" w:rsidRDefault="00BB11D1" w:rsidP="00451448">
            <w:pPr>
              <w:pStyle w:val="TableParagraph"/>
              <w:spacing w:line="204" w:lineRule="exact"/>
              <w:ind w:left="119"/>
              <w:rPr>
                <w:rFonts w:ascii="Trebuchet MS"/>
                <w:b/>
                <w:sz w:val="20"/>
              </w:rPr>
            </w:pPr>
            <w:r>
              <w:rPr>
                <w:rFonts w:ascii="Trebuchet MS"/>
                <w:b/>
                <w:sz w:val="20"/>
              </w:rPr>
              <w:t xml:space="preserve">Liabilities to banks in A-land </w:t>
            </w:r>
            <w:r>
              <w:rPr>
                <w:rFonts w:ascii="Trebuchet MS"/>
                <w:b/>
                <w:color w:val="00AF50"/>
                <w:sz w:val="20"/>
              </w:rPr>
              <w:t xml:space="preserve">STC1.B </w:t>
            </w:r>
            <w:r>
              <w:rPr>
                <w:rFonts w:ascii="Trebuchet MS"/>
                <w:b/>
                <w:color w:val="FF0000"/>
                <w:sz w:val="20"/>
              </w:rPr>
              <w:t>+STC2.B</w:t>
            </w:r>
          </w:p>
        </w:tc>
      </w:tr>
      <w:tr w:rsidR="00BB11D1" w:rsidTr="00BB11D1">
        <w:trPr>
          <w:trHeight w:val="244"/>
        </w:trPr>
        <w:tc>
          <w:tcPr>
            <w:tcW w:w="9462" w:type="dxa"/>
            <w:gridSpan w:val="4"/>
            <w:shd w:val="clear" w:color="auto" w:fill="E5B8B7" w:themeFill="accent2" w:themeFillTint="66"/>
          </w:tcPr>
          <w:p w:rsidR="00BB11D1" w:rsidRDefault="00BB11D1" w:rsidP="00451448">
            <w:pPr>
              <w:pStyle w:val="TableParagraph"/>
              <w:spacing w:before="4" w:line="220" w:lineRule="exact"/>
              <w:ind w:left="1526" w:right="1466"/>
              <w:jc w:val="center"/>
              <w:rPr>
                <w:rFonts w:ascii="Trebuchet MS"/>
                <w:b/>
                <w:sz w:val="20"/>
              </w:rPr>
            </w:pPr>
            <w:r>
              <w:rPr>
                <w:rFonts w:ascii="Trebuchet MS"/>
                <w:b/>
                <w:sz w:val="20"/>
              </w:rPr>
              <w:t>B - Central Bank</w:t>
            </w:r>
          </w:p>
        </w:tc>
      </w:tr>
      <w:tr w:rsidR="00BB11D1" w:rsidTr="00BB11D1">
        <w:trPr>
          <w:trHeight w:val="244"/>
        </w:trPr>
        <w:tc>
          <w:tcPr>
            <w:tcW w:w="2426" w:type="dxa"/>
            <w:tcBorders>
              <w:right w:val="nil"/>
            </w:tcBorders>
            <w:shd w:val="clear" w:color="auto" w:fill="E5B8B7" w:themeFill="accent2" w:themeFillTint="66"/>
          </w:tcPr>
          <w:p w:rsidR="00BB11D1" w:rsidRDefault="00BB11D1" w:rsidP="00451448">
            <w:pPr>
              <w:pStyle w:val="TableParagraph"/>
              <w:spacing w:before="4" w:line="220" w:lineRule="exact"/>
              <w:ind w:left="133"/>
              <w:rPr>
                <w:sz w:val="20"/>
              </w:rPr>
            </w:pPr>
            <w:r>
              <w:rPr>
                <w:sz w:val="20"/>
              </w:rPr>
              <w:t>Credit to banks</w:t>
            </w:r>
          </w:p>
        </w:tc>
        <w:tc>
          <w:tcPr>
            <w:tcW w:w="2188" w:type="dxa"/>
            <w:tcBorders>
              <w:left w:val="nil"/>
            </w:tcBorders>
            <w:shd w:val="clear" w:color="auto" w:fill="E5B8B7" w:themeFill="accent2" w:themeFillTint="66"/>
          </w:tcPr>
          <w:p w:rsidR="00BB11D1" w:rsidRDefault="00BB11D1" w:rsidP="00451448">
            <w:pPr>
              <w:pStyle w:val="TableParagraph"/>
              <w:spacing w:before="4" w:line="220" w:lineRule="exact"/>
              <w:ind w:left="618"/>
              <w:rPr>
                <w:rFonts w:ascii="Trebuchet MS" w:hAnsi="Trebuchet MS"/>
                <w:b/>
                <w:sz w:val="20"/>
              </w:rPr>
            </w:pPr>
            <w:r>
              <w:rPr>
                <w:rFonts w:ascii="Trebuchet MS" w:hAnsi="Trebuchet MS"/>
                <w:b/>
                <w:sz w:val="20"/>
              </w:rPr>
              <w:t xml:space="preserve">1 </w:t>
            </w:r>
            <w:r>
              <w:rPr>
                <w:rFonts w:ascii="Trebuchet MS" w:hAnsi="Trebuchet MS"/>
                <w:b/>
                <w:color w:val="00AF50"/>
                <w:sz w:val="20"/>
              </w:rPr>
              <w:t>–STC1.B</w:t>
            </w:r>
          </w:p>
        </w:tc>
        <w:tc>
          <w:tcPr>
            <w:tcW w:w="1664" w:type="dxa"/>
            <w:tcBorders>
              <w:right w:val="nil"/>
            </w:tcBorders>
            <w:shd w:val="clear" w:color="auto" w:fill="E5B8B7" w:themeFill="accent2" w:themeFillTint="66"/>
          </w:tcPr>
          <w:p w:rsidR="00BB11D1" w:rsidRDefault="00BB11D1" w:rsidP="00451448">
            <w:pPr>
              <w:pStyle w:val="TableParagraph"/>
              <w:spacing w:before="4" w:line="220" w:lineRule="exact"/>
              <w:ind w:left="119"/>
              <w:rPr>
                <w:sz w:val="20"/>
              </w:rPr>
            </w:pPr>
            <w:r>
              <w:rPr>
                <w:w w:val="95"/>
                <w:sz w:val="20"/>
              </w:rPr>
              <w:t>Banknotes issued</w:t>
            </w:r>
          </w:p>
        </w:tc>
        <w:tc>
          <w:tcPr>
            <w:tcW w:w="3184" w:type="dxa"/>
            <w:tcBorders>
              <w:left w:val="nil"/>
            </w:tcBorders>
            <w:shd w:val="clear" w:color="auto" w:fill="E5B8B7" w:themeFill="accent2" w:themeFillTint="66"/>
          </w:tcPr>
          <w:p w:rsidR="00BB11D1" w:rsidRDefault="00BB11D1" w:rsidP="00451448">
            <w:pPr>
              <w:pStyle w:val="TableParagraph"/>
              <w:spacing w:before="4" w:line="220" w:lineRule="exact"/>
              <w:ind w:left="640" w:right="1263"/>
              <w:jc w:val="center"/>
              <w:rPr>
                <w:rFonts w:ascii="Trebuchet MS"/>
                <w:b/>
                <w:sz w:val="20"/>
              </w:rPr>
            </w:pPr>
            <w:r>
              <w:rPr>
                <w:sz w:val="20"/>
              </w:rPr>
              <w:t xml:space="preserve">1 </w:t>
            </w:r>
            <w:r>
              <w:rPr>
                <w:rFonts w:ascii="Trebuchet MS"/>
                <w:b/>
                <w:color w:val="00AF50"/>
                <w:sz w:val="20"/>
              </w:rPr>
              <w:t>-STC1.B</w:t>
            </w:r>
          </w:p>
        </w:tc>
      </w:tr>
    </w:tbl>
    <w:p w:rsidR="000255A4" w:rsidRPr="00BB11D1" w:rsidRDefault="000255A4" w:rsidP="006A2441">
      <w:pPr>
        <w:bidi/>
        <w:spacing w:line="220" w:lineRule="exact"/>
        <w:jc w:val="center"/>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spacing w:before="3"/>
        <w:rPr>
          <w:rFonts w:asciiTheme="majorBidi" w:hAnsiTheme="majorBidi" w:cstheme="majorBidi"/>
          <w:i/>
          <w:sz w:val="29"/>
        </w:rPr>
      </w:pPr>
    </w:p>
    <w:p w:rsidR="000255A4" w:rsidRPr="00BB11D1" w:rsidRDefault="00BB11D1" w:rsidP="006A2441">
      <w:pPr>
        <w:bidi/>
        <w:spacing w:before="59" w:after="14"/>
        <w:ind w:left="249"/>
        <w:rPr>
          <w:rFonts w:asciiTheme="majorBidi" w:hAnsiTheme="majorBidi" w:cstheme="majorBidi"/>
          <w:i/>
        </w:rPr>
      </w:pPr>
      <w:bookmarkStart w:id="21" w:name="Figure_A.4_Libra_–_two_countries_case_–_"/>
      <w:bookmarkEnd w:id="21"/>
      <w:r w:rsidRPr="00BB11D1">
        <w:rPr>
          <w:rFonts w:asciiTheme="majorBidi" w:hAnsiTheme="majorBidi" w:cs="Times New Roman"/>
          <w:i/>
          <w:iCs/>
          <w:rtl/>
          <w:lang w:bidi="ar-SA"/>
        </w:rPr>
        <w:t>الشكل أ .4 الميزان - حالة البلدان - أسعار الصرف الثابتة</w:t>
      </w:r>
    </w:p>
    <w:tbl>
      <w:tblPr>
        <w:tblW w:w="0" w:type="auto"/>
        <w:tblInd w:w="196"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205"/>
        <w:gridCol w:w="2411"/>
        <w:gridCol w:w="173"/>
        <w:gridCol w:w="1563"/>
        <w:gridCol w:w="3112"/>
      </w:tblGrid>
      <w:tr w:rsidR="00BB11D1" w:rsidTr="00BB11D1">
        <w:trPr>
          <w:trHeight w:val="244"/>
        </w:trPr>
        <w:tc>
          <w:tcPr>
            <w:tcW w:w="9464" w:type="dxa"/>
            <w:gridSpan w:val="5"/>
            <w:tcBorders>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spacing w:before="4" w:line="220" w:lineRule="exact"/>
              <w:ind w:left="1501" w:right="1442"/>
              <w:jc w:val="center"/>
              <w:rPr>
                <w:rFonts w:ascii="Trebuchet MS"/>
                <w:b/>
                <w:sz w:val="20"/>
              </w:rPr>
            </w:pPr>
            <w:r>
              <w:rPr>
                <w:rFonts w:ascii="Trebuchet MS"/>
                <w:b/>
                <w:sz w:val="20"/>
              </w:rPr>
              <w:t>A - Commercial Banks</w:t>
            </w:r>
          </w:p>
        </w:tc>
      </w:tr>
      <w:tr w:rsidR="00BB11D1" w:rsidTr="00BB11D1">
        <w:trPr>
          <w:trHeight w:val="1708"/>
        </w:trPr>
        <w:tc>
          <w:tcPr>
            <w:tcW w:w="4789"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tabs>
                <w:tab w:val="right" w:pos="3341"/>
              </w:tabs>
              <w:spacing w:before="4"/>
              <w:ind w:left="133"/>
              <w:rPr>
                <w:sz w:val="20"/>
              </w:rPr>
            </w:pPr>
            <w:r>
              <w:rPr>
                <w:sz w:val="20"/>
              </w:rPr>
              <w:t>Loans</w:t>
            </w:r>
            <w:r>
              <w:rPr>
                <w:spacing w:val="-14"/>
                <w:sz w:val="20"/>
              </w:rPr>
              <w:t xml:space="preserve"> </w:t>
            </w:r>
            <w:r>
              <w:rPr>
                <w:sz w:val="20"/>
              </w:rPr>
              <w:t>to</w:t>
            </w:r>
            <w:r>
              <w:rPr>
                <w:spacing w:val="-14"/>
                <w:sz w:val="20"/>
              </w:rPr>
              <w:t xml:space="preserve"> </w:t>
            </w:r>
            <w:r>
              <w:rPr>
                <w:sz w:val="20"/>
              </w:rPr>
              <w:t>corporates</w:t>
            </w:r>
            <w:r>
              <w:rPr>
                <w:sz w:val="20"/>
              </w:rPr>
              <w:tab/>
              <w:t>8</w:t>
            </w:r>
          </w:p>
          <w:p w:rsidR="00BB11D1" w:rsidRDefault="00BB11D1" w:rsidP="00451448">
            <w:pPr>
              <w:pStyle w:val="TableParagraph"/>
              <w:tabs>
                <w:tab w:val="right" w:pos="3320"/>
              </w:tabs>
              <w:spacing w:before="12"/>
              <w:ind w:left="133"/>
              <w:rPr>
                <w:sz w:val="20"/>
              </w:rPr>
            </w:pPr>
            <w:r>
              <w:rPr>
                <w:sz w:val="20"/>
              </w:rPr>
              <w:t>Loans</w:t>
            </w:r>
            <w:r>
              <w:rPr>
                <w:spacing w:val="-14"/>
                <w:sz w:val="20"/>
              </w:rPr>
              <w:t xml:space="preserve"> </w:t>
            </w:r>
            <w:r>
              <w:rPr>
                <w:sz w:val="20"/>
              </w:rPr>
              <w:t>to</w:t>
            </w:r>
            <w:r>
              <w:rPr>
                <w:spacing w:val="-15"/>
                <w:sz w:val="20"/>
              </w:rPr>
              <w:t xml:space="preserve"> </w:t>
            </w:r>
            <w:r>
              <w:rPr>
                <w:sz w:val="20"/>
              </w:rPr>
              <w:t>government</w:t>
            </w:r>
            <w:r>
              <w:rPr>
                <w:sz w:val="20"/>
              </w:rPr>
              <w:tab/>
              <w:t>2</w:t>
            </w:r>
          </w:p>
          <w:p w:rsidR="00BB11D1" w:rsidRDefault="00BB11D1" w:rsidP="00451448">
            <w:pPr>
              <w:pStyle w:val="TableParagraph"/>
              <w:tabs>
                <w:tab w:val="right" w:pos="3344"/>
              </w:tabs>
              <w:spacing w:before="15"/>
              <w:ind w:left="133"/>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spacing w:before="15"/>
              <w:ind w:left="133"/>
              <w:rPr>
                <w:sz w:val="20"/>
              </w:rPr>
            </w:pPr>
            <w:r>
              <w:rPr>
                <w:w w:val="90"/>
                <w:sz w:val="20"/>
              </w:rPr>
              <w:t xml:space="preserve">Corp/gvt bonds 5 </w:t>
            </w:r>
            <w:r>
              <w:rPr>
                <w:rFonts w:ascii="Trebuchet MS" w:hAnsi="Trebuchet MS"/>
                <w:b/>
                <w:w w:val="90"/>
                <w:sz w:val="20"/>
              </w:rPr>
              <w:t>–(1-</w:t>
            </w:r>
            <w:r>
              <w:rPr>
                <w:b/>
                <w:w w:val="90"/>
                <w:sz w:val="20"/>
              </w:rPr>
              <w:t>α</w:t>
            </w:r>
            <w:r>
              <w:rPr>
                <w:w w:val="90"/>
                <w:sz w:val="20"/>
              </w:rPr>
              <w:t>)(</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20"/>
              </w:rPr>
              <w:t>)</w:t>
            </w:r>
          </w:p>
          <w:p w:rsidR="00BB11D1" w:rsidRDefault="00BB11D1" w:rsidP="00451448">
            <w:pPr>
              <w:pStyle w:val="TableParagraph"/>
              <w:tabs>
                <w:tab w:val="left" w:pos="3209"/>
              </w:tabs>
              <w:spacing w:before="13"/>
              <w:ind w:left="133"/>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tabs>
                <w:tab w:val="left" w:pos="2172"/>
              </w:tabs>
              <w:spacing w:before="4"/>
              <w:ind w:left="132"/>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3"/>
                <w:sz w:val="20"/>
              </w:rPr>
              <w:t xml:space="preserve"> </w:t>
            </w:r>
            <w:r>
              <w:rPr>
                <w:rFonts w:ascii="Trebuchet MS" w:hAnsi="Trebuchet MS"/>
                <w:b/>
                <w:color w:val="FF0000"/>
                <w:sz w:val="20"/>
              </w:rPr>
              <w:t>–STC2.A</w:t>
            </w:r>
          </w:p>
          <w:p w:rsidR="00BB11D1" w:rsidRDefault="00BB11D1" w:rsidP="00451448">
            <w:pPr>
              <w:pStyle w:val="TableParagraph"/>
              <w:tabs>
                <w:tab w:val="left" w:pos="1766"/>
              </w:tabs>
              <w:spacing w:before="10"/>
              <w:ind w:left="132"/>
              <w:rPr>
                <w:sz w:val="20"/>
              </w:rPr>
            </w:pPr>
            <w:r>
              <w:rPr>
                <w:w w:val="90"/>
                <w:sz w:val="20"/>
              </w:rPr>
              <w:t>STC</w:t>
            </w:r>
            <w:r>
              <w:rPr>
                <w:spacing w:val="-24"/>
                <w:w w:val="90"/>
                <w:sz w:val="20"/>
              </w:rPr>
              <w:t xml:space="preserve"> </w:t>
            </w:r>
            <w:r>
              <w:rPr>
                <w:w w:val="90"/>
                <w:sz w:val="20"/>
              </w:rPr>
              <w:t>Deposits</w:t>
            </w:r>
            <w:r>
              <w:rPr>
                <w:w w:val="90"/>
                <w:sz w:val="20"/>
              </w:rPr>
              <w:tab/>
            </w:r>
            <w:r>
              <w:rPr>
                <w:b/>
                <w:w w:val="90"/>
                <w:sz w:val="20"/>
              </w:rPr>
              <w:t>α</w:t>
            </w:r>
            <w:r>
              <w:rPr>
                <w:rFonts w:ascii="Trebuchet MS" w:hAnsi="Trebuchet MS"/>
                <w:b/>
                <w:w w:val="90"/>
                <w:sz w:val="20"/>
              </w:rPr>
              <w:t>(</w:t>
            </w:r>
            <w:r>
              <w:rPr>
                <w:rFonts w:ascii="Trebuchet MS" w:hAnsi="Trebuchet MS"/>
                <w:b/>
                <w:color w:val="00AF50"/>
                <w:w w:val="90"/>
                <w:sz w:val="18"/>
              </w:rPr>
              <w:t>STC1.A+STC1.B</w:t>
            </w:r>
            <w:r>
              <w:rPr>
                <w:rFonts w:ascii="Trebuchet MS" w:hAnsi="Trebuchet MS"/>
                <w:b/>
                <w:color w:val="00AF50"/>
                <w:spacing w:val="-22"/>
                <w:w w:val="90"/>
                <w:sz w:val="18"/>
              </w:rPr>
              <w:t xml:space="preserve"> </w:t>
            </w:r>
            <w:r>
              <w:rPr>
                <w:rFonts w:ascii="Trebuchet MS" w:hAnsi="Trebuchet MS"/>
                <w:b/>
                <w:color w:val="FF0000"/>
                <w:w w:val="90"/>
                <w:sz w:val="18"/>
              </w:rPr>
              <w:t>+STC2.A+STC2.B</w:t>
            </w:r>
            <w:r>
              <w:rPr>
                <w:w w:val="90"/>
                <w:sz w:val="20"/>
              </w:rPr>
              <w:t>)</w:t>
            </w:r>
          </w:p>
          <w:p w:rsidR="00BB11D1" w:rsidRDefault="00BB11D1" w:rsidP="00451448">
            <w:pPr>
              <w:pStyle w:val="TableParagraph"/>
              <w:tabs>
                <w:tab w:val="left" w:pos="2344"/>
                <w:tab w:val="right" w:pos="2472"/>
              </w:tabs>
              <w:spacing w:before="13" w:line="254" w:lineRule="auto"/>
              <w:ind w:left="132" w:right="2190"/>
              <w:rPr>
                <w:sz w:val="20"/>
              </w:rPr>
            </w:pPr>
            <w:r>
              <w:rPr>
                <w:w w:val="95"/>
                <w:sz w:val="20"/>
              </w:rPr>
              <w:t>Savings</w:t>
            </w:r>
            <w:r>
              <w:rPr>
                <w:spacing w:val="-24"/>
                <w:w w:val="95"/>
                <w:sz w:val="20"/>
              </w:rPr>
              <w:t xml:space="preserve"> </w:t>
            </w:r>
            <w:r>
              <w:rPr>
                <w:w w:val="95"/>
                <w:sz w:val="20"/>
              </w:rPr>
              <w:t>+</w:t>
            </w:r>
            <w:r>
              <w:rPr>
                <w:spacing w:val="-24"/>
                <w:w w:val="95"/>
                <w:sz w:val="20"/>
              </w:rPr>
              <w:t xml:space="preserve"> </w:t>
            </w:r>
            <w:r>
              <w:rPr>
                <w:w w:val="95"/>
                <w:sz w:val="20"/>
              </w:rPr>
              <w:t>time</w:t>
            </w:r>
            <w:r>
              <w:rPr>
                <w:spacing w:val="5"/>
                <w:w w:val="95"/>
                <w:sz w:val="20"/>
              </w:rPr>
              <w:t xml:space="preserve"> </w:t>
            </w:r>
            <w:r>
              <w:rPr>
                <w:w w:val="95"/>
                <w:sz w:val="20"/>
              </w:rPr>
              <w:t>deposits</w:t>
            </w:r>
            <w:r>
              <w:rPr>
                <w:w w:val="95"/>
                <w:sz w:val="20"/>
              </w:rPr>
              <w:tab/>
            </w:r>
            <w:r>
              <w:rPr>
                <w:sz w:val="20"/>
              </w:rPr>
              <w:t>5 Bonds</w:t>
            </w:r>
            <w:r>
              <w:rPr>
                <w:spacing w:val="-15"/>
                <w:sz w:val="20"/>
              </w:rPr>
              <w:t xml:space="preserve"> </w:t>
            </w:r>
            <w:r>
              <w:rPr>
                <w:sz w:val="20"/>
              </w:rPr>
              <w:t>issued</w:t>
            </w:r>
            <w:r>
              <w:rPr>
                <w:sz w:val="20"/>
              </w:rPr>
              <w:tab/>
            </w:r>
            <w:r>
              <w:rPr>
                <w:sz w:val="20"/>
              </w:rPr>
              <w:tab/>
              <w:t>4</w:t>
            </w:r>
          </w:p>
          <w:p w:rsidR="00BB11D1" w:rsidRDefault="00BB11D1" w:rsidP="00451448">
            <w:pPr>
              <w:pStyle w:val="TableParagraph"/>
              <w:tabs>
                <w:tab w:val="right" w:pos="2465"/>
              </w:tabs>
              <w:spacing w:before="2"/>
              <w:ind w:left="132"/>
              <w:rPr>
                <w:sz w:val="20"/>
              </w:rPr>
            </w:pPr>
            <w:r>
              <w:rPr>
                <w:sz w:val="20"/>
              </w:rPr>
              <w:t>Equity</w:t>
            </w:r>
            <w:r>
              <w:rPr>
                <w:sz w:val="20"/>
              </w:rPr>
              <w:tab/>
              <w:t>3</w:t>
            </w:r>
          </w:p>
          <w:p w:rsidR="00BB11D1" w:rsidRDefault="00BB11D1" w:rsidP="00451448">
            <w:pPr>
              <w:pStyle w:val="TableParagraph"/>
              <w:tabs>
                <w:tab w:val="left" w:pos="2361"/>
              </w:tabs>
              <w:spacing w:before="12"/>
              <w:ind w:left="132"/>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26"/>
                <w:sz w:val="20"/>
              </w:rPr>
              <w:t xml:space="preserve"> </w:t>
            </w:r>
            <w:r>
              <w:rPr>
                <w:rFonts w:ascii="Trebuchet MS"/>
                <w:b/>
                <w:color w:val="00AF50"/>
                <w:sz w:val="20"/>
              </w:rPr>
              <w:t>-STC1.A</w:t>
            </w:r>
          </w:p>
          <w:p w:rsidR="00BB11D1" w:rsidRDefault="00BB11D1" w:rsidP="00451448">
            <w:pPr>
              <w:pStyle w:val="TableParagraph"/>
              <w:tabs>
                <w:tab w:val="left" w:pos="2771"/>
              </w:tabs>
              <w:spacing w:before="12" w:line="220" w:lineRule="exact"/>
              <w:ind w:left="132"/>
              <w:rPr>
                <w:rFonts w:ascii="Trebuchet MS"/>
                <w:b/>
                <w:sz w:val="20"/>
              </w:rPr>
            </w:pPr>
            <w:r>
              <w:rPr>
                <w:rFonts w:ascii="Trebuchet MS"/>
                <w:b/>
                <w:w w:val="90"/>
                <w:sz w:val="20"/>
              </w:rPr>
              <w:t>Liabilities</w:t>
            </w:r>
            <w:r>
              <w:rPr>
                <w:rFonts w:ascii="Trebuchet MS"/>
                <w:b/>
                <w:spacing w:val="-21"/>
                <w:w w:val="90"/>
                <w:sz w:val="20"/>
              </w:rPr>
              <w:t xml:space="preserve"> </w:t>
            </w:r>
            <w:r>
              <w:rPr>
                <w:rFonts w:ascii="Trebuchet MS"/>
                <w:b/>
                <w:w w:val="90"/>
                <w:sz w:val="20"/>
              </w:rPr>
              <w:t>to</w:t>
            </w:r>
            <w:r>
              <w:rPr>
                <w:rFonts w:ascii="Trebuchet MS"/>
                <w:b/>
                <w:spacing w:val="-20"/>
                <w:w w:val="90"/>
                <w:sz w:val="20"/>
              </w:rPr>
              <w:t xml:space="preserve"> </w:t>
            </w:r>
            <w:r>
              <w:rPr>
                <w:rFonts w:ascii="Trebuchet MS"/>
                <w:b/>
                <w:w w:val="90"/>
                <w:sz w:val="20"/>
              </w:rPr>
              <w:t>CB-A-(change)</w:t>
            </w:r>
            <w:r>
              <w:rPr>
                <w:rFonts w:ascii="Trebuchet MS"/>
                <w:b/>
                <w:w w:val="90"/>
                <w:sz w:val="20"/>
              </w:rPr>
              <w:tab/>
            </w:r>
            <w:r>
              <w:rPr>
                <w:rFonts w:ascii="Trebuchet MS"/>
                <w:b/>
                <w:color w:val="00AF50"/>
                <w:w w:val="95"/>
                <w:sz w:val="20"/>
              </w:rPr>
              <w:t>-STC1.B</w:t>
            </w:r>
            <w:r>
              <w:rPr>
                <w:rFonts w:ascii="Trebuchet MS"/>
                <w:b/>
                <w:color w:val="00AF50"/>
                <w:spacing w:val="-21"/>
                <w:w w:val="95"/>
                <w:sz w:val="20"/>
              </w:rPr>
              <w:t xml:space="preserve"> </w:t>
            </w:r>
            <w:r>
              <w:rPr>
                <w:rFonts w:ascii="Trebuchet MS"/>
                <w:b/>
                <w:color w:val="FF0000"/>
                <w:w w:val="95"/>
                <w:sz w:val="20"/>
              </w:rPr>
              <w:t>-STC2.B</w:t>
            </w:r>
          </w:p>
        </w:tc>
      </w:tr>
      <w:tr w:rsidR="00BB11D1" w:rsidTr="00BB11D1">
        <w:trPr>
          <w:trHeight w:val="244"/>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spacing w:before="4" w:line="220" w:lineRule="exact"/>
              <w:ind w:left="1501" w:right="1445"/>
              <w:jc w:val="center"/>
              <w:rPr>
                <w:rFonts w:ascii="Trebuchet MS"/>
                <w:b/>
                <w:sz w:val="20"/>
              </w:rPr>
            </w:pPr>
            <w:r>
              <w:rPr>
                <w:rFonts w:ascii="Trebuchet MS"/>
                <w:b/>
                <w:sz w:val="20"/>
              </w:rPr>
              <w:t>A - Central Bank</w:t>
            </w:r>
          </w:p>
        </w:tc>
      </w:tr>
      <w:tr w:rsidR="00BB11D1" w:rsidTr="00BB11D1">
        <w:trPr>
          <w:trHeight w:val="244"/>
        </w:trPr>
        <w:tc>
          <w:tcPr>
            <w:tcW w:w="2205" w:type="dxa"/>
            <w:tcBorders>
              <w:top w:val="single" w:sz="4" w:space="0" w:color="000000"/>
              <w:left w:val="single" w:sz="4" w:space="0" w:color="000000"/>
              <w:right w:val="nil"/>
            </w:tcBorders>
            <w:shd w:val="clear" w:color="auto" w:fill="B8CCE4" w:themeFill="accent1" w:themeFillTint="66"/>
          </w:tcPr>
          <w:p w:rsidR="00BB11D1" w:rsidRDefault="00BB11D1" w:rsidP="00451448">
            <w:pPr>
              <w:pStyle w:val="TableParagraph"/>
              <w:spacing w:before="4" w:line="220" w:lineRule="exact"/>
              <w:ind w:left="133"/>
              <w:rPr>
                <w:sz w:val="20"/>
              </w:rPr>
            </w:pPr>
            <w:r>
              <w:rPr>
                <w:sz w:val="20"/>
              </w:rPr>
              <w:t>Credit to banks</w:t>
            </w:r>
          </w:p>
        </w:tc>
        <w:tc>
          <w:tcPr>
            <w:tcW w:w="2584" w:type="dxa"/>
            <w:gridSpan w:val="2"/>
            <w:tcBorders>
              <w:top w:val="single" w:sz="4" w:space="0" w:color="000000"/>
              <w:left w:val="nil"/>
              <w:right w:val="single" w:sz="4" w:space="0" w:color="000000"/>
            </w:tcBorders>
            <w:shd w:val="clear" w:color="auto" w:fill="B8CCE4" w:themeFill="accent1" w:themeFillTint="66"/>
          </w:tcPr>
          <w:p w:rsidR="00BB11D1" w:rsidRDefault="00BB11D1" w:rsidP="00451448">
            <w:pPr>
              <w:pStyle w:val="TableParagraph"/>
              <w:spacing w:before="4" w:line="221" w:lineRule="exact"/>
              <w:ind w:left="839"/>
              <w:rPr>
                <w:rFonts w:ascii="Trebuchet MS" w:hAnsi="Trebuchet MS"/>
                <w:b/>
                <w:sz w:val="20"/>
              </w:rPr>
            </w:pPr>
            <w:r>
              <w:rPr>
                <w:rFonts w:ascii="Trebuchet MS" w:hAnsi="Trebuchet MS"/>
                <w:b/>
                <w:sz w:val="20"/>
              </w:rPr>
              <w:t xml:space="preserve">1 </w:t>
            </w:r>
            <w:r>
              <w:rPr>
                <w:rFonts w:ascii="Trebuchet MS" w:hAnsi="Trebuchet MS"/>
                <w:b/>
                <w:color w:val="00AF50"/>
                <w:sz w:val="20"/>
              </w:rPr>
              <w:t>–STC1</w:t>
            </w:r>
          </w:p>
        </w:tc>
        <w:tc>
          <w:tcPr>
            <w:tcW w:w="1563" w:type="dxa"/>
            <w:tcBorders>
              <w:top w:val="single" w:sz="4" w:space="0" w:color="000000"/>
              <w:left w:val="single" w:sz="4" w:space="0" w:color="000000"/>
              <w:right w:val="nil"/>
            </w:tcBorders>
            <w:shd w:val="clear" w:color="auto" w:fill="B8CCE4" w:themeFill="accent1" w:themeFillTint="66"/>
          </w:tcPr>
          <w:p w:rsidR="00BB11D1" w:rsidRDefault="00BB11D1" w:rsidP="00451448">
            <w:pPr>
              <w:pStyle w:val="TableParagraph"/>
              <w:spacing w:before="4" w:line="220" w:lineRule="exact"/>
              <w:ind w:left="132"/>
              <w:rPr>
                <w:sz w:val="20"/>
              </w:rPr>
            </w:pPr>
            <w:r>
              <w:rPr>
                <w:w w:val="90"/>
                <w:sz w:val="20"/>
              </w:rPr>
              <w:t>Banknotes issued</w:t>
            </w:r>
          </w:p>
        </w:tc>
        <w:tc>
          <w:tcPr>
            <w:tcW w:w="3112" w:type="dxa"/>
            <w:tcBorders>
              <w:top w:val="single" w:sz="4" w:space="0" w:color="000000"/>
              <w:left w:val="nil"/>
              <w:right w:val="single" w:sz="4" w:space="0" w:color="000000"/>
            </w:tcBorders>
            <w:shd w:val="clear" w:color="auto" w:fill="B8CCE4" w:themeFill="accent1" w:themeFillTint="66"/>
          </w:tcPr>
          <w:p w:rsidR="00BB11D1" w:rsidRDefault="00BB11D1" w:rsidP="00451448">
            <w:pPr>
              <w:pStyle w:val="TableParagraph"/>
              <w:spacing w:before="4" w:line="221" w:lineRule="exact"/>
              <w:ind w:left="981"/>
              <w:rPr>
                <w:rFonts w:ascii="Trebuchet MS"/>
                <w:b/>
                <w:sz w:val="20"/>
              </w:rPr>
            </w:pPr>
            <w:r>
              <w:rPr>
                <w:sz w:val="20"/>
              </w:rPr>
              <w:t xml:space="preserve">1 </w:t>
            </w:r>
            <w:r>
              <w:rPr>
                <w:rFonts w:ascii="Trebuchet MS"/>
                <w:b/>
                <w:color w:val="00AF50"/>
                <w:sz w:val="20"/>
              </w:rPr>
              <w:t>-STC1</w:t>
            </w:r>
          </w:p>
        </w:tc>
      </w:tr>
      <w:tr w:rsidR="00BB11D1" w:rsidTr="00451448">
        <w:trPr>
          <w:trHeight w:val="340"/>
        </w:trPr>
        <w:tc>
          <w:tcPr>
            <w:tcW w:w="9464" w:type="dxa"/>
            <w:gridSpan w:val="5"/>
            <w:tcBorders>
              <w:left w:val="single" w:sz="34" w:space="0" w:color="000000"/>
              <w:bottom w:val="single" w:sz="4" w:space="0" w:color="000000"/>
            </w:tcBorders>
            <w:shd w:val="clear" w:color="auto" w:fill="FFFF00"/>
          </w:tcPr>
          <w:p w:rsidR="00BB11D1" w:rsidRDefault="00BB11D1" w:rsidP="00451448">
            <w:pPr>
              <w:pStyle w:val="TableParagraph"/>
              <w:spacing w:before="4"/>
              <w:ind w:left="1578" w:right="1538"/>
              <w:jc w:val="center"/>
              <w:rPr>
                <w:rFonts w:ascii="Trebuchet MS" w:hAnsi="Trebuchet MS"/>
                <w:b/>
                <w:sz w:val="20"/>
              </w:rPr>
            </w:pPr>
            <w:r>
              <w:rPr>
                <w:rFonts w:ascii="Trebuchet MS" w:hAnsi="Trebuchet MS"/>
                <w:b/>
                <w:sz w:val="20"/>
              </w:rPr>
              <w:t xml:space="preserve">Global stable coin issuing vehicle </w:t>
            </w:r>
            <w:r>
              <w:rPr>
                <w:rFonts w:ascii="Trebuchet MS" w:hAnsi="Trebuchet MS"/>
                <w:b/>
                <w:w w:val="105"/>
                <w:sz w:val="20"/>
              </w:rPr>
              <w:t xml:space="preserve">– </w:t>
            </w:r>
            <w:r>
              <w:rPr>
                <w:rFonts w:ascii="Trebuchet MS" w:hAnsi="Trebuchet MS"/>
                <w:b/>
                <w:sz w:val="20"/>
              </w:rPr>
              <w:t>holding reserves only in A-Land</w:t>
            </w:r>
          </w:p>
        </w:tc>
      </w:tr>
      <w:tr w:rsidR="00BB11D1" w:rsidTr="00451448">
        <w:trPr>
          <w:trHeight w:val="441"/>
        </w:trPr>
        <w:tc>
          <w:tcPr>
            <w:tcW w:w="4616" w:type="dxa"/>
            <w:gridSpan w:val="2"/>
            <w:tcBorders>
              <w:top w:val="single" w:sz="4" w:space="0" w:color="000000"/>
              <w:left w:val="single" w:sz="34" w:space="0" w:color="000000"/>
              <w:right w:val="single" w:sz="4" w:space="0" w:color="000000"/>
            </w:tcBorders>
            <w:shd w:val="clear" w:color="auto" w:fill="FFFF00"/>
          </w:tcPr>
          <w:p w:rsidR="00BB11D1" w:rsidRDefault="00BB11D1" w:rsidP="00451448">
            <w:pPr>
              <w:pStyle w:val="TableParagraph"/>
              <w:spacing w:before="3"/>
              <w:ind w:left="95"/>
              <w:rPr>
                <w:sz w:val="18"/>
              </w:rPr>
            </w:pPr>
            <w:r>
              <w:rPr>
                <w:rFonts w:ascii="Trebuchet MS" w:hAnsi="Trebuchet MS"/>
                <w:b/>
                <w:w w:val="90"/>
                <w:sz w:val="18"/>
              </w:rPr>
              <w:t xml:space="preserve">Deposits with A-banks </w:t>
            </w:r>
            <w:r>
              <w:rPr>
                <w:b/>
                <w:w w:val="90"/>
                <w:sz w:val="18"/>
              </w:rPr>
              <w:t>α(</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18"/>
              </w:rPr>
              <w:t>)</w:t>
            </w:r>
          </w:p>
          <w:p w:rsidR="00BB11D1" w:rsidRDefault="00BB11D1" w:rsidP="00451448">
            <w:pPr>
              <w:pStyle w:val="TableParagraph"/>
              <w:spacing w:before="12" w:line="197" w:lineRule="exact"/>
              <w:ind w:left="95"/>
              <w:rPr>
                <w:sz w:val="18"/>
              </w:rPr>
            </w:pPr>
            <w:r>
              <w:rPr>
                <w:rFonts w:ascii="Trebuchet MS" w:hAnsi="Trebuchet MS"/>
                <w:b/>
                <w:w w:val="90"/>
                <w:sz w:val="18"/>
              </w:rPr>
              <w:t>Government bonds (1-</w:t>
            </w:r>
            <w:r>
              <w:rPr>
                <w:b/>
                <w:w w:val="90"/>
                <w:sz w:val="18"/>
              </w:rPr>
              <w:t>α)</w:t>
            </w:r>
            <w:r>
              <w:rPr>
                <w:w w:val="90"/>
                <w:sz w:val="18"/>
              </w:rPr>
              <w:t xml:space="preserve">( </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18"/>
              </w:rPr>
              <w:t>)</w:t>
            </w:r>
          </w:p>
        </w:tc>
        <w:tc>
          <w:tcPr>
            <w:tcW w:w="1736" w:type="dxa"/>
            <w:gridSpan w:val="2"/>
            <w:tcBorders>
              <w:top w:val="single" w:sz="4" w:space="0" w:color="000000"/>
              <w:left w:val="single" w:sz="4" w:space="0" w:color="000000"/>
              <w:right w:val="nil"/>
            </w:tcBorders>
            <w:shd w:val="clear" w:color="auto" w:fill="FFFF00"/>
          </w:tcPr>
          <w:p w:rsidR="00BB11D1" w:rsidRDefault="00BB11D1" w:rsidP="00451448">
            <w:pPr>
              <w:pStyle w:val="TableParagraph"/>
              <w:spacing w:before="3"/>
              <w:ind w:left="163"/>
              <w:rPr>
                <w:rFonts w:ascii="Trebuchet MS"/>
                <w:b/>
                <w:sz w:val="18"/>
              </w:rPr>
            </w:pPr>
            <w:r>
              <w:rPr>
                <w:rFonts w:ascii="Trebuchet MS"/>
                <w:b/>
                <w:sz w:val="18"/>
              </w:rPr>
              <w:t>STC issued</w:t>
            </w:r>
          </w:p>
        </w:tc>
        <w:tc>
          <w:tcPr>
            <w:tcW w:w="3112" w:type="dxa"/>
            <w:tcBorders>
              <w:top w:val="single" w:sz="4" w:space="0" w:color="000000"/>
              <w:left w:val="nil"/>
            </w:tcBorders>
            <w:shd w:val="clear" w:color="auto" w:fill="FFFF00"/>
          </w:tcPr>
          <w:p w:rsidR="00BB11D1" w:rsidRDefault="00BB11D1" w:rsidP="00451448">
            <w:pPr>
              <w:pStyle w:val="TableParagraph"/>
              <w:spacing w:before="3"/>
              <w:ind w:left="69"/>
              <w:rPr>
                <w:rFonts w:ascii="Trebuchet MS"/>
                <w:b/>
                <w:sz w:val="18"/>
              </w:rPr>
            </w:pPr>
            <w:r>
              <w:rPr>
                <w:rFonts w:ascii="Trebuchet MS"/>
                <w:b/>
                <w:color w:val="00AF50"/>
                <w:w w:val="95"/>
                <w:sz w:val="18"/>
              </w:rPr>
              <w:t xml:space="preserve">STC1.A+STC1.B </w:t>
            </w:r>
            <w:r>
              <w:rPr>
                <w:rFonts w:ascii="Trebuchet MS"/>
                <w:b/>
                <w:color w:val="FF0000"/>
                <w:w w:val="95"/>
                <w:sz w:val="18"/>
              </w:rPr>
              <w:t>+STC2.A+STC2.B</w:t>
            </w:r>
          </w:p>
        </w:tc>
      </w:tr>
      <w:tr w:rsidR="00BB11D1" w:rsidTr="00BB11D1">
        <w:trPr>
          <w:trHeight w:val="242"/>
        </w:trPr>
        <w:tc>
          <w:tcPr>
            <w:tcW w:w="9464" w:type="dxa"/>
            <w:gridSpan w:val="5"/>
            <w:tcBorders>
              <w:left w:val="single" w:sz="4" w:space="0" w:color="000000"/>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2" w:line="220" w:lineRule="exact"/>
              <w:ind w:left="1501" w:right="1445"/>
              <w:jc w:val="center"/>
              <w:rPr>
                <w:rFonts w:ascii="Trebuchet MS"/>
                <w:b/>
                <w:sz w:val="20"/>
              </w:rPr>
            </w:pPr>
            <w:r>
              <w:rPr>
                <w:rFonts w:ascii="Trebuchet MS"/>
                <w:b/>
                <w:sz w:val="20"/>
              </w:rPr>
              <w:t>B - Commercial Banks</w:t>
            </w:r>
          </w:p>
        </w:tc>
      </w:tr>
      <w:tr w:rsidR="00BB11D1" w:rsidTr="00BB11D1">
        <w:trPr>
          <w:trHeight w:val="264"/>
        </w:trPr>
        <w:tc>
          <w:tcPr>
            <w:tcW w:w="2205" w:type="dxa"/>
            <w:tcBorders>
              <w:top w:val="single" w:sz="4" w:space="0" w:color="000000"/>
              <w:left w:val="single" w:sz="4" w:space="0" w:color="000000"/>
              <w:bottom w:val="nil"/>
              <w:right w:val="nil"/>
            </w:tcBorders>
            <w:shd w:val="clear" w:color="auto" w:fill="E5B8B7" w:themeFill="accent2" w:themeFillTint="66"/>
          </w:tcPr>
          <w:p w:rsidR="00BB11D1" w:rsidRDefault="00BB11D1" w:rsidP="00451448">
            <w:pPr>
              <w:pStyle w:val="TableParagraph"/>
              <w:spacing w:before="4"/>
              <w:ind w:left="133"/>
              <w:rPr>
                <w:sz w:val="20"/>
              </w:rPr>
            </w:pPr>
            <w:r>
              <w:rPr>
                <w:sz w:val="20"/>
              </w:rPr>
              <w:t>Loans to corporates</w:t>
            </w:r>
          </w:p>
        </w:tc>
        <w:tc>
          <w:tcPr>
            <w:tcW w:w="2411" w:type="dxa"/>
            <w:tcBorders>
              <w:top w:val="single" w:sz="4" w:space="0" w:color="000000"/>
              <w:left w:val="nil"/>
              <w:bottom w:val="nil"/>
              <w:right w:val="single" w:sz="4" w:space="0" w:color="000000"/>
            </w:tcBorders>
            <w:shd w:val="clear" w:color="auto" w:fill="E5B8B7" w:themeFill="accent2" w:themeFillTint="66"/>
          </w:tcPr>
          <w:p w:rsidR="00BB11D1" w:rsidRDefault="00BB11D1" w:rsidP="00451448">
            <w:pPr>
              <w:pStyle w:val="TableParagraph"/>
              <w:spacing w:before="4"/>
              <w:ind w:left="1041"/>
              <w:rPr>
                <w:sz w:val="20"/>
              </w:rPr>
            </w:pPr>
            <w:r>
              <w:rPr>
                <w:w w:val="90"/>
                <w:sz w:val="20"/>
              </w:rPr>
              <w:t>8</w:t>
            </w:r>
          </w:p>
        </w:tc>
        <w:tc>
          <w:tcPr>
            <w:tcW w:w="1736" w:type="dxa"/>
            <w:gridSpan w:val="2"/>
            <w:tcBorders>
              <w:top w:val="single" w:sz="4" w:space="0" w:color="000000"/>
              <w:left w:val="single" w:sz="4" w:space="0" w:color="000000"/>
              <w:bottom w:val="nil"/>
              <w:right w:val="nil"/>
            </w:tcBorders>
            <w:shd w:val="clear" w:color="auto" w:fill="E5B8B7" w:themeFill="accent2" w:themeFillTint="66"/>
          </w:tcPr>
          <w:p w:rsidR="00BB11D1" w:rsidRDefault="00BB11D1" w:rsidP="00451448">
            <w:pPr>
              <w:pStyle w:val="TableParagraph"/>
              <w:spacing w:before="4"/>
              <w:ind w:left="117"/>
              <w:rPr>
                <w:sz w:val="20"/>
              </w:rPr>
            </w:pPr>
            <w:r>
              <w:rPr>
                <w:sz w:val="20"/>
              </w:rPr>
              <w:t>Sight deposits</w:t>
            </w:r>
          </w:p>
        </w:tc>
        <w:tc>
          <w:tcPr>
            <w:tcW w:w="3112" w:type="dxa"/>
            <w:tcBorders>
              <w:top w:val="single" w:sz="4" w:space="0" w:color="000000"/>
              <w:left w:val="nil"/>
              <w:bottom w:val="nil"/>
              <w:right w:val="single" w:sz="4" w:space="0" w:color="000000"/>
            </w:tcBorders>
            <w:shd w:val="clear" w:color="auto" w:fill="E5B8B7" w:themeFill="accent2" w:themeFillTint="66"/>
          </w:tcPr>
          <w:p w:rsidR="00BB11D1" w:rsidRDefault="00BB11D1" w:rsidP="00451448">
            <w:pPr>
              <w:pStyle w:val="TableParagraph"/>
              <w:spacing w:before="4"/>
              <w:ind w:left="427"/>
              <w:rPr>
                <w:rFonts w:ascii="Trebuchet MS" w:hAnsi="Trebuchet MS"/>
                <w:b/>
                <w:sz w:val="20"/>
              </w:rPr>
            </w:pPr>
            <w:r>
              <w:rPr>
                <w:sz w:val="20"/>
              </w:rPr>
              <w:t xml:space="preserve">7 </w:t>
            </w:r>
            <w:r>
              <w:rPr>
                <w:rFonts w:ascii="Trebuchet MS" w:hAnsi="Trebuchet MS"/>
                <w:b/>
                <w:color w:val="FF0000"/>
                <w:sz w:val="20"/>
              </w:rPr>
              <w:t>–STC2.B</w:t>
            </w:r>
          </w:p>
        </w:tc>
      </w:tr>
      <w:tr w:rsidR="00BB11D1" w:rsidTr="00BB11D1">
        <w:trPr>
          <w:trHeight w:val="244"/>
        </w:trPr>
        <w:tc>
          <w:tcPr>
            <w:tcW w:w="2205" w:type="dxa"/>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Loans to government</w:t>
            </w:r>
          </w:p>
        </w:tc>
        <w:tc>
          <w:tcPr>
            <w:tcW w:w="2411"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1019"/>
              <w:rPr>
                <w:sz w:val="20"/>
              </w:rPr>
            </w:pPr>
            <w:r>
              <w:rPr>
                <w:w w:val="90"/>
                <w:sz w:val="20"/>
              </w:rPr>
              <w:t>2</w:t>
            </w:r>
          </w:p>
        </w:tc>
        <w:tc>
          <w:tcPr>
            <w:tcW w:w="4848" w:type="dxa"/>
            <w:gridSpan w:val="3"/>
            <w:tcBorders>
              <w:top w:val="nil"/>
              <w:left w:val="single" w:sz="4" w:space="0" w:color="000000"/>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117"/>
              <w:rPr>
                <w:sz w:val="20"/>
              </w:rPr>
            </w:pPr>
            <w:r>
              <w:rPr>
                <w:sz w:val="20"/>
              </w:rPr>
              <w:t>Savings + time deposits 5</w:t>
            </w:r>
          </w:p>
        </w:tc>
      </w:tr>
      <w:tr w:rsidR="00BB11D1" w:rsidTr="00BB11D1">
        <w:trPr>
          <w:trHeight w:val="243"/>
        </w:trPr>
        <w:tc>
          <w:tcPr>
            <w:tcW w:w="2205" w:type="dxa"/>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Loans to HH</w:t>
            </w:r>
          </w:p>
        </w:tc>
        <w:tc>
          <w:tcPr>
            <w:tcW w:w="2411"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1043"/>
              <w:rPr>
                <w:sz w:val="20"/>
              </w:rPr>
            </w:pPr>
            <w:r>
              <w:rPr>
                <w:w w:val="90"/>
                <w:sz w:val="20"/>
              </w:rPr>
              <w:t>5</w:t>
            </w:r>
          </w:p>
        </w:tc>
        <w:tc>
          <w:tcPr>
            <w:tcW w:w="1736" w:type="dxa"/>
            <w:gridSpan w:val="2"/>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5" w:lineRule="exact"/>
              <w:ind w:left="117"/>
              <w:rPr>
                <w:sz w:val="20"/>
              </w:rPr>
            </w:pPr>
            <w:r>
              <w:rPr>
                <w:sz w:val="20"/>
              </w:rPr>
              <w:t>Bonds issued</w:t>
            </w:r>
          </w:p>
        </w:tc>
        <w:tc>
          <w:tcPr>
            <w:tcW w:w="3112"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443"/>
              <w:rPr>
                <w:sz w:val="20"/>
              </w:rPr>
            </w:pPr>
            <w:r>
              <w:rPr>
                <w:w w:val="90"/>
                <w:sz w:val="20"/>
              </w:rPr>
              <w:t>4</w:t>
            </w:r>
          </w:p>
        </w:tc>
      </w:tr>
      <w:tr w:rsidR="00BB11D1" w:rsidTr="00BB11D1">
        <w:trPr>
          <w:trHeight w:val="243"/>
        </w:trPr>
        <w:tc>
          <w:tcPr>
            <w:tcW w:w="2205" w:type="dxa"/>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3" w:lineRule="exact"/>
              <w:ind w:left="133"/>
              <w:rPr>
                <w:sz w:val="20"/>
              </w:rPr>
            </w:pPr>
            <w:r>
              <w:rPr>
                <w:sz w:val="20"/>
              </w:rPr>
              <w:t>Corp/gvt bonds</w:t>
            </w:r>
          </w:p>
        </w:tc>
        <w:tc>
          <w:tcPr>
            <w:tcW w:w="2411"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3" w:lineRule="exact"/>
              <w:ind w:left="1050"/>
              <w:rPr>
                <w:sz w:val="20"/>
              </w:rPr>
            </w:pPr>
            <w:r>
              <w:rPr>
                <w:w w:val="90"/>
                <w:sz w:val="20"/>
              </w:rPr>
              <w:t>5</w:t>
            </w:r>
          </w:p>
        </w:tc>
        <w:tc>
          <w:tcPr>
            <w:tcW w:w="1736" w:type="dxa"/>
            <w:gridSpan w:val="2"/>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3" w:lineRule="exact"/>
              <w:ind w:left="117"/>
              <w:rPr>
                <w:sz w:val="20"/>
              </w:rPr>
            </w:pPr>
            <w:r>
              <w:rPr>
                <w:sz w:val="20"/>
              </w:rPr>
              <w:t>Equity</w:t>
            </w:r>
          </w:p>
        </w:tc>
        <w:tc>
          <w:tcPr>
            <w:tcW w:w="3112"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3" w:lineRule="exact"/>
              <w:ind w:left="439"/>
              <w:rPr>
                <w:sz w:val="20"/>
              </w:rPr>
            </w:pPr>
            <w:r>
              <w:rPr>
                <w:w w:val="90"/>
                <w:sz w:val="20"/>
              </w:rPr>
              <w:t>3</w:t>
            </w:r>
          </w:p>
        </w:tc>
      </w:tr>
      <w:tr w:rsidR="00BB11D1" w:rsidTr="00BB11D1">
        <w:trPr>
          <w:trHeight w:val="224"/>
        </w:trPr>
        <w:tc>
          <w:tcPr>
            <w:tcW w:w="2205" w:type="dxa"/>
            <w:tcBorders>
              <w:top w:val="nil"/>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line="205" w:lineRule="exact"/>
              <w:ind w:left="133"/>
              <w:rPr>
                <w:sz w:val="20"/>
              </w:rPr>
            </w:pPr>
            <w:r>
              <w:rPr>
                <w:sz w:val="20"/>
              </w:rPr>
              <w:t>Central bank deposits</w:t>
            </w:r>
          </w:p>
        </w:tc>
        <w:tc>
          <w:tcPr>
            <w:tcW w:w="2411" w:type="dxa"/>
            <w:tcBorders>
              <w:top w:val="nil"/>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line="205" w:lineRule="exact"/>
              <w:ind w:left="1055"/>
              <w:rPr>
                <w:sz w:val="20"/>
              </w:rPr>
            </w:pPr>
            <w:r>
              <w:rPr>
                <w:w w:val="90"/>
                <w:sz w:val="20"/>
              </w:rPr>
              <w:t>0</w:t>
            </w:r>
          </w:p>
        </w:tc>
        <w:tc>
          <w:tcPr>
            <w:tcW w:w="1736" w:type="dxa"/>
            <w:gridSpan w:val="2"/>
            <w:tcBorders>
              <w:top w:val="nil"/>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line="205" w:lineRule="exact"/>
              <w:ind w:left="117"/>
              <w:rPr>
                <w:sz w:val="20"/>
              </w:rPr>
            </w:pPr>
            <w:r>
              <w:rPr>
                <w:w w:val="95"/>
                <w:sz w:val="20"/>
              </w:rPr>
              <w:t>Central bank credit</w:t>
            </w:r>
          </w:p>
        </w:tc>
        <w:tc>
          <w:tcPr>
            <w:tcW w:w="3112" w:type="dxa"/>
            <w:tcBorders>
              <w:top w:val="nil"/>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line="205" w:lineRule="exact"/>
              <w:ind w:left="436"/>
              <w:rPr>
                <w:rFonts w:ascii="Trebuchet MS"/>
                <w:b/>
                <w:sz w:val="20"/>
              </w:rPr>
            </w:pPr>
            <w:r>
              <w:rPr>
                <w:sz w:val="20"/>
              </w:rPr>
              <w:t xml:space="preserve">1 </w:t>
            </w:r>
            <w:r>
              <w:rPr>
                <w:rFonts w:ascii="Trebuchet MS"/>
                <w:b/>
                <w:color w:val="FF0000"/>
                <w:sz w:val="20"/>
              </w:rPr>
              <w:t>+STC2.B</w:t>
            </w:r>
          </w:p>
        </w:tc>
      </w:tr>
      <w:tr w:rsidR="00BB11D1" w:rsidTr="00BB11D1">
        <w:trPr>
          <w:trHeight w:val="244"/>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4" w:line="220" w:lineRule="exact"/>
              <w:ind w:left="1501" w:right="1443"/>
              <w:jc w:val="center"/>
              <w:rPr>
                <w:rFonts w:ascii="Trebuchet MS"/>
                <w:b/>
                <w:sz w:val="20"/>
              </w:rPr>
            </w:pPr>
            <w:r>
              <w:rPr>
                <w:rFonts w:ascii="Trebuchet MS"/>
                <w:b/>
                <w:sz w:val="20"/>
              </w:rPr>
              <w:t>B - Central Bank</w:t>
            </w:r>
          </w:p>
        </w:tc>
      </w:tr>
      <w:tr w:rsidR="00BB11D1" w:rsidTr="00BB11D1">
        <w:trPr>
          <w:trHeight w:val="489"/>
        </w:trPr>
        <w:tc>
          <w:tcPr>
            <w:tcW w:w="2205" w:type="dxa"/>
            <w:tcBorders>
              <w:top w:val="single" w:sz="4" w:space="0" w:color="000000"/>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before="4"/>
              <w:ind w:left="133"/>
              <w:rPr>
                <w:rFonts w:ascii="Trebuchet MS"/>
                <w:b/>
                <w:sz w:val="20"/>
              </w:rPr>
            </w:pPr>
            <w:r>
              <w:rPr>
                <w:rFonts w:ascii="Trebuchet MS"/>
                <w:b/>
                <w:w w:val="95"/>
                <w:sz w:val="20"/>
              </w:rPr>
              <w:t>FX reserves (change)</w:t>
            </w:r>
          </w:p>
          <w:p w:rsidR="00BB11D1" w:rsidRDefault="00BB11D1" w:rsidP="00451448">
            <w:pPr>
              <w:pStyle w:val="TableParagraph"/>
              <w:spacing w:before="12" w:line="220" w:lineRule="exact"/>
              <w:ind w:left="133"/>
              <w:rPr>
                <w:sz w:val="20"/>
              </w:rPr>
            </w:pPr>
            <w:r>
              <w:rPr>
                <w:sz w:val="20"/>
              </w:rPr>
              <w:t>Credit to banks</w:t>
            </w:r>
          </w:p>
        </w:tc>
        <w:tc>
          <w:tcPr>
            <w:tcW w:w="2411" w:type="dxa"/>
            <w:tcBorders>
              <w:top w:val="single" w:sz="4" w:space="0" w:color="000000"/>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4"/>
              <w:ind w:right="742"/>
              <w:jc w:val="right"/>
              <w:rPr>
                <w:rFonts w:ascii="Trebuchet MS"/>
                <w:b/>
                <w:sz w:val="20"/>
              </w:rPr>
            </w:pPr>
            <w:r>
              <w:rPr>
                <w:rFonts w:ascii="Trebuchet MS"/>
                <w:b/>
                <w:color w:val="00AF50"/>
                <w:w w:val="85"/>
                <w:sz w:val="20"/>
              </w:rPr>
              <w:t>-STC1.B</w:t>
            </w:r>
            <w:r>
              <w:rPr>
                <w:rFonts w:ascii="Trebuchet MS"/>
                <w:b/>
                <w:color w:val="00AF50"/>
                <w:spacing w:val="-3"/>
                <w:w w:val="85"/>
                <w:sz w:val="20"/>
              </w:rPr>
              <w:t xml:space="preserve"> </w:t>
            </w:r>
            <w:r>
              <w:rPr>
                <w:rFonts w:ascii="Trebuchet MS"/>
                <w:b/>
                <w:color w:val="FF0000"/>
                <w:w w:val="85"/>
                <w:sz w:val="20"/>
              </w:rPr>
              <w:t>-STC2.B</w:t>
            </w:r>
          </w:p>
          <w:p w:rsidR="00BB11D1" w:rsidRDefault="00BB11D1" w:rsidP="00451448">
            <w:pPr>
              <w:pStyle w:val="TableParagraph"/>
              <w:spacing w:before="12" w:line="220" w:lineRule="exact"/>
              <w:ind w:right="756"/>
              <w:jc w:val="right"/>
              <w:rPr>
                <w:rFonts w:ascii="Trebuchet MS"/>
                <w:b/>
                <w:sz w:val="20"/>
              </w:rPr>
            </w:pPr>
            <w:r>
              <w:rPr>
                <w:rFonts w:ascii="Trebuchet MS"/>
                <w:b/>
                <w:w w:val="85"/>
                <w:sz w:val="20"/>
              </w:rPr>
              <w:t>1</w:t>
            </w:r>
            <w:r>
              <w:rPr>
                <w:rFonts w:ascii="Trebuchet MS"/>
                <w:b/>
                <w:spacing w:val="-5"/>
                <w:w w:val="85"/>
                <w:sz w:val="20"/>
              </w:rPr>
              <w:t xml:space="preserve"> </w:t>
            </w:r>
            <w:r>
              <w:rPr>
                <w:rFonts w:ascii="Trebuchet MS"/>
                <w:b/>
                <w:color w:val="FF0000"/>
                <w:w w:val="85"/>
                <w:sz w:val="20"/>
              </w:rPr>
              <w:t>+STC2.B</w:t>
            </w:r>
          </w:p>
        </w:tc>
        <w:tc>
          <w:tcPr>
            <w:tcW w:w="1736" w:type="dxa"/>
            <w:gridSpan w:val="2"/>
            <w:tcBorders>
              <w:top w:val="single" w:sz="4" w:space="0" w:color="000000"/>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before="4"/>
              <w:ind w:left="117"/>
              <w:rPr>
                <w:sz w:val="20"/>
              </w:rPr>
            </w:pPr>
            <w:r>
              <w:rPr>
                <w:sz w:val="20"/>
              </w:rPr>
              <w:t>Banknotes issued</w:t>
            </w:r>
          </w:p>
        </w:tc>
        <w:tc>
          <w:tcPr>
            <w:tcW w:w="3112" w:type="dxa"/>
            <w:tcBorders>
              <w:top w:val="single" w:sz="4" w:space="0" w:color="000000"/>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4"/>
              <w:ind w:left="794"/>
              <w:rPr>
                <w:rFonts w:ascii="Trebuchet MS"/>
                <w:b/>
                <w:sz w:val="20"/>
              </w:rPr>
            </w:pPr>
            <w:r>
              <w:rPr>
                <w:sz w:val="20"/>
              </w:rPr>
              <w:t xml:space="preserve">1 </w:t>
            </w:r>
            <w:r>
              <w:rPr>
                <w:rFonts w:ascii="Trebuchet MS"/>
                <w:b/>
                <w:color w:val="00AF50"/>
                <w:sz w:val="20"/>
              </w:rPr>
              <w:t>-STC1.B</w:t>
            </w:r>
          </w:p>
        </w:tc>
      </w:tr>
    </w:tbl>
    <w:p w:rsidR="000255A4" w:rsidRPr="00BB11D1" w:rsidRDefault="000255A4" w:rsidP="006A2441">
      <w:pPr>
        <w:bidi/>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9"/>
        <w:rPr>
          <w:rFonts w:asciiTheme="majorBidi" w:hAnsiTheme="majorBidi" w:cstheme="majorBidi"/>
          <w:i/>
          <w:sz w:val="25"/>
        </w:rPr>
      </w:pPr>
    </w:p>
    <w:p w:rsidR="00BB11D1" w:rsidRPr="00BB11D1" w:rsidRDefault="00BB11D1" w:rsidP="00BB11D1">
      <w:pPr>
        <w:bidi/>
        <w:spacing w:before="96" w:line="480" w:lineRule="auto"/>
        <w:ind w:left="272"/>
        <w:jc w:val="both"/>
        <w:rPr>
          <w:rFonts w:asciiTheme="majorBidi" w:hAnsiTheme="majorBidi" w:cstheme="majorBidi"/>
          <w:b/>
          <w:bCs/>
          <w:color w:val="003199"/>
          <w:sz w:val="20"/>
          <w:szCs w:val="20"/>
          <w:lang w:bidi="ar-SA"/>
        </w:rPr>
      </w:pPr>
      <w:bookmarkStart w:id="22" w:name="Acknowledgements_&amp;_Imprint"/>
      <w:bookmarkEnd w:id="22"/>
      <w:r w:rsidRPr="00BB11D1">
        <w:rPr>
          <w:rFonts w:asciiTheme="majorBidi" w:hAnsiTheme="majorBidi" w:cstheme="majorBidi"/>
          <w:b/>
          <w:bCs/>
          <w:color w:val="003199"/>
          <w:sz w:val="20"/>
          <w:szCs w:val="20"/>
          <w:rtl/>
          <w:lang w:bidi="ar-SA"/>
        </w:rPr>
        <w:t>شكر وتقدير</w:t>
      </w:r>
    </w:p>
    <w:p w:rsidR="00BB11D1" w:rsidRPr="00BB11D1" w:rsidRDefault="00BB11D1" w:rsidP="00BB11D1">
      <w:pPr>
        <w:pStyle w:val="BodyText"/>
        <w:bidi/>
        <w:spacing w:line="480" w:lineRule="auto"/>
        <w:jc w:val="both"/>
        <w:rPr>
          <w:rFonts w:asciiTheme="majorBidi" w:hAnsiTheme="majorBidi" w:cstheme="majorBidi"/>
          <w:sz w:val="20"/>
          <w:szCs w:val="20"/>
        </w:rPr>
      </w:pPr>
      <w:r w:rsidRPr="00BB11D1">
        <w:rPr>
          <w:rFonts w:asciiTheme="majorBidi" w:hAnsiTheme="majorBidi" w:cs="Times New Roman"/>
          <w:sz w:val="20"/>
          <w:szCs w:val="20"/>
          <w:rtl/>
          <w:lang w:bidi="ar-SA"/>
        </w:rPr>
        <w:t>الآراء المعبر عنها في هذه الورقة هي رأيي ، وليست بالضرورة آراء البنك المركزي الأوروبي. أود أن أشكر تعليقاتهم المفيدة ليا بيتر ، ديرك بولمان ، بينوا كوري ، فرانك هاينمان ، ريمو يوكس ، مايكل كومهوف ، كلير نون ، فيليب كونيج ، مارتين سمر ،</w:t>
      </w:r>
      <w:r>
        <w:rPr>
          <w:rFonts w:asciiTheme="majorBidi" w:hAnsiTheme="majorBidi" w:cs="Times New Roman"/>
          <w:sz w:val="20"/>
          <w:szCs w:val="20"/>
          <w:rtl/>
          <w:lang w:bidi="ar-SA"/>
        </w:rPr>
        <w:t xml:space="preserve"> جينس تابكينج ، كلوديا شونيفيلد</w:t>
      </w:r>
      <w:r w:rsidRPr="00BB11D1">
        <w:rPr>
          <w:rFonts w:asciiTheme="majorBidi" w:hAnsiTheme="majorBidi" w:cs="Times New Roman"/>
          <w:sz w:val="20"/>
          <w:szCs w:val="20"/>
          <w:rtl/>
          <w:lang w:bidi="ar-SA"/>
        </w:rPr>
        <w:t xml:space="preserve">، فابريزيو زينارو ، المشاركون في الدورة 46 مؤتمر </w:t>
      </w:r>
      <w:r w:rsidRPr="00BB11D1">
        <w:rPr>
          <w:rFonts w:asciiTheme="majorBidi" w:hAnsiTheme="majorBidi" w:cstheme="majorBidi"/>
          <w:sz w:val="20"/>
          <w:szCs w:val="20"/>
        </w:rPr>
        <w:t>OeNB</w:t>
      </w:r>
      <w:r w:rsidRPr="00BB11D1">
        <w:rPr>
          <w:rFonts w:asciiTheme="majorBidi" w:hAnsiTheme="majorBidi" w:cs="Times New Roman"/>
          <w:sz w:val="20"/>
          <w:szCs w:val="20"/>
          <w:rtl/>
          <w:lang w:bidi="ar-SA"/>
        </w:rPr>
        <w:t xml:space="preserve"> بالتعاون مع </w:t>
      </w:r>
      <w:r w:rsidRPr="00BB11D1">
        <w:rPr>
          <w:rFonts w:asciiTheme="majorBidi" w:hAnsiTheme="majorBidi" w:cstheme="majorBidi"/>
          <w:sz w:val="20"/>
          <w:szCs w:val="20"/>
        </w:rPr>
        <w:t>SUERF</w:t>
      </w:r>
      <w:r w:rsidRPr="00BB11D1">
        <w:rPr>
          <w:rFonts w:asciiTheme="majorBidi" w:hAnsiTheme="majorBidi" w:cs="Times New Roman"/>
          <w:sz w:val="20"/>
          <w:szCs w:val="20"/>
          <w:rtl/>
          <w:lang w:bidi="ar-SA"/>
        </w:rPr>
        <w:t xml:space="preserve"> في 2/3 مايو في فيينا ، والمشاركون في مؤتمر حول مستقبل المصرفية المركزية في </w:t>
      </w:r>
      <w:r w:rsidRPr="00BB11D1">
        <w:rPr>
          <w:rFonts w:asciiTheme="majorBidi" w:hAnsiTheme="majorBidi" w:cstheme="majorBidi"/>
          <w:sz w:val="20"/>
          <w:szCs w:val="20"/>
        </w:rPr>
        <w:t>Talloires</w:t>
      </w:r>
      <w:r w:rsidRPr="00BB11D1">
        <w:rPr>
          <w:rFonts w:asciiTheme="majorBidi" w:hAnsiTheme="majorBidi" w:cs="Times New Roman"/>
          <w:sz w:val="20"/>
          <w:szCs w:val="20"/>
          <w:rtl/>
          <w:lang w:bidi="ar-SA"/>
        </w:rPr>
        <w:t xml:space="preserve"> / فرنسا في 26 مايو 2019 ، والمشاركين في الاجتماع السنوي لل </w:t>
      </w:r>
      <w:r w:rsidRPr="00BB11D1">
        <w:rPr>
          <w:rFonts w:asciiTheme="majorBidi" w:hAnsiTheme="majorBidi" w:cstheme="majorBidi"/>
          <w:sz w:val="20"/>
          <w:szCs w:val="20"/>
        </w:rPr>
        <w:t>eV</w:t>
      </w:r>
      <w:r w:rsidRPr="00BB11D1">
        <w:rPr>
          <w:rFonts w:asciiTheme="majorBidi" w:hAnsiTheme="majorBidi" w:cs="Times New Roman"/>
          <w:sz w:val="20"/>
          <w:szCs w:val="20"/>
          <w:rtl/>
          <w:lang w:bidi="ar-SA"/>
        </w:rPr>
        <w:t xml:space="preserve"> النقدية في فرانكفورت في 23 نوفمبر 2019 ، وكذلك أعضاء لجنة عمليات السوق في البنك المركزي الأوروبي. بالطبع ، كل الأخطاء المتبقية هي لي.</w:t>
      </w:r>
    </w:p>
    <w:p w:rsidR="00BB11D1" w:rsidRPr="00BB11D1" w:rsidRDefault="00BB11D1" w:rsidP="00BB11D1">
      <w:pPr>
        <w:pStyle w:val="BodyText"/>
        <w:bidi/>
        <w:spacing w:line="480" w:lineRule="auto"/>
        <w:jc w:val="both"/>
        <w:rPr>
          <w:rFonts w:asciiTheme="majorBidi" w:hAnsiTheme="majorBidi" w:cstheme="majorBidi"/>
          <w:sz w:val="20"/>
          <w:szCs w:val="20"/>
        </w:rPr>
      </w:pPr>
    </w:p>
    <w:p w:rsidR="00BB11D1" w:rsidRPr="00BB11D1" w:rsidRDefault="00BB11D1" w:rsidP="00BB11D1">
      <w:pPr>
        <w:pStyle w:val="BodyText"/>
        <w:bidi/>
        <w:spacing w:line="480" w:lineRule="auto"/>
        <w:jc w:val="both"/>
        <w:rPr>
          <w:rFonts w:asciiTheme="majorBidi" w:hAnsiTheme="majorBidi" w:cstheme="majorBidi"/>
          <w:sz w:val="20"/>
          <w:szCs w:val="20"/>
        </w:rPr>
      </w:pPr>
      <w:r w:rsidRPr="00BB11D1">
        <w:rPr>
          <w:rFonts w:asciiTheme="majorBidi" w:hAnsiTheme="majorBidi" w:cs="Times New Roman"/>
          <w:sz w:val="20"/>
          <w:szCs w:val="20"/>
          <w:rtl/>
          <w:lang w:bidi="ar-SA"/>
        </w:rPr>
        <w:t>أولريش بيندسيل</w:t>
      </w:r>
    </w:p>
    <w:p w:rsidR="000255A4" w:rsidRPr="00BB11D1" w:rsidRDefault="00BB11D1" w:rsidP="00BB11D1">
      <w:pPr>
        <w:pStyle w:val="BodyText"/>
        <w:bidi/>
        <w:spacing w:line="480" w:lineRule="auto"/>
        <w:jc w:val="both"/>
        <w:rPr>
          <w:rFonts w:asciiTheme="majorBidi" w:hAnsiTheme="majorBidi" w:cstheme="majorBidi"/>
          <w:sz w:val="20"/>
          <w:szCs w:val="28"/>
          <w:lang w:bidi="ar-LB"/>
        </w:rPr>
      </w:pPr>
      <w:r w:rsidRPr="00BB11D1">
        <w:rPr>
          <w:rFonts w:asciiTheme="majorBidi" w:hAnsiTheme="majorBidi" w:cs="Times New Roman"/>
          <w:sz w:val="20"/>
          <w:szCs w:val="20"/>
          <w:rtl/>
          <w:lang w:bidi="ar-SA"/>
        </w:rPr>
        <w:t xml:space="preserve">البنك المركزي الأوروبي ، فرانكفورت ، ألمانيا ؛ البريد الإلكتروني: </w:t>
      </w:r>
      <w:hyperlink r:id="rId26" w:history="1">
        <w:r w:rsidRPr="00BB11D1">
          <w:rPr>
            <w:rStyle w:val="Hyperlink"/>
            <w:rFonts w:asciiTheme="majorBidi" w:hAnsiTheme="majorBidi" w:cstheme="majorBidi"/>
            <w:sz w:val="20"/>
            <w:szCs w:val="20"/>
          </w:rPr>
          <w:t>ulrich.bindseil@ecb.europa.eu</w:t>
        </w:r>
      </w:hyperlink>
      <w:r w:rsidRPr="00BB11D1">
        <w:rPr>
          <w:rFonts w:asciiTheme="majorBidi" w:hAnsiTheme="majorBidi" w:cstheme="majorBidi" w:hint="cs"/>
          <w:sz w:val="20"/>
          <w:szCs w:val="20"/>
          <w:rtl/>
          <w:lang w:bidi="ar-LB"/>
        </w:rPr>
        <w:t xml:space="preserve"> </w:t>
      </w:r>
    </w:p>
    <w:p w:rsidR="00BB11D1" w:rsidRPr="00BB11D1" w:rsidRDefault="00BB11D1" w:rsidP="00BB11D1">
      <w:pPr>
        <w:bidi/>
        <w:spacing w:line="480" w:lineRule="auto"/>
        <w:ind w:left="272"/>
        <w:jc w:val="both"/>
        <w:rPr>
          <w:b/>
          <w:sz w:val="20"/>
          <w:szCs w:val="28"/>
        </w:rPr>
      </w:pPr>
      <w:r w:rsidRPr="00BB11D1">
        <w:rPr>
          <w:b/>
          <w:color w:val="003199"/>
          <w:sz w:val="20"/>
          <w:szCs w:val="28"/>
        </w:rPr>
        <w:t>Ulrich Bindseil</w:t>
      </w:r>
    </w:p>
    <w:p w:rsidR="000255A4" w:rsidRPr="00BB11D1" w:rsidRDefault="009C2E3C" w:rsidP="00BB11D1">
      <w:pPr>
        <w:bidi/>
        <w:spacing w:before="8" w:line="480" w:lineRule="auto"/>
        <w:ind w:left="272"/>
        <w:jc w:val="both"/>
        <w:rPr>
          <w:rFonts w:asciiTheme="majorBidi" w:hAnsiTheme="majorBidi" w:cstheme="majorBidi"/>
          <w:sz w:val="20"/>
          <w:szCs w:val="28"/>
          <w:lang w:bidi="ar-LB"/>
        </w:rPr>
      </w:pPr>
      <w:r w:rsidRPr="00BB11D1">
        <w:rPr>
          <w:rFonts w:asciiTheme="majorBidi" w:hAnsiTheme="majorBidi" w:cstheme="majorBidi"/>
          <w:sz w:val="20"/>
          <w:szCs w:val="20"/>
          <w:rtl/>
          <w:lang w:bidi="ar-SA"/>
        </w:rPr>
        <w:t>البنك</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المركزي</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الأوروبي،</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فرانكفورت،</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ألمانيا؛</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البريد</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الإلكتروني</w:t>
      </w:r>
      <w:r w:rsidRPr="00BB11D1">
        <w:rPr>
          <w:rFonts w:asciiTheme="majorBidi" w:hAnsiTheme="majorBidi" w:cstheme="majorBidi"/>
          <w:sz w:val="20"/>
          <w:szCs w:val="28"/>
        </w:rPr>
        <w:t>:</w:t>
      </w:r>
      <w:r w:rsidR="00BB11D1" w:rsidRPr="00BB11D1">
        <w:rPr>
          <w:rFonts w:asciiTheme="majorBidi" w:hAnsiTheme="majorBidi" w:cstheme="majorBidi"/>
          <w:sz w:val="20"/>
          <w:szCs w:val="28"/>
        </w:rPr>
        <w:t xml:space="preserve"> </w:t>
      </w:r>
      <w:r w:rsidR="00BB11D1" w:rsidRPr="00BB11D1">
        <w:rPr>
          <w:rFonts w:asciiTheme="majorBidi" w:hAnsiTheme="majorBidi" w:cstheme="majorBidi" w:hint="cs"/>
          <w:sz w:val="20"/>
          <w:szCs w:val="28"/>
          <w:rtl/>
          <w:lang w:bidi="ar-LB"/>
        </w:rPr>
        <w:t xml:space="preserve"> </w:t>
      </w:r>
      <w:hyperlink r:id="rId27">
        <w:r w:rsidR="00BB11D1" w:rsidRPr="00BB11D1">
          <w:rPr>
            <w:rFonts w:asciiTheme="majorBidi" w:hAnsiTheme="majorBidi" w:cstheme="majorBidi"/>
            <w:color w:val="00B0EA"/>
            <w:sz w:val="20"/>
            <w:szCs w:val="28"/>
          </w:rPr>
          <w:t>ulrich.bindseil@ecb.europa.eu</w:t>
        </w:r>
      </w:hyperlink>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lang w:bidi="ar-LB"/>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lang w:bidi="ar-LB"/>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8D1AEB" w:rsidP="006A2441">
      <w:pPr>
        <w:pStyle w:val="BodyText"/>
        <w:bidi/>
        <w:spacing w:before="5"/>
        <w:rPr>
          <w:rFonts w:asciiTheme="majorBidi" w:hAnsiTheme="majorBidi" w:cstheme="majorBidi"/>
          <w:sz w:val="24"/>
        </w:rPr>
      </w:pPr>
      <w:r>
        <w:rPr>
          <w:rFonts w:asciiTheme="majorBidi" w:hAnsiTheme="majorBidi" w:cstheme="majorBidi"/>
          <w:noProof/>
          <w:sz w:val="20"/>
          <w:lang w:bidi="ar-SA"/>
        </w:rPr>
        <w:pict>
          <v:shape id="_x0000_s1065" type="#_x0000_t202" style="position:absolute;left:0;text-align:left;margin-left:48.95pt;margin-top:57.9pt;width:497.3pt;height:130.95pt;z-index:-15723008;mso-wrap-distance-left:0;mso-wrap-distance-right:0;mso-position-horizontal-relative:page" filled="f" strokecolor="#003199" strokeweight=".48pt">
            <v:textbox inset="0,0,0,0">
              <w:txbxContent>
                <w:p w:rsidR="00BB11D1" w:rsidRDefault="00BB11D1" w:rsidP="00BB11D1">
                  <w:pPr>
                    <w:spacing w:before="129"/>
                    <w:ind w:left="148"/>
                    <w:rPr>
                      <w:b/>
                      <w:sz w:val="16"/>
                    </w:rPr>
                  </w:pPr>
                  <w:r>
                    <w:rPr>
                      <w:b/>
                      <w:color w:val="003199"/>
                      <w:sz w:val="16"/>
                    </w:rPr>
                    <w:t>© European Central Bank, 2020</w:t>
                  </w:r>
                </w:p>
                <w:p w:rsidR="00BB11D1" w:rsidRDefault="00BB11D1" w:rsidP="00BB11D1">
                  <w:pPr>
                    <w:tabs>
                      <w:tab w:val="left" w:pos="1281"/>
                    </w:tabs>
                    <w:spacing w:before="113" w:line="249" w:lineRule="auto"/>
                    <w:ind w:left="148" w:right="6116"/>
                    <w:rPr>
                      <w:sz w:val="16"/>
                    </w:rPr>
                  </w:pPr>
                  <w:r>
                    <w:rPr>
                      <w:color w:val="003199"/>
                      <w:sz w:val="16"/>
                    </w:rPr>
                    <w:t xml:space="preserve">Postal address 60640 Frankfurt am Main, Germany </w:t>
                  </w:r>
                  <w:r>
                    <w:rPr>
                      <w:color w:val="003199"/>
                      <w:spacing w:val="-3"/>
                      <w:sz w:val="16"/>
                    </w:rPr>
                    <w:t>Telephone</w:t>
                  </w:r>
                  <w:r>
                    <w:rPr>
                      <w:color w:val="003199"/>
                      <w:spacing w:val="-3"/>
                      <w:sz w:val="16"/>
                    </w:rPr>
                    <w:tab/>
                  </w:r>
                  <w:r>
                    <w:rPr>
                      <w:color w:val="003199"/>
                      <w:sz w:val="16"/>
                    </w:rPr>
                    <w:t>+49 69 1344</w:t>
                  </w:r>
                  <w:r>
                    <w:rPr>
                      <w:color w:val="003199"/>
                      <w:spacing w:val="-1"/>
                      <w:sz w:val="16"/>
                    </w:rPr>
                    <w:t xml:space="preserve"> </w:t>
                  </w:r>
                  <w:r>
                    <w:rPr>
                      <w:color w:val="003199"/>
                      <w:sz w:val="16"/>
                    </w:rPr>
                    <w:t>0</w:t>
                  </w:r>
                </w:p>
                <w:p w:rsidR="00BB11D1" w:rsidRDefault="00BB11D1" w:rsidP="00BB11D1">
                  <w:pPr>
                    <w:tabs>
                      <w:tab w:val="left" w:pos="1281"/>
                    </w:tabs>
                    <w:spacing w:before="1"/>
                    <w:ind w:left="148"/>
                    <w:rPr>
                      <w:sz w:val="16"/>
                    </w:rPr>
                  </w:pPr>
                  <w:r>
                    <w:rPr>
                      <w:color w:val="003199"/>
                      <w:sz w:val="16"/>
                    </w:rPr>
                    <w:t>Website</w:t>
                  </w:r>
                  <w:r>
                    <w:rPr>
                      <w:color w:val="003199"/>
                      <w:sz w:val="16"/>
                    </w:rPr>
                    <w:tab/>
                  </w:r>
                  <w:hyperlink r:id="rId28">
                    <w:r>
                      <w:rPr>
                        <w:color w:val="00B0EA"/>
                        <w:sz w:val="16"/>
                      </w:rPr>
                      <w:t>www.ecb.europa.eu</w:t>
                    </w:r>
                  </w:hyperlink>
                </w:p>
                <w:p w:rsidR="00BB11D1" w:rsidRDefault="00BB11D1" w:rsidP="00BB11D1">
                  <w:pPr>
                    <w:spacing w:before="123" w:line="249" w:lineRule="auto"/>
                    <w:ind w:left="148"/>
                    <w:rPr>
                      <w:sz w:val="16"/>
                    </w:rPr>
                  </w:pPr>
                  <w:r>
                    <w:rPr>
                      <w:color w:val="003199"/>
                      <w:sz w:val="16"/>
                    </w:rPr>
                    <w:t>All rights reserved. Any reproduction, publication and reprint in the form of a different publication, whether printed or produced electronically, in whole or in part, is permitted only with the explicit written authorisation of the ECB or the authors.</w:t>
                  </w:r>
                </w:p>
                <w:p w:rsidR="00BB11D1" w:rsidRDefault="00BB11D1" w:rsidP="00BB11D1">
                  <w:pPr>
                    <w:spacing w:before="114" w:line="249" w:lineRule="auto"/>
                    <w:ind w:left="148" w:right="169"/>
                    <w:jc w:val="both"/>
                    <w:rPr>
                      <w:sz w:val="16"/>
                    </w:rPr>
                  </w:pPr>
                  <w:r>
                    <w:rPr>
                      <w:color w:val="003199"/>
                      <w:sz w:val="16"/>
                    </w:rPr>
                    <w:t>This</w:t>
                  </w:r>
                  <w:r>
                    <w:rPr>
                      <w:color w:val="003199"/>
                      <w:spacing w:val="-3"/>
                      <w:sz w:val="16"/>
                    </w:rPr>
                    <w:t xml:space="preserve"> </w:t>
                  </w:r>
                  <w:r>
                    <w:rPr>
                      <w:color w:val="003199"/>
                      <w:sz w:val="16"/>
                    </w:rPr>
                    <w:t>paper</w:t>
                  </w:r>
                  <w:r>
                    <w:rPr>
                      <w:color w:val="003199"/>
                      <w:spacing w:val="-2"/>
                      <w:sz w:val="16"/>
                    </w:rPr>
                    <w:t xml:space="preserve"> </w:t>
                  </w:r>
                  <w:r>
                    <w:rPr>
                      <w:color w:val="003199"/>
                      <w:sz w:val="16"/>
                    </w:rPr>
                    <w:t>can</w:t>
                  </w:r>
                  <w:r>
                    <w:rPr>
                      <w:color w:val="003199"/>
                      <w:spacing w:val="-2"/>
                      <w:sz w:val="16"/>
                    </w:rPr>
                    <w:t xml:space="preserve"> </w:t>
                  </w:r>
                  <w:r>
                    <w:rPr>
                      <w:color w:val="003199"/>
                      <w:sz w:val="16"/>
                    </w:rPr>
                    <w:t>be</w:t>
                  </w:r>
                  <w:r>
                    <w:rPr>
                      <w:color w:val="003199"/>
                      <w:spacing w:val="-5"/>
                      <w:sz w:val="16"/>
                    </w:rPr>
                    <w:t xml:space="preserve"> </w:t>
                  </w:r>
                  <w:r>
                    <w:rPr>
                      <w:color w:val="003199"/>
                      <w:sz w:val="16"/>
                    </w:rPr>
                    <w:t>downloaded</w:t>
                  </w:r>
                  <w:r>
                    <w:rPr>
                      <w:color w:val="003199"/>
                      <w:spacing w:val="-2"/>
                      <w:sz w:val="16"/>
                    </w:rPr>
                    <w:t xml:space="preserve"> </w:t>
                  </w:r>
                  <w:r>
                    <w:rPr>
                      <w:color w:val="003199"/>
                      <w:sz w:val="16"/>
                    </w:rPr>
                    <w:t>without charge</w:t>
                  </w:r>
                  <w:r>
                    <w:rPr>
                      <w:color w:val="003199"/>
                      <w:spacing w:val="-5"/>
                      <w:sz w:val="16"/>
                    </w:rPr>
                    <w:t xml:space="preserve"> </w:t>
                  </w:r>
                  <w:r>
                    <w:rPr>
                      <w:color w:val="003199"/>
                      <w:sz w:val="16"/>
                    </w:rPr>
                    <w:t xml:space="preserve">from </w:t>
                  </w:r>
                  <w:hyperlink r:id="rId29">
                    <w:r>
                      <w:rPr>
                        <w:color w:val="00B0EA"/>
                        <w:sz w:val="16"/>
                      </w:rPr>
                      <w:t>www.ecb.europa.eu</w:t>
                    </w:r>
                    <w:r>
                      <w:rPr>
                        <w:color w:val="003199"/>
                        <w:sz w:val="16"/>
                      </w:rPr>
                      <w:t>,</w:t>
                    </w:r>
                    <w:r>
                      <w:rPr>
                        <w:color w:val="003199"/>
                        <w:spacing w:val="-3"/>
                        <w:sz w:val="16"/>
                      </w:rPr>
                      <w:t xml:space="preserve"> </w:t>
                    </w:r>
                  </w:hyperlink>
                  <w:r>
                    <w:rPr>
                      <w:color w:val="003199"/>
                      <w:sz w:val="16"/>
                    </w:rPr>
                    <w:t>from</w:t>
                  </w:r>
                  <w:r>
                    <w:rPr>
                      <w:color w:val="003199"/>
                      <w:spacing w:val="-4"/>
                      <w:sz w:val="16"/>
                    </w:rPr>
                    <w:t xml:space="preserve"> </w:t>
                  </w:r>
                  <w:r>
                    <w:rPr>
                      <w:color w:val="003199"/>
                      <w:sz w:val="16"/>
                    </w:rPr>
                    <w:t>the</w:t>
                  </w:r>
                  <w:r>
                    <w:rPr>
                      <w:color w:val="003199"/>
                      <w:spacing w:val="-4"/>
                      <w:sz w:val="16"/>
                    </w:rPr>
                    <w:t xml:space="preserve"> </w:t>
                  </w:r>
                  <w:hyperlink r:id="rId30">
                    <w:r>
                      <w:rPr>
                        <w:color w:val="00B0EA"/>
                        <w:sz w:val="16"/>
                      </w:rPr>
                      <w:t>Social</w:t>
                    </w:r>
                    <w:r>
                      <w:rPr>
                        <w:color w:val="00B0EA"/>
                        <w:spacing w:val="-3"/>
                        <w:sz w:val="16"/>
                      </w:rPr>
                      <w:t xml:space="preserve"> </w:t>
                    </w:r>
                    <w:r>
                      <w:rPr>
                        <w:color w:val="00B0EA"/>
                        <w:sz w:val="16"/>
                      </w:rPr>
                      <w:t>Science</w:t>
                    </w:r>
                    <w:r>
                      <w:rPr>
                        <w:color w:val="00B0EA"/>
                        <w:spacing w:val="-2"/>
                        <w:sz w:val="16"/>
                      </w:rPr>
                      <w:t xml:space="preserve"> </w:t>
                    </w:r>
                    <w:r>
                      <w:rPr>
                        <w:color w:val="00B0EA"/>
                        <w:sz w:val="16"/>
                      </w:rPr>
                      <w:t>Research</w:t>
                    </w:r>
                    <w:r>
                      <w:rPr>
                        <w:color w:val="00B0EA"/>
                        <w:spacing w:val="-3"/>
                        <w:sz w:val="16"/>
                      </w:rPr>
                      <w:t xml:space="preserve"> </w:t>
                    </w:r>
                    <w:r>
                      <w:rPr>
                        <w:color w:val="00B0EA"/>
                        <w:sz w:val="16"/>
                      </w:rPr>
                      <w:t>Network</w:t>
                    </w:r>
                    <w:r>
                      <w:rPr>
                        <w:color w:val="00B0EA"/>
                        <w:spacing w:val="-2"/>
                        <w:sz w:val="16"/>
                      </w:rPr>
                      <w:t xml:space="preserve"> </w:t>
                    </w:r>
                    <w:r>
                      <w:rPr>
                        <w:color w:val="00B0EA"/>
                        <w:sz w:val="16"/>
                      </w:rPr>
                      <w:t>electronic</w:t>
                    </w:r>
                    <w:r>
                      <w:rPr>
                        <w:color w:val="00B0EA"/>
                        <w:spacing w:val="-2"/>
                        <w:sz w:val="16"/>
                      </w:rPr>
                      <w:t xml:space="preserve"> </w:t>
                    </w:r>
                    <w:r>
                      <w:rPr>
                        <w:color w:val="00B0EA"/>
                        <w:sz w:val="16"/>
                      </w:rPr>
                      <w:t>library</w:t>
                    </w:r>
                    <w:r>
                      <w:rPr>
                        <w:color w:val="00B0EA"/>
                        <w:spacing w:val="-3"/>
                        <w:sz w:val="16"/>
                      </w:rPr>
                      <w:t xml:space="preserve"> </w:t>
                    </w:r>
                  </w:hyperlink>
                  <w:r>
                    <w:rPr>
                      <w:color w:val="003199"/>
                      <w:sz w:val="16"/>
                    </w:rPr>
                    <w:t xml:space="preserve">or from </w:t>
                  </w:r>
                  <w:hyperlink r:id="rId31">
                    <w:r>
                      <w:rPr>
                        <w:color w:val="00B0EA"/>
                        <w:sz w:val="16"/>
                      </w:rPr>
                      <w:t>RePEc: Research Papers in Economics</w:t>
                    </w:r>
                    <w:r>
                      <w:rPr>
                        <w:color w:val="003199"/>
                        <w:sz w:val="16"/>
                      </w:rPr>
                      <w:t xml:space="preserve">. </w:t>
                    </w:r>
                  </w:hyperlink>
                  <w:r>
                    <w:rPr>
                      <w:color w:val="003199"/>
                      <w:sz w:val="16"/>
                    </w:rPr>
                    <w:t xml:space="preserve">Information on all of the papers published in the ECB Working Paper Series can be found on the </w:t>
                  </w:r>
                  <w:hyperlink r:id="rId32">
                    <w:r>
                      <w:rPr>
                        <w:color w:val="00B0EA"/>
                        <w:sz w:val="16"/>
                      </w:rPr>
                      <w:t>ECB’s</w:t>
                    </w:r>
                    <w:r>
                      <w:rPr>
                        <w:color w:val="00B0EA"/>
                        <w:spacing w:val="-3"/>
                        <w:sz w:val="16"/>
                      </w:rPr>
                      <w:t xml:space="preserve"> </w:t>
                    </w:r>
                    <w:r>
                      <w:rPr>
                        <w:color w:val="00B0EA"/>
                        <w:sz w:val="16"/>
                      </w:rPr>
                      <w:t>website</w:t>
                    </w:r>
                    <w:r>
                      <w:rPr>
                        <w:color w:val="003199"/>
                        <w:sz w:val="16"/>
                      </w:rPr>
                      <w:t>.</w:t>
                    </w:r>
                  </w:hyperlink>
                </w:p>
                <w:p w:rsidR="00BB11D1" w:rsidRDefault="00BB11D1" w:rsidP="00BB11D1">
                  <w:pPr>
                    <w:tabs>
                      <w:tab w:val="left" w:pos="1281"/>
                      <w:tab w:val="left" w:pos="3407"/>
                      <w:tab w:val="left" w:pos="5536"/>
                      <w:tab w:val="left" w:pos="7660"/>
                    </w:tabs>
                    <w:spacing w:before="117"/>
                    <w:ind w:left="148"/>
                    <w:rPr>
                      <w:sz w:val="16"/>
                    </w:rPr>
                  </w:pPr>
                  <w:r>
                    <w:rPr>
                      <w:color w:val="003199"/>
                      <w:sz w:val="16"/>
                    </w:rPr>
                    <w:t>PDF</w:t>
                  </w:r>
                  <w:r>
                    <w:rPr>
                      <w:color w:val="003199"/>
                      <w:sz w:val="16"/>
                    </w:rPr>
                    <w:tab/>
                    <w:t>ISBN</w:t>
                  </w:r>
                  <w:r>
                    <w:rPr>
                      <w:color w:val="003199"/>
                      <w:spacing w:val="-4"/>
                      <w:sz w:val="16"/>
                    </w:rPr>
                    <w:t xml:space="preserve"> </w:t>
                  </w:r>
                  <w:r>
                    <w:rPr>
                      <w:color w:val="003199"/>
                      <w:sz w:val="16"/>
                    </w:rPr>
                    <w:t>978-92-899-3994-2</w:t>
                  </w:r>
                  <w:r>
                    <w:rPr>
                      <w:color w:val="003199"/>
                      <w:sz w:val="16"/>
                    </w:rPr>
                    <w:tab/>
                    <w:t>ISSN</w:t>
                  </w:r>
                  <w:r>
                    <w:rPr>
                      <w:color w:val="003199"/>
                      <w:spacing w:val="-1"/>
                      <w:sz w:val="16"/>
                    </w:rPr>
                    <w:t xml:space="preserve"> </w:t>
                  </w:r>
                  <w:r>
                    <w:rPr>
                      <w:color w:val="003199"/>
                      <w:sz w:val="16"/>
                    </w:rPr>
                    <w:t>1725-2806</w:t>
                  </w:r>
                  <w:r>
                    <w:rPr>
                      <w:color w:val="003199"/>
                      <w:sz w:val="16"/>
                    </w:rPr>
                    <w:tab/>
                    <w:t>doi</w:t>
                  </w:r>
                  <w:proofErr w:type="gramStart"/>
                  <w:r>
                    <w:rPr>
                      <w:color w:val="003199"/>
                      <w:sz w:val="16"/>
                    </w:rPr>
                    <w:t>:10.2866</w:t>
                  </w:r>
                  <w:proofErr w:type="gramEnd"/>
                  <w:r>
                    <w:rPr>
                      <w:color w:val="003199"/>
                      <w:sz w:val="16"/>
                    </w:rPr>
                    <w:t>/134524</w:t>
                  </w:r>
                  <w:r>
                    <w:rPr>
                      <w:color w:val="003199"/>
                      <w:sz w:val="16"/>
                    </w:rPr>
                    <w:tab/>
                    <w:t>QB-AR-20-003-EN-N</w:t>
                  </w:r>
                </w:p>
              </w:txbxContent>
            </v:textbox>
            <w10:wrap type="topAndBottom" anchorx="page"/>
          </v:shape>
        </w:pict>
      </w:r>
    </w:p>
    <w:sectPr w:rsidR="000255A4" w:rsidRPr="00BB11D1" w:rsidSect="00BB11D1">
      <w:footerReference w:type="default" r:id="rId33"/>
      <w:pgSz w:w="11910" w:h="16850"/>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AEB" w:rsidRDefault="008D1AEB">
      <w:r>
        <w:separator/>
      </w:r>
    </w:p>
  </w:endnote>
  <w:endnote w:type="continuationSeparator" w:id="0">
    <w:p w:rsidR="008D1AEB" w:rsidRDefault="008D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5A4" w:rsidRDefault="008D1AE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1.65pt;margin-top:804.65pt;width:186.1pt;height:10.95pt;z-index:-17449984;mso-position-horizontal-relative:page;mso-position-vertical-relative:page" filled="f" stroked="f">
          <v:textbox inset="0,0,0,0">
            <w:txbxContent>
              <w:p w:rsidR="000255A4" w:rsidRDefault="009C2E3C">
                <w:pPr>
                  <w:spacing w:before="14"/>
                  <w:ind w:left="20"/>
                  <w:rPr>
                    <w:sz w:val="16"/>
                  </w:rPr>
                </w:pPr>
                <w:r>
                  <w:rPr>
                    <w:color w:val="003399"/>
                    <w:sz w:val="16"/>
                    <w:szCs w:val="16"/>
                    <w:rtl/>
                    <w:lang w:bidi="ar-SA"/>
                  </w:rPr>
                  <w:t>البنك</w:t>
                </w:r>
                <w:r>
                  <w:rPr>
                    <w:color w:val="003399"/>
                    <w:sz w:val="16"/>
                  </w:rPr>
                  <w:t xml:space="preserve"> </w:t>
                </w:r>
                <w:r>
                  <w:rPr>
                    <w:color w:val="003399"/>
                    <w:sz w:val="16"/>
                    <w:szCs w:val="16"/>
                    <w:rtl/>
                    <w:lang w:bidi="ar-SA"/>
                  </w:rPr>
                  <w:t>المركزي</w:t>
                </w:r>
                <w:r>
                  <w:rPr>
                    <w:color w:val="003399"/>
                    <w:sz w:val="16"/>
                  </w:rPr>
                  <w:t xml:space="preserve"> </w:t>
                </w:r>
                <w:r>
                  <w:rPr>
                    <w:color w:val="003399"/>
                    <w:sz w:val="16"/>
                    <w:szCs w:val="16"/>
                    <w:rtl/>
                    <w:lang w:bidi="ar-SA"/>
                  </w:rPr>
                  <w:t>الأوروبي</w:t>
                </w:r>
                <w:r>
                  <w:rPr>
                    <w:color w:val="003399"/>
                    <w:sz w:val="16"/>
                  </w:rPr>
                  <w:t xml:space="preserve"> </w:t>
                </w:r>
                <w:r>
                  <w:rPr>
                    <w:color w:val="003399"/>
                    <w:sz w:val="16"/>
                    <w:szCs w:val="16"/>
                    <w:rtl/>
                    <w:lang w:bidi="ar-SA"/>
                  </w:rPr>
                  <w:t>ورقة</w:t>
                </w:r>
                <w:r>
                  <w:rPr>
                    <w:color w:val="003399"/>
                    <w:sz w:val="16"/>
                  </w:rPr>
                  <w:t xml:space="preserve"> </w:t>
                </w:r>
                <w:r>
                  <w:rPr>
                    <w:color w:val="003399"/>
                    <w:sz w:val="16"/>
                    <w:szCs w:val="16"/>
                    <w:rtl/>
                    <w:lang w:bidi="ar-SA"/>
                  </w:rPr>
                  <w:t>عمل</w:t>
                </w:r>
                <w:r>
                  <w:rPr>
                    <w:color w:val="003399"/>
                    <w:sz w:val="16"/>
                  </w:rPr>
                  <w:t xml:space="preserve"> </w:t>
                </w:r>
                <w:r>
                  <w:rPr>
                    <w:color w:val="003399"/>
                    <w:sz w:val="16"/>
                    <w:szCs w:val="16"/>
                    <w:rtl/>
                    <w:lang w:bidi="ar-SA"/>
                  </w:rPr>
                  <w:t>سلسلة</w:t>
                </w:r>
                <w:r>
                  <w:rPr>
                    <w:color w:val="003399"/>
                    <w:sz w:val="16"/>
                  </w:rPr>
                  <w:t xml:space="preserve"> </w:t>
                </w:r>
                <w:r>
                  <w:rPr>
                    <w:color w:val="003399"/>
                    <w:sz w:val="16"/>
                    <w:szCs w:val="16"/>
                    <w:rtl/>
                    <w:lang w:bidi="ar-SA"/>
                  </w:rPr>
                  <w:t>لا</w:t>
                </w:r>
                <w:r>
                  <w:rPr>
                    <w:color w:val="003399"/>
                    <w:sz w:val="16"/>
                  </w:rPr>
                  <w:t xml:space="preserve"> 2351 / </w:t>
                </w:r>
                <w:r>
                  <w:rPr>
                    <w:color w:val="003399"/>
                    <w:sz w:val="16"/>
                    <w:szCs w:val="16"/>
                    <w:rtl/>
                    <w:lang w:bidi="ar-SA"/>
                  </w:rPr>
                  <w:t>يناير</w:t>
                </w:r>
                <w:r>
                  <w:rPr>
                    <w:color w:val="003399"/>
                    <w:sz w:val="16"/>
                  </w:rPr>
                  <w:t xml:space="preserve"> 2020</w:t>
                </w:r>
              </w:p>
            </w:txbxContent>
          </v:textbox>
          <w10:wrap anchorx="page" anchory="page"/>
        </v:shape>
      </w:pict>
    </w:r>
    <w:r>
      <w:pict>
        <v:shape id="_x0000_s2049" type="#_x0000_t202" style="position:absolute;margin-left:521.55pt;margin-top:804.65pt;width:14.9pt;height:10.95pt;z-index:-17449472;mso-position-horizontal-relative:page;mso-position-vertical-relative:page" filled="f" stroked="f">
          <v:textbox inset="0,0,0,0">
            <w:txbxContent>
              <w:p w:rsidR="000255A4" w:rsidRDefault="009C2E3C">
                <w:pPr>
                  <w:spacing w:before="14"/>
                  <w:ind w:left="60"/>
                  <w:rPr>
                    <w:sz w:val="16"/>
                  </w:rPr>
                </w:pPr>
                <w:r>
                  <w:fldChar w:fldCharType="begin"/>
                </w:r>
                <w:r>
                  <w:rPr>
                    <w:color w:val="003399"/>
                    <w:sz w:val="16"/>
                  </w:rPr>
                  <w:instrText xml:space="preserve"> PAGE </w:instrText>
                </w:r>
                <w:r>
                  <w:fldChar w:fldCharType="separate"/>
                </w:r>
                <w:r w:rsidR="0010677D">
                  <w:rPr>
                    <w:noProof/>
                    <w:color w:val="003399"/>
                    <w:sz w:val="16"/>
                  </w:rPr>
                  <w:t>49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5A4" w:rsidRDefault="000255A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AEB" w:rsidRDefault="008D1AEB">
      <w:r>
        <w:separator/>
      </w:r>
    </w:p>
  </w:footnote>
  <w:footnote w:type="continuationSeparator" w:id="0">
    <w:p w:rsidR="008D1AEB" w:rsidRDefault="008D1AEB">
      <w:r>
        <w:continuationSeparator/>
      </w:r>
    </w:p>
  </w:footnote>
  <w:footnote w:id="1">
    <w:p w:rsidR="00BB11D1" w:rsidRDefault="00BB11D1">
      <w:pPr>
        <w:pStyle w:val="FootnoteText"/>
        <w:rPr>
          <w:sz w:val="16"/>
          <w:szCs w:val="16"/>
        </w:rPr>
      </w:pPr>
      <w:r>
        <w:rPr>
          <w:rStyle w:val="FootnoteReference"/>
        </w:rPr>
        <w:footnoteRef/>
      </w:r>
      <w:r>
        <w:t xml:space="preserve"> </w:t>
      </w:r>
      <w:r w:rsidRPr="00BB11D1">
        <w:rPr>
          <w:sz w:val="16"/>
          <w:szCs w:val="16"/>
        </w:rPr>
        <w:t>Recent</w:t>
      </w:r>
      <w:r w:rsidRPr="00BB11D1">
        <w:rPr>
          <w:spacing w:val="-23"/>
          <w:sz w:val="16"/>
          <w:szCs w:val="16"/>
        </w:rPr>
        <w:t xml:space="preserve"> </w:t>
      </w:r>
      <w:r w:rsidRPr="00BB11D1">
        <w:rPr>
          <w:sz w:val="16"/>
          <w:szCs w:val="16"/>
        </w:rPr>
        <w:t>publications</w:t>
      </w:r>
      <w:r w:rsidRPr="00BB11D1">
        <w:rPr>
          <w:spacing w:val="-24"/>
          <w:sz w:val="16"/>
          <w:szCs w:val="16"/>
        </w:rPr>
        <w:t xml:space="preserve"> </w:t>
      </w:r>
      <w:r w:rsidRPr="00BB11D1">
        <w:rPr>
          <w:sz w:val="16"/>
          <w:szCs w:val="16"/>
        </w:rPr>
        <w:t>include</w:t>
      </w:r>
      <w:r w:rsidRPr="00BB11D1">
        <w:rPr>
          <w:spacing w:val="-24"/>
          <w:sz w:val="16"/>
          <w:szCs w:val="16"/>
        </w:rPr>
        <w:t xml:space="preserve"> </w:t>
      </w:r>
      <w:r w:rsidRPr="00BB11D1">
        <w:rPr>
          <w:sz w:val="16"/>
          <w:szCs w:val="16"/>
        </w:rPr>
        <w:t>Engert</w:t>
      </w:r>
      <w:r w:rsidRPr="00BB11D1">
        <w:rPr>
          <w:spacing w:val="-24"/>
          <w:sz w:val="16"/>
          <w:szCs w:val="16"/>
        </w:rPr>
        <w:t xml:space="preserve"> </w:t>
      </w:r>
      <w:r w:rsidRPr="00BB11D1">
        <w:rPr>
          <w:sz w:val="16"/>
          <w:szCs w:val="16"/>
        </w:rPr>
        <w:t>and</w:t>
      </w:r>
      <w:r w:rsidRPr="00BB11D1">
        <w:rPr>
          <w:spacing w:val="-23"/>
          <w:sz w:val="16"/>
          <w:szCs w:val="16"/>
        </w:rPr>
        <w:t xml:space="preserve"> </w:t>
      </w:r>
      <w:r w:rsidRPr="00BB11D1">
        <w:rPr>
          <w:sz w:val="16"/>
          <w:szCs w:val="16"/>
        </w:rPr>
        <w:t>Fung</w:t>
      </w:r>
      <w:r w:rsidRPr="00BB11D1">
        <w:rPr>
          <w:spacing w:val="-24"/>
          <w:sz w:val="16"/>
          <w:szCs w:val="16"/>
        </w:rPr>
        <w:t xml:space="preserve"> </w:t>
      </w:r>
      <w:r w:rsidRPr="00BB11D1">
        <w:rPr>
          <w:sz w:val="16"/>
          <w:szCs w:val="16"/>
        </w:rPr>
        <w:t>(2017),</w:t>
      </w:r>
      <w:r w:rsidRPr="00BB11D1">
        <w:rPr>
          <w:spacing w:val="-23"/>
          <w:sz w:val="16"/>
          <w:szCs w:val="16"/>
        </w:rPr>
        <w:t xml:space="preserve"> </w:t>
      </w:r>
      <w:r w:rsidRPr="00BB11D1">
        <w:rPr>
          <w:sz w:val="16"/>
          <w:szCs w:val="16"/>
        </w:rPr>
        <w:t>CPMI-MC</w:t>
      </w:r>
      <w:r w:rsidRPr="00BB11D1">
        <w:rPr>
          <w:spacing w:val="-24"/>
          <w:sz w:val="16"/>
          <w:szCs w:val="16"/>
        </w:rPr>
        <w:t xml:space="preserve"> </w:t>
      </w:r>
      <w:r w:rsidRPr="00BB11D1">
        <w:rPr>
          <w:sz w:val="16"/>
          <w:szCs w:val="16"/>
        </w:rPr>
        <w:t>(2018),</w:t>
      </w:r>
      <w:r w:rsidRPr="00BB11D1">
        <w:rPr>
          <w:spacing w:val="-24"/>
          <w:sz w:val="16"/>
          <w:szCs w:val="16"/>
        </w:rPr>
        <w:t xml:space="preserve"> </w:t>
      </w:r>
      <w:r w:rsidRPr="00BB11D1">
        <w:rPr>
          <w:sz w:val="16"/>
          <w:szCs w:val="16"/>
        </w:rPr>
        <w:t>Kumhof</w:t>
      </w:r>
      <w:r w:rsidRPr="00BB11D1">
        <w:rPr>
          <w:spacing w:val="-24"/>
          <w:sz w:val="16"/>
          <w:szCs w:val="16"/>
        </w:rPr>
        <w:t xml:space="preserve"> </w:t>
      </w:r>
      <w:r w:rsidRPr="00BB11D1">
        <w:rPr>
          <w:sz w:val="16"/>
          <w:szCs w:val="16"/>
        </w:rPr>
        <w:t>and</w:t>
      </w:r>
      <w:r w:rsidRPr="00BB11D1">
        <w:rPr>
          <w:spacing w:val="-23"/>
          <w:sz w:val="16"/>
          <w:szCs w:val="16"/>
        </w:rPr>
        <w:t xml:space="preserve"> </w:t>
      </w:r>
      <w:r w:rsidRPr="00BB11D1">
        <w:rPr>
          <w:sz w:val="16"/>
          <w:szCs w:val="16"/>
        </w:rPr>
        <w:t>Noone</w:t>
      </w:r>
      <w:r w:rsidRPr="00BB11D1">
        <w:rPr>
          <w:spacing w:val="-24"/>
          <w:sz w:val="16"/>
          <w:szCs w:val="16"/>
        </w:rPr>
        <w:t xml:space="preserve"> </w:t>
      </w:r>
      <w:r w:rsidRPr="00BB11D1">
        <w:rPr>
          <w:sz w:val="16"/>
          <w:szCs w:val="16"/>
        </w:rPr>
        <w:t>(2018),</w:t>
      </w:r>
      <w:r w:rsidRPr="00BB11D1">
        <w:rPr>
          <w:spacing w:val="-24"/>
          <w:sz w:val="16"/>
          <w:szCs w:val="16"/>
        </w:rPr>
        <w:t xml:space="preserve"> </w:t>
      </w:r>
      <w:r w:rsidRPr="00BB11D1">
        <w:rPr>
          <w:sz w:val="16"/>
          <w:szCs w:val="16"/>
        </w:rPr>
        <w:t xml:space="preserve">Sveriges </w:t>
      </w:r>
      <w:r w:rsidRPr="00BB11D1">
        <w:rPr>
          <w:w w:val="95"/>
          <w:sz w:val="16"/>
          <w:szCs w:val="16"/>
        </w:rPr>
        <w:t>Riksbank</w:t>
      </w:r>
      <w:r w:rsidRPr="00BB11D1">
        <w:rPr>
          <w:spacing w:val="-21"/>
          <w:w w:val="95"/>
          <w:sz w:val="16"/>
          <w:szCs w:val="16"/>
        </w:rPr>
        <w:t xml:space="preserve"> </w:t>
      </w:r>
      <w:r w:rsidRPr="00BB11D1">
        <w:rPr>
          <w:w w:val="95"/>
          <w:sz w:val="16"/>
          <w:szCs w:val="16"/>
        </w:rPr>
        <w:t>(2018),</w:t>
      </w:r>
      <w:r w:rsidRPr="00BB11D1">
        <w:rPr>
          <w:spacing w:val="-21"/>
          <w:w w:val="95"/>
          <w:sz w:val="16"/>
          <w:szCs w:val="16"/>
        </w:rPr>
        <w:t xml:space="preserve"> </w:t>
      </w:r>
      <w:r w:rsidRPr="00BB11D1">
        <w:rPr>
          <w:w w:val="95"/>
          <w:sz w:val="16"/>
          <w:szCs w:val="16"/>
        </w:rPr>
        <w:t>Armerlius</w:t>
      </w:r>
      <w:r w:rsidRPr="00BB11D1">
        <w:rPr>
          <w:spacing w:val="-20"/>
          <w:w w:val="95"/>
          <w:sz w:val="16"/>
          <w:szCs w:val="16"/>
        </w:rPr>
        <w:t xml:space="preserve"> </w:t>
      </w:r>
      <w:r w:rsidRPr="00BB11D1">
        <w:rPr>
          <w:w w:val="95"/>
          <w:sz w:val="16"/>
          <w:szCs w:val="16"/>
        </w:rPr>
        <w:t>et</w:t>
      </w:r>
      <w:r w:rsidRPr="00BB11D1">
        <w:rPr>
          <w:spacing w:val="-20"/>
          <w:w w:val="95"/>
          <w:sz w:val="16"/>
          <w:szCs w:val="16"/>
        </w:rPr>
        <w:t xml:space="preserve"> </w:t>
      </w:r>
      <w:r w:rsidRPr="00BB11D1">
        <w:rPr>
          <w:w w:val="95"/>
          <w:sz w:val="16"/>
          <w:szCs w:val="16"/>
        </w:rPr>
        <w:t>al</w:t>
      </w:r>
      <w:r w:rsidRPr="00BB11D1">
        <w:rPr>
          <w:spacing w:val="-21"/>
          <w:w w:val="95"/>
          <w:sz w:val="16"/>
          <w:szCs w:val="16"/>
        </w:rPr>
        <w:t xml:space="preserve"> </w:t>
      </w:r>
      <w:r w:rsidRPr="00BB11D1">
        <w:rPr>
          <w:w w:val="95"/>
          <w:sz w:val="16"/>
          <w:szCs w:val="16"/>
        </w:rPr>
        <w:t>(2018),</w:t>
      </w:r>
      <w:r w:rsidRPr="00BB11D1">
        <w:rPr>
          <w:spacing w:val="-21"/>
          <w:w w:val="95"/>
          <w:sz w:val="16"/>
          <w:szCs w:val="16"/>
        </w:rPr>
        <w:t xml:space="preserve"> </w:t>
      </w:r>
      <w:r w:rsidRPr="00BB11D1">
        <w:rPr>
          <w:w w:val="95"/>
          <w:sz w:val="16"/>
          <w:szCs w:val="16"/>
        </w:rPr>
        <w:t>Juks</w:t>
      </w:r>
      <w:r w:rsidRPr="00BB11D1">
        <w:rPr>
          <w:spacing w:val="-22"/>
          <w:w w:val="95"/>
          <w:sz w:val="16"/>
          <w:szCs w:val="16"/>
        </w:rPr>
        <w:t xml:space="preserve"> </w:t>
      </w:r>
      <w:r w:rsidRPr="00BB11D1">
        <w:rPr>
          <w:w w:val="95"/>
          <w:sz w:val="16"/>
          <w:szCs w:val="16"/>
        </w:rPr>
        <w:t>(2018),</w:t>
      </w:r>
      <w:r w:rsidRPr="00BB11D1">
        <w:rPr>
          <w:spacing w:val="-20"/>
          <w:w w:val="95"/>
          <w:sz w:val="16"/>
          <w:szCs w:val="16"/>
        </w:rPr>
        <w:t xml:space="preserve"> </w:t>
      </w:r>
      <w:r w:rsidRPr="00BB11D1">
        <w:rPr>
          <w:w w:val="95"/>
          <w:sz w:val="16"/>
          <w:szCs w:val="16"/>
        </w:rPr>
        <w:t>Nessen</w:t>
      </w:r>
      <w:r w:rsidRPr="00BB11D1">
        <w:rPr>
          <w:spacing w:val="-20"/>
          <w:w w:val="95"/>
          <w:sz w:val="16"/>
          <w:szCs w:val="16"/>
        </w:rPr>
        <w:t xml:space="preserve"> </w:t>
      </w:r>
      <w:r w:rsidRPr="00BB11D1">
        <w:rPr>
          <w:w w:val="95"/>
          <w:sz w:val="16"/>
          <w:szCs w:val="16"/>
        </w:rPr>
        <w:t>et</w:t>
      </w:r>
      <w:r w:rsidRPr="00BB11D1">
        <w:rPr>
          <w:spacing w:val="-21"/>
          <w:w w:val="95"/>
          <w:sz w:val="16"/>
          <w:szCs w:val="16"/>
        </w:rPr>
        <w:t xml:space="preserve"> </w:t>
      </w:r>
      <w:r w:rsidRPr="00BB11D1">
        <w:rPr>
          <w:w w:val="95"/>
          <w:sz w:val="16"/>
          <w:szCs w:val="16"/>
        </w:rPr>
        <w:t>al</w:t>
      </w:r>
      <w:r w:rsidRPr="00BB11D1">
        <w:rPr>
          <w:spacing w:val="-21"/>
          <w:w w:val="95"/>
          <w:sz w:val="16"/>
          <w:szCs w:val="16"/>
        </w:rPr>
        <w:t xml:space="preserve"> </w:t>
      </w:r>
      <w:r w:rsidRPr="00BB11D1">
        <w:rPr>
          <w:w w:val="95"/>
          <w:sz w:val="16"/>
          <w:szCs w:val="16"/>
        </w:rPr>
        <w:t>(2018),</w:t>
      </w:r>
      <w:r w:rsidRPr="00BB11D1">
        <w:rPr>
          <w:spacing w:val="-20"/>
          <w:w w:val="95"/>
          <w:sz w:val="16"/>
          <w:szCs w:val="16"/>
        </w:rPr>
        <w:t xml:space="preserve"> </w:t>
      </w:r>
      <w:r w:rsidRPr="00BB11D1">
        <w:rPr>
          <w:w w:val="95"/>
          <w:sz w:val="16"/>
          <w:szCs w:val="16"/>
        </w:rPr>
        <w:t>Niepelt</w:t>
      </w:r>
      <w:r w:rsidRPr="00BB11D1">
        <w:rPr>
          <w:spacing w:val="-21"/>
          <w:w w:val="95"/>
          <w:sz w:val="16"/>
          <w:szCs w:val="16"/>
        </w:rPr>
        <w:t xml:space="preserve"> </w:t>
      </w:r>
      <w:r w:rsidRPr="00BB11D1">
        <w:rPr>
          <w:w w:val="95"/>
          <w:sz w:val="16"/>
          <w:szCs w:val="16"/>
        </w:rPr>
        <w:t>(2018),</w:t>
      </w:r>
      <w:r w:rsidRPr="00BB11D1">
        <w:rPr>
          <w:spacing w:val="-19"/>
          <w:w w:val="95"/>
          <w:sz w:val="16"/>
          <w:szCs w:val="16"/>
        </w:rPr>
        <w:t xml:space="preserve"> </w:t>
      </w:r>
      <w:r w:rsidRPr="00BB11D1">
        <w:rPr>
          <w:w w:val="95"/>
          <w:sz w:val="16"/>
          <w:szCs w:val="16"/>
        </w:rPr>
        <w:t>Panetta</w:t>
      </w:r>
      <w:r w:rsidRPr="00BB11D1">
        <w:rPr>
          <w:spacing w:val="-20"/>
          <w:w w:val="95"/>
          <w:sz w:val="16"/>
          <w:szCs w:val="16"/>
        </w:rPr>
        <w:t xml:space="preserve"> </w:t>
      </w:r>
      <w:r w:rsidRPr="00BB11D1">
        <w:rPr>
          <w:w w:val="95"/>
          <w:sz w:val="16"/>
          <w:szCs w:val="16"/>
        </w:rPr>
        <w:t>(2018)</w:t>
      </w:r>
      <w:r w:rsidRPr="00BB11D1">
        <w:rPr>
          <w:spacing w:val="-22"/>
          <w:w w:val="95"/>
          <w:sz w:val="16"/>
          <w:szCs w:val="16"/>
        </w:rPr>
        <w:t xml:space="preserve"> </w:t>
      </w:r>
      <w:r w:rsidRPr="00BB11D1">
        <w:rPr>
          <w:w w:val="95"/>
          <w:sz w:val="16"/>
          <w:szCs w:val="16"/>
        </w:rPr>
        <w:t>–</w:t>
      </w:r>
      <w:r w:rsidRPr="00BB11D1">
        <w:rPr>
          <w:spacing w:val="-21"/>
          <w:w w:val="95"/>
          <w:sz w:val="16"/>
          <w:szCs w:val="16"/>
        </w:rPr>
        <w:t xml:space="preserve"> </w:t>
      </w:r>
      <w:r w:rsidRPr="00BB11D1">
        <w:rPr>
          <w:w w:val="95"/>
          <w:sz w:val="16"/>
          <w:szCs w:val="16"/>
        </w:rPr>
        <w:t>see</w:t>
      </w:r>
      <w:r w:rsidRPr="00BB11D1">
        <w:rPr>
          <w:spacing w:val="-21"/>
          <w:w w:val="95"/>
          <w:sz w:val="16"/>
          <w:szCs w:val="16"/>
        </w:rPr>
        <w:t xml:space="preserve"> </w:t>
      </w:r>
      <w:r w:rsidRPr="00BB11D1">
        <w:rPr>
          <w:w w:val="95"/>
          <w:sz w:val="16"/>
          <w:szCs w:val="16"/>
        </w:rPr>
        <w:t xml:space="preserve">also </w:t>
      </w:r>
      <w:r w:rsidRPr="00BB11D1">
        <w:rPr>
          <w:sz w:val="16"/>
          <w:szCs w:val="16"/>
        </w:rPr>
        <w:t>the further literature referenced there. According to the survey of Barontini and Holden (2019, 7), 70% of responding</w:t>
      </w:r>
      <w:r w:rsidRPr="00BB11D1">
        <w:rPr>
          <w:spacing w:val="-27"/>
          <w:sz w:val="16"/>
          <w:szCs w:val="16"/>
        </w:rPr>
        <w:t xml:space="preserve"> </w:t>
      </w:r>
      <w:r w:rsidRPr="00BB11D1">
        <w:rPr>
          <w:sz w:val="16"/>
          <w:szCs w:val="16"/>
        </w:rPr>
        <w:t>central</w:t>
      </w:r>
      <w:r w:rsidRPr="00BB11D1">
        <w:rPr>
          <w:spacing w:val="-26"/>
          <w:sz w:val="16"/>
          <w:szCs w:val="16"/>
        </w:rPr>
        <w:t xml:space="preserve"> </w:t>
      </w:r>
      <w:r w:rsidRPr="00BB11D1">
        <w:rPr>
          <w:sz w:val="16"/>
          <w:szCs w:val="16"/>
        </w:rPr>
        <w:t>banks</w:t>
      </w:r>
      <w:r w:rsidRPr="00BB11D1">
        <w:rPr>
          <w:spacing w:val="-25"/>
          <w:sz w:val="16"/>
          <w:szCs w:val="16"/>
        </w:rPr>
        <w:t xml:space="preserve"> </w:t>
      </w:r>
      <w:r w:rsidRPr="00BB11D1">
        <w:rPr>
          <w:sz w:val="16"/>
          <w:szCs w:val="16"/>
        </w:rPr>
        <w:t>are</w:t>
      </w:r>
      <w:r w:rsidRPr="00BB11D1">
        <w:rPr>
          <w:spacing w:val="-27"/>
          <w:sz w:val="16"/>
          <w:szCs w:val="16"/>
        </w:rPr>
        <w:t xml:space="preserve"> </w:t>
      </w:r>
      <w:r w:rsidRPr="00BB11D1">
        <w:rPr>
          <w:sz w:val="16"/>
          <w:szCs w:val="16"/>
        </w:rPr>
        <w:t>currently</w:t>
      </w:r>
      <w:r w:rsidRPr="00BB11D1">
        <w:rPr>
          <w:spacing w:val="-26"/>
          <w:sz w:val="16"/>
          <w:szCs w:val="16"/>
        </w:rPr>
        <w:t xml:space="preserve"> </w:t>
      </w:r>
      <w:r w:rsidRPr="00BB11D1">
        <w:rPr>
          <w:sz w:val="16"/>
          <w:szCs w:val="16"/>
        </w:rPr>
        <w:t>engaged</w:t>
      </w:r>
      <w:r w:rsidRPr="00BB11D1">
        <w:rPr>
          <w:spacing w:val="-25"/>
          <w:sz w:val="16"/>
          <w:szCs w:val="16"/>
        </w:rPr>
        <w:t xml:space="preserve"> </w:t>
      </w:r>
      <w:r w:rsidRPr="00BB11D1">
        <w:rPr>
          <w:sz w:val="16"/>
          <w:szCs w:val="16"/>
        </w:rPr>
        <w:t>in</w:t>
      </w:r>
      <w:r w:rsidRPr="00BB11D1">
        <w:rPr>
          <w:spacing w:val="-26"/>
          <w:sz w:val="16"/>
          <w:szCs w:val="16"/>
        </w:rPr>
        <w:t xml:space="preserve"> </w:t>
      </w:r>
      <w:r w:rsidRPr="00BB11D1">
        <w:rPr>
          <w:sz w:val="16"/>
          <w:szCs w:val="16"/>
        </w:rPr>
        <w:t>CBDC</w:t>
      </w:r>
      <w:r w:rsidRPr="00BB11D1">
        <w:rPr>
          <w:spacing w:val="-25"/>
          <w:sz w:val="16"/>
          <w:szCs w:val="16"/>
        </w:rPr>
        <w:t xml:space="preserve"> </w:t>
      </w:r>
      <w:r w:rsidRPr="00BB11D1">
        <w:rPr>
          <w:sz w:val="16"/>
          <w:szCs w:val="16"/>
        </w:rPr>
        <w:t>work.</w:t>
      </w:r>
      <w:r w:rsidRPr="00BB11D1">
        <w:rPr>
          <w:spacing w:val="-26"/>
          <w:sz w:val="16"/>
          <w:szCs w:val="16"/>
        </w:rPr>
        <w:t xml:space="preserve"> </w:t>
      </w:r>
      <w:r w:rsidRPr="00BB11D1">
        <w:rPr>
          <w:sz w:val="16"/>
          <w:szCs w:val="16"/>
        </w:rPr>
        <w:t>Five</w:t>
      </w:r>
      <w:r w:rsidRPr="00BB11D1">
        <w:rPr>
          <w:spacing w:val="-25"/>
          <w:sz w:val="16"/>
          <w:szCs w:val="16"/>
        </w:rPr>
        <w:t xml:space="preserve"> </w:t>
      </w:r>
      <w:r w:rsidRPr="00BB11D1">
        <w:rPr>
          <w:sz w:val="16"/>
          <w:szCs w:val="16"/>
        </w:rPr>
        <w:t>central</w:t>
      </w:r>
      <w:r w:rsidRPr="00BB11D1">
        <w:rPr>
          <w:spacing w:val="-27"/>
          <w:sz w:val="16"/>
          <w:szCs w:val="16"/>
        </w:rPr>
        <w:t xml:space="preserve"> </w:t>
      </w:r>
      <w:r w:rsidRPr="00BB11D1">
        <w:rPr>
          <w:sz w:val="16"/>
          <w:szCs w:val="16"/>
        </w:rPr>
        <w:t>banks</w:t>
      </w:r>
      <w:r w:rsidRPr="00BB11D1">
        <w:rPr>
          <w:spacing w:val="-25"/>
          <w:sz w:val="16"/>
          <w:szCs w:val="16"/>
        </w:rPr>
        <w:t xml:space="preserve"> </w:t>
      </w:r>
      <w:r w:rsidRPr="00BB11D1">
        <w:rPr>
          <w:sz w:val="16"/>
          <w:szCs w:val="16"/>
        </w:rPr>
        <w:t>would</w:t>
      </w:r>
      <w:r w:rsidRPr="00BB11D1">
        <w:rPr>
          <w:spacing w:val="-26"/>
          <w:sz w:val="16"/>
          <w:szCs w:val="16"/>
        </w:rPr>
        <w:t xml:space="preserve"> </w:t>
      </w:r>
      <w:r w:rsidRPr="00BB11D1">
        <w:rPr>
          <w:sz w:val="16"/>
          <w:szCs w:val="16"/>
        </w:rPr>
        <w:t>be</w:t>
      </w:r>
      <w:r w:rsidRPr="00BB11D1">
        <w:rPr>
          <w:spacing w:val="-27"/>
          <w:sz w:val="16"/>
          <w:szCs w:val="16"/>
        </w:rPr>
        <w:t xml:space="preserve"> </w:t>
      </w:r>
      <w:r w:rsidRPr="00BB11D1">
        <w:rPr>
          <w:sz w:val="16"/>
          <w:szCs w:val="16"/>
        </w:rPr>
        <w:t>progressing</w:t>
      </w:r>
      <w:r w:rsidRPr="00BB11D1">
        <w:rPr>
          <w:spacing w:val="-26"/>
          <w:sz w:val="16"/>
          <w:szCs w:val="16"/>
        </w:rPr>
        <w:t xml:space="preserve"> </w:t>
      </w:r>
      <w:r w:rsidRPr="00BB11D1">
        <w:rPr>
          <w:sz w:val="16"/>
          <w:szCs w:val="16"/>
        </w:rPr>
        <w:t>on,</w:t>
      </w:r>
      <w:r w:rsidRPr="00BB11D1">
        <w:rPr>
          <w:spacing w:val="-26"/>
          <w:sz w:val="16"/>
          <w:szCs w:val="16"/>
        </w:rPr>
        <w:t xml:space="preserve"> </w:t>
      </w:r>
      <w:r w:rsidRPr="00BB11D1">
        <w:rPr>
          <w:sz w:val="16"/>
          <w:szCs w:val="16"/>
        </w:rPr>
        <w:t>or running</w:t>
      </w:r>
      <w:r w:rsidRPr="00BB11D1">
        <w:rPr>
          <w:spacing w:val="-12"/>
          <w:sz w:val="16"/>
          <w:szCs w:val="16"/>
        </w:rPr>
        <w:t xml:space="preserve"> </w:t>
      </w:r>
      <w:r w:rsidRPr="00BB11D1">
        <w:rPr>
          <w:sz w:val="16"/>
          <w:szCs w:val="16"/>
        </w:rPr>
        <w:t>pilot</w:t>
      </w:r>
      <w:r w:rsidRPr="00BB11D1">
        <w:rPr>
          <w:spacing w:val="-11"/>
          <w:sz w:val="16"/>
          <w:szCs w:val="16"/>
        </w:rPr>
        <w:t xml:space="preserve"> </w:t>
      </w:r>
      <w:r w:rsidRPr="00BB11D1">
        <w:rPr>
          <w:sz w:val="16"/>
          <w:szCs w:val="16"/>
        </w:rPr>
        <w:t>projects</w:t>
      </w:r>
      <w:r w:rsidRPr="00BB11D1">
        <w:rPr>
          <w:spacing w:val="-10"/>
          <w:sz w:val="16"/>
          <w:szCs w:val="16"/>
        </w:rPr>
        <w:t xml:space="preserve"> </w:t>
      </w:r>
      <w:r w:rsidRPr="00BB11D1">
        <w:rPr>
          <w:sz w:val="16"/>
          <w:szCs w:val="16"/>
        </w:rPr>
        <w:t>(p.</w:t>
      </w:r>
      <w:r w:rsidRPr="00BB11D1">
        <w:rPr>
          <w:spacing w:val="-11"/>
          <w:sz w:val="16"/>
          <w:szCs w:val="16"/>
        </w:rPr>
        <w:t xml:space="preserve"> </w:t>
      </w:r>
      <w:r w:rsidRPr="00BB11D1">
        <w:rPr>
          <w:sz w:val="16"/>
          <w:szCs w:val="16"/>
        </w:rPr>
        <w:t>8).</w:t>
      </w:r>
    </w:p>
    <w:p w:rsidR="00BB11D1" w:rsidRDefault="00BB11D1">
      <w:pPr>
        <w:pStyle w:val="FootnoteText"/>
      </w:pPr>
    </w:p>
  </w:footnote>
  <w:footnote w:id="2">
    <w:p w:rsidR="00BB11D1" w:rsidRPr="00BB11D1" w:rsidRDefault="00BB11D1" w:rsidP="00BB11D1">
      <w:pPr>
        <w:spacing w:line="254" w:lineRule="auto"/>
        <w:ind w:left="248" w:right="768"/>
        <w:jc w:val="both"/>
        <w:rPr>
          <w:sz w:val="16"/>
          <w:szCs w:val="16"/>
        </w:rPr>
      </w:pPr>
      <w:r w:rsidRPr="00BB11D1">
        <w:rPr>
          <w:rStyle w:val="FootnoteReference"/>
          <w:sz w:val="16"/>
          <w:szCs w:val="16"/>
        </w:rPr>
        <w:footnoteRef/>
      </w:r>
      <w:r w:rsidRPr="00BB11D1">
        <w:rPr>
          <w:sz w:val="16"/>
          <w:szCs w:val="16"/>
        </w:rPr>
        <w:t xml:space="preserve"> Of</w:t>
      </w:r>
      <w:r w:rsidRPr="00BB11D1">
        <w:rPr>
          <w:spacing w:val="-34"/>
          <w:sz w:val="16"/>
          <w:szCs w:val="16"/>
        </w:rPr>
        <w:t xml:space="preserve"> </w:t>
      </w:r>
      <w:r w:rsidRPr="00BB11D1">
        <w:rPr>
          <w:sz w:val="16"/>
          <w:szCs w:val="16"/>
        </w:rPr>
        <w:t>course,</w:t>
      </w:r>
      <w:r w:rsidRPr="00BB11D1">
        <w:rPr>
          <w:spacing w:val="-33"/>
          <w:sz w:val="16"/>
          <w:szCs w:val="16"/>
        </w:rPr>
        <w:t xml:space="preserve"> </w:t>
      </w:r>
      <w:r w:rsidRPr="00BB11D1">
        <w:rPr>
          <w:sz w:val="16"/>
          <w:szCs w:val="16"/>
        </w:rPr>
        <w:t>it</w:t>
      </w:r>
      <w:r w:rsidRPr="00BB11D1">
        <w:rPr>
          <w:spacing w:val="-32"/>
          <w:sz w:val="16"/>
          <w:szCs w:val="16"/>
        </w:rPr>
        <w:t xml:space="preserve"> </w:t>
      </w:r>
      <w:r w:rsidRPr="00BB11D1">
        <w:rPr>
          <w:sz w:val="16"/>
          <w:szCs w:val="16"/>
        </w:rPr>
        <w:t>is</w:t>
      </w:r>
      <w:r w:rsidRPr="00BB11D1">
        <w:rPr>
          <w:spacing w:val="-33"/>
          <w:sz w:val="16"/>
          <w:szCs w:val="16"/>
        </w:rPr>
        <w:t xml:space="preserve"> </w:t>
      </w:r>
      <w:r w:rsidRPr="00BB11D1">
        <w:rPr>
          <w:sz w:val="16"/>
          <w:szCs w:val="16"/>
        </w:rPr>
        <w:t>not</w:t>
      </w:r>
      <w:r w:rsidRPr="00BB11D1">
        <w:rPr>
          <w:spacing w:val="-33"/>
          <w:sz w:val="16"/>
          <w:szCs w:val="16"/>
        </w:rPr>
        <w:t xml:space="preserve"> </w:t>
      </w:r>
      <w:r w:rsidRPr="00BB11D1">
        <w:rPr>
          <w:sz w:val="16"/>
          <w:szCs w:val="16"/>
        </w:rPr>
        <w:t>excluded</w:t>
      </w:r>
      <w:r w:rsidRPr="00BB11D1">
        <w:rPr>
          <w:spacing w:val="-32"/>
          <w:sz w:val="16"/>
          <w:szCs w:val="16"/>
        </w:rPr>
        <w:t xml:space="preserve"> </w:t>
      </w:r>
      <w:r w:rsidRPr="00BB11D1">
        <w:rPr>
          <w:sz w:val="16"/>
          <w:szCs w:val="16"/>
        </w:rPr>
        <w:t>that</w:t>
      </w:r>
      <w:r w:rsidRPr="00BB11D1">
        <w:rPr>
          <w:spacing w:val="-33"/>
          <w:sz w:val="16"/>
          <w:szCs w:val="16"/>
        </w:rPr>
        <w:t xml:space="preserve"> </w:t>
      </w:r>
      <w:r w:rsidRPr="00BB11D1">
        <w:rPr>
          <w:sz w:val="16"/>
          <w:szCs w:val="16"/>
        </w:rPr>
        <w:t>effective</w:t>
      </w:r>
      <w:r w:rsidRPr="00BB11D1">
        <w:rPr>
          <w:spacing w:val="-33"/>
          <w:sz w:val="16"/>
          <w:szCs w:val="16"/>
        </w:rPr>
        <w:t xml:space="preserve"> </w:t>
      </w:r>
      <w:r w:rsidRPr="00BB11D1">
        <w:rPr>
          <w:sz w:val="16"/>
          <w:szCs w:val="16"/>
        </w:rPr>
        <w:t>solutions</w:t>
      </w:r>
      <w:r w:rsidRPr="00BB11D1">
        <w:rPr>
          <w:spacing w:val="-33"/>
          <w:sz w:val="16"/>
          <w:szCs w:val="16"/>
        </w:rPr>
        <w:t xml:space="preserve"> </w:t>
      </w:r>
      <w:r w:rsidRPr="00BB11D1">
        <w:rPr>
          <w:sz w:val="16"/>
          <w:szCs w:val="16"/>
        </w:rPr>
        <w:t>preventing</w:t>
      </w:r>
      <w:r w:rsidRPr="00BB11D1">
        <w:rPr>
          <w:spacing w:val="-33"/>
          <w:sz w:val="16"/>
          <w:szCs w:val="16"/>
        </w:rPr>
        <w:t xml:space="preserve"> </w:t>
      </w:r>
      <w:r w:rsidRPr="00BB11D1">
        <w:rPr>
          <w:sz w:val="16"/>
          <w:szCs w:val="16"/>
        </w:rPr>
        <w:t>money</w:t>
      </w:r>
      <w:r w:rsidRPr="00BB11D1">
        <w:rPr>
          <w:spacing w:val="-33"/>
          <w:sz w:val="16"/>
          <w:szCs w:val="16"/>
        </w:rPr>
        <w:t xml:space="preserve"> </w:t>
      </w:r>
      <w:r w:rsidRPr="00BB11D1">
        <w:rPr>
          <w:sz w:val="16"/>
          <w:szCs w:val="16"/>
        </w:rPr>
        <w:t>laundering</w:t>
      </w:r>
      <w:r w:rsidRPr="00BB11D1">
        <w:rPr>
          <w:spacing w:val="-33"/>
          <w:sz w:val="16"/>
          <w:szCs w:val="16"/>
        </w:rPr>
        <w:t xml:space="preserve"> </w:t>
      </w:r>
      <w:r w:rsidRPr="00BB11D1">
        <w:rPr>
          <w:sz w:val="16"/>
          <w:szCs w:val="16"/>
        </w:rPr>
        <w:t>and</w:t>
      </w:r>
      <w:r w:rsidRPr="00BB11D1">
        <w:rPr>
          <w:spacing w:val="-32"/>
          <w:sz w:val="16"/>
          <w:szCs w:val="16"/>
        </w:rPr>
        <w:t xml:space="preserve"> </w:t>
      </w:r>
      <w:r w:rsidRPr="00BB11D1">
        <w:rPr>
          <w:sz w:val="16"/>
          <w:szCs w:val="16"/>
        </w:rPr>
        <w:t>other</w:t>
      </w:r>
      <w:r w:rsidRPr="00BB11D1">
        <w:rPr>
          <w:spacing w:val="-33"/>
          <w:sz w:val="16"/>
          <w:szCs w:val="16"/>
        </w:rPr>
        <w:t xml:space="preserve"> </w:t>
      </w:r>
      <w:r w:rsidRPr="00BB11D1">
        <w:rPr>
          <w:sz w:val="16"/>
          <w:szCs w:val="16"/>
        </w:rPr>
        <w:t>illicit</w:t>
      </w:r>
      <w:r w:rsidRPr="00BB11D1">
        <w:rPr>
          <w:spacing w:val="-33"/>
          <w:sz w:val="16"/>
          <w:szCs w:val="16"/>
        </w:rPr>
        <w:t xml:space="preserve"> </w:t>
      </w:r>
      <w:r w:rsidRPr="00BB11D1">
        <w:rPr>
          <w:sz w:val="16"/>
          <w:szCs w:val="16"/>
        </w:rPr>
        <w:t>activities</w:t>
      </w:r>
      <w:r w:rsidRPr="00BB11D1">
        <w:rPr>
          <w:spacing w:val="-33"/>
          <w:sz w:val="16"/>
          <w:szCs w:val="16"/>
        </w:rPr>
        <w:t xml:space="preserve"> </w:t>
      </w:r>
      <w:r w:rsidRPr="00BB11D1">
        <w:rPr>
          <w:sz w:val="16"/>
          <w:szCs w:val="16"/>
        </w:rPr>
        <w:t>and</w:t>
      </w:r>
      <w:r w:rsidRPr="00BB11D1">
        <w:rPr>
          <w:spacing w:val="-33"/>
          <w:sz w:val="16"/>
          <w:szCs w:val="16"/>
        </w:rPr>
        <w:t xml:space="preserve"> </w:t>
      </w:r>
      <w:r w:rsidRPr="00BB11D1">
        <w:rPr>
          <w:sz w:val="16"/>
          <w:szCs w:val="16"/>
        </w:rPr>
        <w:t xml:space="preserve">a </w:t>
      </w:r>
      <w:r w:rsidRPr="00BB11D1">
        <w:rPr>
          <w:w w:val="95"/>
          <w:sz w:val="16"/>
          <w:szCs w:val="16"/>
        </w:rPr>
        <w:t>high</w:t>
      </w:r>
      <w:r w:rsidRPr="00BB11D1">
        <w:rPr>
          <w:spacing w:val="-14"/>
          <w:w w:val="95"/>
          <w:sz w:val="16"/>
          <w:szCs w:val="16"/>
        </w:rPr>
        <w:t xml:space="preserve"> </w:t>
      </w:r>
      <w:r w:rsidRPr="00BB11D1">
        <w:rPr>
          <w:w w:val="95"/>
          <w:sz w:val="16"/>
          <w:szCs w:val="16"/>
        </w:rPr>
        <w:t>security</w:t>
      </w:r>
      <w:r w:rsidRPr="00BB11D1">
        <w:rPr>
          <w:spacing w:val="-14"/>
          <w:w w:val="95"/>
          <w:sz w:val="16"/>
          <w:szCs w:val="16"/>
        </w:rPr>
        <w:t xml:space="preserve"> </w:t>
      </w:r>
      <w:r w:rsidRPr="00BB11D1">
        <w:rPr>
          <w:w w:val="95"/>
          <w:sz w:val="16"/>
          <w:szCs w:val="16"/>
        </w:rPr>
        <w:t>and</w:t>
      </w:r>
      <w:r w:rsidRPr="00BB11D1">
        <w:rPr>
          <w:spacing w:val="-15"/>
          <w:w w:val="95"/>
          <w:sz w:val="16"/>
          <w:szCs w:val="16"/>
        </w:rPr>
        <w:t xml:space="preserve"> </w:t>
      </w:r>
      <w:r w:rsidRPr="00BB11D1">
        <w:rPr>
          <w:w w:val="95"/>
          <w:sz w:val="16"/>
          <w:szCs w:val="16"/>
        </w:rPr>
        <w:t>control</w:t>
      </w:r>
      <w:r w:rsidRPr="00BB11D1">
        <w:rPr>
          <w:spacing w:val="-14"/>
          <w:w w:val="95"/>
          <w:sz w:val="16"/>
          <w:szCs w:val="16"/>
        </w:rPr>
        <w:t xml:space="preserve"> </w:t>
      </w:r>
      <w:r w:rsidRPr="00BB11D1">
        <w:rPr>
          <w:w w:val="95"/>
          <w:sz w:val="16"/>
          <w:szCs w:val="16"/>
        </w:rPr>
        <w:t>of</w:t>
      </w:r>
      <w:r w:rsidRPr="00BB11D1">
        <w:rPr>
          <w:spacing w:val="-15"/>
          <w:w w:val="95"/>
          <w:sz w:val="16"/>
          <w:szCs w:val="16"/>
        </w:rPr>
        <w:t xml:space="preserve"> </w:t>
      </w:r>
      <w:r w:rsidRPr="00BB11D1">
        <w:rPr>
          <w:w w:val="95"/>
          <w:sz w:val="16"/>
          <w:szCs w:val="16"/>
        </w:rPr>
        <w:t>the</w:t>
      </w:r>
      <w:r w:rsidRPr="00BB11D1">
        <w:rPr>
          <w:spacing w:val="-14"/>
          <w:w w:val="95"/>
          <w:sz w:val="16"/>
          <w:szCs w:val="16"/>
        </w:rPr>
        <w:t xml:space="preserve"> </w:t>
      </w:r>
      <w:r w:rsidRPr="00BB11D1">
        <w:rPr>
          <w:w w:val="95"/>
          <w:sz w:val="16"/>
          <w:szCs w:val="16"/>
        </w:rPr>
        <w:t>circulating</w:t>
      </w:r>
      <w:r w:rsidRPr="00BB11D1">
        <w:rPr>
          <w:spacing w:val="-15"/>
          <w:w w:val="95"/>
          <w:sz w:val="16"/>
          <w:szCs w:val="16"/>
        </w:rPr>
        <w:t xml:space="preserve"> </w:t>
      </w:r>
      <w:r w:rsidRPr="00BB11D1">
        <w:rPr>
          <w:w w:val="95"/>
          <w:sz w:val="16"/>
          <w:szCs w:val="16"/>
        </w:rPr>
        <w:t>amount</w:t>
      </w:r>
      <w:r w:rsidRPr="00BB11D1">
        <w:rPr>
          <w:spacing w:val="-14"/>
          <w:w w:val="95"/>
          <w:sz w:val="16"/>
          <w:szCs w:val="16"/>
        </w:rPr>
        <w:t xml:space="preserve"> </w:t>
      </w:r>
      <w:r w:rsidRPr="00BB11D1">
        <w:rPr>
          <w:w w:val="95"/>
          <w:sz w:val="16"/>
          <w:szCs w:val="16"/>
        </w:rPr>
        <w:t>of</w:t>
      </w:r>
      <w:r w:rsidRPr="00BB11D1">
        <w:rPr>
          <w:spacing w:val="-14"/>
          <w:w w:val="95"/>
          <w:sz w:val="16"/>
          <w:szCs w:val="16"/>
        </w:rPr>
        <w:t xml:space="preserve"> </w:t>
      </w:r>
      <w:r w:rsidRPr="00BB11D1">
        <w:rPr>
          <w:w w:val="95"/>
          <w:sz w:val="16"/>
          <w:szCs w:val="16"/>
        </w:rPr>
        <w:t>CBDC</w:t>
      </w:r>
      <w:r w:rsidRPr="00BB11D1">
        <w:rPr>
          <w:spacing w:val="-15"/>
          <w:w w:val="95"/>
          <w:sz w:val="16"/>
          <w:szCs w:val="16"/>
        </w:rPr>
        <w:t xml:space="preserve"> </w:t>
      </w:r>
      <w:r w:rsidRPr="00BB11D1">
        <w:rPr>
          <w:w w:val="95"/>
          <w:sz w:val="16"/>
          <w:szCs w:val="16"/>
        </w:rPr>
        <w:t>can</w:t>
      </w:r>
      <w:r w:rsidRPr="00BB11D1">
        <w:rPr>
          <w:spacing w:val="-14"/>
          <w:w w:val="95"/>
          <w:sz w:val="16"/>
          <w:szCs w:val="16"/>
        </w:rPr>
        <w:t xml:space="preserve"> </w:t>
      </w:r>
      <w:r w:rsidRPr="00BB11D1">
        <w:rPr>
          <w:w w:val="95"/>
          <w:sz w:val="16"/>
          <w:szCs w:val="16"/>
        </w:rPr>
        <w:t>be</w:t>
      </w:r>
      <w:r w:rsidRPr="00BB11D1">
        <w:rPr>
          <w:spacing w:val="-14"/>
          <w:w w:val="95"/>
          <w:sz w:val="16"/>
          <w:szCs w:val="16"/>
        </w:rPr>
        <w:t xml:space="preserve"> </w:t>
      </w:r>
      <w:r w:rsidRPr="00BB11D1">
        <w:rPr>
          <w:w w:val="95"/>
          <w:sz w:val="16"/>
          <w:szCs w:val="16"/>
        </w:rPr>
        <w:t>achieved</w:t>
      </w:r>
      <w:r w:rsidRPr="00BB11D1">
        <w:rPr>
          <w:spacing w:val="-14"/>
          <w:w w:val="95"/>
          <w:sz w:val="16"/>
          <w:szCs w:val="16"/>
        </w:rPr>
        <w:t xml:space="preserve"> </w:t>
      </w:r>
      <w:r w:rsidRPr="00BB11D1">
        <w:rPr>
          <w:w w:val="95"/>
          <w:sz w:val="16"/>
          <w:szCs w:val="16"/>
        </w:rPr>
        <w:t>with</w:t>
      </w:r>
      <w:r w:rsidRPr="00BB11D1">
        <w:rPr>
          <w:spacing w:val="-14"/>
          <w:w w:val="95"/>
          <w:sz w:val="16"/>
          <w:szCs w:val="16"/>
        </w:rPr>
        <w:t xml:space="preserve"> </w:t>
      </w:r>
      <w:r w:rsidRPr="00BB11D1">
        <w:rPr>
          <w:w w:val="95"/>
          <w:sz w:val="16"/>
          <w:szCs w:val="16"/>
        </w:rPr>
        <w:t>a</w:t>
      </w:r>
      <w:r w:rsidRPr="00BB11D1">
        <w:rPr>
          <w:spacing w:val="-14"/>
          <w:w w:val="95"/>
          <w:sz w:val="16"/>
          <w:szCs w:val="16"/>
        </w:rPr>
        <w:t xml:space="preserve"> </w:t>
      </w:r>
      <w:r w:rsidRPr="00BB11D1">
        <w:rPr>
          <w:w w:val="95"/>
          <w:sz w:val="16"/>
          <w:szCs w:val="16"/>
        </w:rPr>
        <w:t>token</w:t>
      </w:r>
      <w:r w:rsidRPr="00BB11D1">
        <w:rPr>
          <w:spacing w:val="-14"/>
          <w:w w:val="95"/>
          <w:sz w:val="16"/>
          <w:szCs w:val="16"/>
        </w:rPr>
        <w:t xml:space="preserve"> </w:t>
      </w:r>
      <w:r w:rsidRPr="00BB11D1">
        <w:rPr>
          <w:w w:val="95"/>
          <w:sz w:val="16"/>
          <w:szCs w:val="16"/>
        </w:rPr>
        <w:t>CBDC.</w:t>
      </w:r>
      <w:r w:rsidRPr="00BB11D1">
        <w:rPr>
          <w:spacing w:val="-13"/>
          <w:w w:val="95"/>
          <w:sz w:val="16"/>
          <w:szCs w:val="16"/>
        </w:rPr>
        <w:t xml:space="preserve"> </w:t>
      </w:r>
      <w:r w:rsidRPr="00BB11D1">
        <w:rPr>
          <w:w w:val="95"/>
          <w:sz w:val="16"/>
          <w:szCs w:val="16"/>
        </w:rPr>
        <w:t>However,</w:t>
      </w:r>
      <w:r w:rsidRPr="00BB11D1">
        <w:rPr>
          <w:spacing w:val="-14"/>
          <w:w w:val="95"/>
          <w:sz w:val="16"/>
          <w:szCs w:val="16"/>
        </w:rPr>
        <w:t xml:space="preserve"> </w:t>
      </w:r>
      <w:r w:rsidRPr="00BB11D1">
        <w:rPr>
          <w:w w:val="95"/>
          <w:sz w:val="16"/>
          <w:szCs w:val="16"/>
        </w:rPr>
        <w:t>as</w:t>
      </w:r>
      <w:r w:rsidRPr="00BB11D1">
        <w:rPr>
          <w:spacing w:val="-13"/>
          <w:w w:val="95"/>
          <w:sz w:val="16"/>
          <w:szCs w:val="16"/>
        </w:rPr>
        <w:t xml:space="preserve"> </w:t>
      </w:r>
      <w:r w:rsidRPr="00BB11D1">
        <w:rPr>
          <w:w w:val="95"/>
          <w:sz w:val="16"/>
          <w:szCs w:val="16"/>
        </w:rPr>
        <w:t>also convincingly</w:t>
      </w:r>
      <w:r w:rsidRPr="00BB11D1">
        <w:rPr>
          <w:spacing w:val="-13"/>
          <w:w w:val="95"/>
          <w:sz w:val="16"/>
          <w:szCs w:val="16"/>
        </w:rPr>
        <w:t xml:space="preserve"> </w:t>
      </w:r>
      <w:r w:rsidRPr="00BB11D1">
        <w:rPr>
          <w:w w:val="95"/>
          <w:sz w:val="16"/>
          <w:szCs w:val="16"/>
        </w:rPr>
        <w:t>argued</w:t>
      </w:r>
      <w:r w:rsidRPr="00BB11D1">
        <w:rPr>
          <w:spacing w:val="-13"/>
          <w:w w:val="95"/>
          <w:sz w:val="16"/>
          <w:szCs w:val="16"/>
        </w:rPr>
        <w:t xml:space="preserve"> </w:t>
      </w:r>
      <w:r w:rsidRPr="00BB11D1">
        <w:rPr>
          <w:w w:val="95"/>
          <w:sz w:val="16"/>
          <w:szCs w:val="16"/>
        </w:rPr>
        <w:t>by</w:t>
      </w:r>
      <w:r w:rsidRPr="00BB11D1">
        <w:rPr>
          <w:spacing w:val="-12"/>
          <w:w w:val="95"/>
          <w:sz w:val="16"/>
          <w:szCs w:val="16"/>
        </w:rPr>
        <w:t xml:space="preserve"> </w:t>
      </w:r>
      <w:r w:rsidRPr="00BB11D1">
        <w:rPr>
          <w:w w:val="95"/>
          <w:sz w:val="16"/>
          <w:szCs w:val="16"/>
        </w:rPr>
        <w:t>Berentsen</w:t>
      </w:r>
      <w:r w:rsidRPr="00BB11D1">
        <w:rPr>
          <w:spacing w:val="-13"/>
          <w:w w:val="95"/>
          <w:sz w:val="16"/>
          <w:szCs w:val="16"/>
        </w:rPr>
        <w:t xml:space="preserve"> </w:t>
      </w:r>
      <w:r w:rsidRPr="00BB11D1">
        <w:rPr>
          <w:w w:val="95"/>
          <w:sz w:val="16"/>
          <w:szCs w:val="16"/>
        </w:rPr>
        <w:t>and</w:t>
      </w:r>
      <w:r w:rsidRPr="00BB11D1">
        <w:rPr>
          <w:spacing w:val="-12"/>
          <w:w w:val="95"/>
          <w:sz w:val="16"/>
          <w:szCs w:val="16"/>
        </w:rPr>
        <w:t xml:space="preserve"> </w:t>
      </w:r>
      <w:r w:rsidRPr="00BB11D1">
        <w:rPr>
          <w:w w:val="95"/>
          <w:sz w:val="16"/>
          <w:szCs w:val="16"/>
        </w:rPr>
        <w:t>Schär</w:t>
      </w:r>
      <w:r w:rsidRPr="00BB11D1">
        <w:rPr>
          <w:spacing w:val="-13"/>
          <w:w w:val="95"/>
          <w:sz w:val="16"/>
          <w:szCs w:val="16"/>
        </w:rPr>
        <w:t xml:space="preserve"> </w:t>
      </w:r>
      <w:r w:rsidRPr="00BB11D1">
        <w:rPr>
          <w:w w:val="95"/>
          <w:sz w:val="16"/>
          <w:szCs w:val="16"/>
        </w:rPr>
        <w:t>(2018),</w:t>
      </w:r>
      <w:r w:rsidRPr="00BB11D1">
        <w:rPr>
          <w:spacing w:val="-13"/>
          <w:w w:val="95"/>
          <w:sz w:val="16"/>
          <w:szCs w:val="16"/>
        </w:rPr>
        <w:t xml:space="preserve"> </w:t>
      </w:r>
      <w:r w:rsidRPr="00BB11D1">
        <w:rPr>
          <w:w w:val="95"/>
          <w:sz w:val="16"/>
          <w:szCs w:val="16"/>
        </w:rPr>
        <w:t>a</w:t>
      </w:r>
      <w:r w:rsidRPr="00BB11D1">
        <w:rPr>
          <w:spacing w:val="-12"/>
          <w:w w:val="95"/>
          <w:sz w:val="16"/>
          <w:szCs w:val="16"/>
        </w:rPr>
        <w:t xml:space="preserve"> </w:t>
      </w:r>
      <w:r w:rsidRPr="00BB11D1">
        <w:rPr>
          <w:w w:val="95"/>
          <w:sz w:val="16"/>
          <w:szCs w:val="16"/>
        </w:rPr>
        <w:t>deposit</w:t>
      </w:r>
      <w:r w:rsidRPr="00BB11D1">
        <w:rPr>
          <w:spacing w:val="-13"/>
          <w:w w:val="95"/>
          <w:sz w:val="16"/>
          <w:szCs w:val="16"/>
        </w:rPr>
        <w:t xml:space="preserve"> </w:t>
      </w:r>
      <w:r w:rsidRPr="00BB11D1">
        <w:rPr>
          <w:w w:val="95"/>
          <w:sz w:val="16"/>
          <w:szCs w:val="16"/>
        </w:rPr>
        <w:t>based</w:t>
      </w:r>
      <w:r w:rsidRPr="00BB11D1">
        <w:rPr>
          <w:spacing w:val="-12"/>
          <w:w w:val="95"/>
          <w:sz w:val="16"/>
          <w:szCs w:val="16"/>
        </w:rPr>
        <w:t xml:space="preserve"> </w:t>
      </w:r>
      <w:r w:rsidRPr="00BB11D1">
        <w:rPr>
          <w:w w:val="95"/>
          <w:sz w:val="16"/>
          <w:szCs w:val="16"/>
        </w:rPr>
        <w:t>CBDC</w:t>
      </w:r>
      <w:r w:rsidRPr="00BB11D1">
        <w:rPr>
          <w:spacing w:val="-13"/>
          <w:w w:val="95"/>
          <w:sz w:val="16"/>
          <w:szCs w:val="16"/>
        </w:rPr>
        <w:t xml:space="preserve"> </w:t>
      </w:r>
      <w:r w:rsidRPr="00BB11D1">
        <w:rPr>
          <w:w w:val="95"/>
          <w:sz w:val="16"/>
          <w:szCs w:val="16"/>
        </w:rPr>
        <w:t>offers</w:t>
      </w:r>
      <w:r w:rsidRPr="00BB11D1">
        <w:rPr>
          <w:spacing w:val="-12"/>
          <w:w w:val="95"/>
          <w:sz w:val="16"/>
          <w:szCs w:val="16"/>
        </w:rPr>
        <w:t xml:space="preserve"> </w:t>
      </w:r>
      <w:r w:rsidRPr="00BB11D1">
        <w:rPr>
          <w:w w:val="95"/>
          <w:sz w:val="16"/>
          <w:szCs w:val="16"/>
        </w:rPr>
        <w:t>simpler</w:t>
      </w:r>
      <w:r w:rsidRPr="00BB11D1">
        <w:rPr>
          <w:spacing w:val="-13"/>
          <w:w w:val="95"/>
          <w:sz w:val="16"/>
          <w:szCs w:val="16"/>
        </w:rPr>
        <w:t xml:space="preserve"> </w:t>
      </w:r>
      <w:r w:rsidRPr="00BB11D1">
        <w:rPr>
          <w:w w:val="95"/>
          <w:sz w:val="16"/>
          <w:szCs w:val="16"/>
        </w:rPr>
        <w:t>solutions</w:t>
      </w:r>
      <w:r w:rsidRPr="00BB11D1">
        <w:rPr>
          <w:spacing w:val="-12"/>
          <w:w w:val="95"/>
          <w:sz w:val="16"/>
          <w:szCs w:val="16"/>
        </w:rPr>
        <w:t xml:space="preserve"> </w:t>
      </w:r>
      <w:r w:rsidRPr="00BB11D1">
        <w:rPr>
          <w:w w:val="95"/>
          <w:sz w:val="16"/>
          <w:szCs w:val="16"/>
        </w:rPr>
        <w:t>to</w:t>
      </w:r>
      <w:r w:rsidRPr="00BB11D1">
        <w:rPr>
          <w:spacing w:val="-13"/>
          <w:w w:val="95"/>
          <w:sz w:val="16"/>
          <w:szCs w:val="16"/>
        </w:rPr>
        <w:t xml:space="preserve"> </w:t>
      </w:r>
      <w:r w:rsidRPr="00BB11D1">
        <w:rPr>
          <w:w w:val="95"/>
          <w:sz w:val="16"/>
          <w:szCs w:val="16"/>
        </w:rPr>
        <w:t>all</w:t>
      </w:r>
      <w:r w:rsidRPr="00BB11D1">
        <w:rPr>
          <w:spacing w:val="-13"/>
          <w:w w:val="95"/>
          <w:sz w:val="16"/>
          <w:szCs w:val="16"/>
        </w:rPr>
        <w:t xml:space="preserve"> </w:t>
      </w:r>
      <w:r w:rsidRPr="00BB11D1">
        <w:rPr>
          <w:w w:val="95"/>
          <w:sz w:val="16"/>
          <w:szCs w:val="16"/>
        </w:rPr>
        <w:t>of</w:t>
      </w:r>
      <w:r w:rsidRPr="00BB11D1">
        <w:rPr>
          <w:spacing w:val="-14"/>
          <w:w w:val="95"/>
          <w:sz w:val="16"/>
          <w:szCs w:val="16"/>
        </w:rPr>
        <w:t xml:space="preserve"> </w:t>
      </w:r>
      <w:r w:rsidRPr="00BB11D1">
        <w:rPr>
          <w:w w:val="95"/>
          <w:sz w:val="16"/>
          <w:szCs w:val="16"/>
        </w:rPr>
        <w:t xml:space="preserve">these </w:t>
      </w:r>
      <w:r w:rsidRPr="00BB11D1">
        <w:rPr>
          <w:sz w:val="16"/>
          <w:szCs w:val="16"/>
        </w:rPr>
        <w:t>issues.</w:t>
      </w:r>
    </w:p>
  </w:footnote>
  <w:footnote w:id="3">
    <w:p w:rsidR="00BB11D1" w:rsidRPr="00BB11D1" w:rsidRDefault="00BB11D1" w:rsidP="00BB11D1">
      <w:pPr>
        <w:spacing w:before="80" w:line="254" w:lineRule="auto"/>
        <w:ind w:left="249" w:right="767" w:hanging="1"/>
        <w:jc w:val="both"/>
        <w:rPr>
          <w:sz w:val="16"/>
          <w:szCs w:val="16"/>
        </w:rPr>
      </w:pPr>
      <w:r w:rsidRPr="00BB11D1">
        <w:rPr>
          <w:rStyle w:val="FootnoteReference"/>
          <w:sz w:val="16"/>
          <w:szCs w:val="16"/>
        </w:rPr>
        <w:footnoteRef/>
      </w:r>
      <w:r w:rsidRPr="00BB11D1">
        <w:rPr>
          <w:sz w:val="16"/>
          <w:szCs w:val="16"/>
        </w:rPr>
        <w:t xml:space="preserve"> </w:t>
      </w:r>
      <w:r w:rsidRPr="00BB11D1">
        <w:rPr>
          <w:w w:val="95"/>
          <w:sz w:val="16"/>
          <w:szCs w:val="16"/>
        </w:rPr>
        <w:t>Armelius</w:t>
      </w:r>
      <w:r w:rsidRPr="00BB11D1">
        <w:rPr>
          <w:spacing w:val="-14"/>
          <w:w w:val="95"/>
          <w:sz w:val="16"/>
          <w:szCs w:val="16"/>
        </w:rPr>
        <w:t xml:space="preserve"> </w:t>
      </w:r>
      <w:r w:rsidRPr="00BB11D1">
        <w:rPr>
          <w:w w:val="95"/>
          <w:sz w:val="16"/>
          <w:szCs w:val="16"/>
        </w:rPr>
        <w:t>et</w:t>
      </w:r>
      <w:r w:rsidRPr="00BB11D1">
        <w:rPr>
          <w:spacing w:val="-16"/>
          <w:w w:val="95"/>
          <w:sz w:val="16"/>
          <w:szCs w:val="16"/>
        </w:rPr>
        <w:t xml:space="preserve"> </w:t>
      </w:r>
      <w:r w:rsidRPr="00BB11D1">
        <w:rPr>
          <w:w w:val="95"/>
          <w:sz w:val="16"/>
          <w:szCs w:val="16"/>
        </w:rPr>
        <w:t>al.</w:t>
      </w:r>
      <w:r w:rsidRPr="00BB11D1">
        <w:rPr>
          <w:spacing w:val="-16"/>
          <w:w w:val="95"/>
          <w:sz w:val="16"/>
          <w:szCs w:val="16"/>
        </w:rPr>
        <w:t xml:space="preserve"> </w:t>
      </w:r>
      <w:r w:rsidRPr="00BB11D1">
        <w:rPr>
          <w:w w:val="95"/>
          <w:sz w:val="16"/>
          <w:szCs w:val="16"/>
        </w:rPr>
        <w:t>(2018)</w:t>
      </w:r>
      <w:r w:rsidRPr="00BB11D1">
        <w:rPr>
          <w:spacing w:val="-17"/>
          <w:w w:val="95"/>
          <w:sz w:val="16"/>
          <w:szCs w:val="16"/>
        </w:rPr>
        <w:t xml:space="preserve"> </w:t>
      </w:r>
      <w:r w:rsidRPr="00BB11D1">
        <w:rPr>
          <w:w w:val="95"/>
          <w:sz w:val="16"/>
          <w:szCs w:val="16"/>
        </w:rPr>
        <w:t>also</w:t>
      </w:r>
      <w:r w:rsidRPr="00BB11D1">
        <w:rPr>
          <w:spacing w:val="-15"/>
          <w:w w:val="95"/>
          <w:sz w:val="16"/>
          <w:szCs w:val="16"/>
        </w:rPr>
        <w:t xml:space="preserve"> </w:t>
      </w:r>
      <w:r w:rsidRPr="00BB11D1">
        <w:rPr>
          <w:w w:val="95"/>
          <w:sz w:val="16"/>
          <w:szCs w:val="16"/>
        </w:rPr>
        <w:t>consider</w:t>
      </w:r>
      <w:r w:rsidRPr="00BB11D1">
        <w:rPr>
          <w:spacing w:val="-17"/>
          <w:w w:val="95"/>
          <w:sz w:val="16"/>
          <w:szCs w:val="16"/>
        </w:rPr>
        <w:t xml:space="preserve"> </w:t>
      </w:r>
      <w:r w:rsidRPr="00BB11D1">
        <w:rPr>
          <w:w w:val="95"/>
          <w:sz w:val="16"/>
          <w:szCs w:val="16"/>
        </w:rPr>
        <w:t>that</w:t>
      </w:r>
      <w:r w:rsidRPr="00BB11D1">
        <w:rPr>
          <w:spacing w:val="-15"/>
          <w:w w:val="95"/>
          <w:sz w:val="16"/>
          <w:szCs w:val="16"/>
        </w:rPr>
        <w:t xml:space="preserve"> </w:t>
      </w:r>
      <w:r w:rsidRPr="00BB11D1">
        <w:rPr>
          <w:w w:val="95"/>
          <w:sz w:val="16"/>
          <w:szCs w:val="16"/>
        </w:rPr>
        <w:t>the</w:t>
      </w:r>
      <w:r w:rsidRPr="00BB11D1">
        <w:rPr>
          <w:spacing w:val="-17"/>
          <w:w w:val="95"/>
          <w:sz w:val="16"/>
          <w:szCs w:val="16"/>
        </w:rPr>
        <w:t xml:space="preserve"> </w:t>
      </w:r>
      <w:r w:rsidRPr="00BB11D1">
        <w:rPr>
          <w:w w:val="95"/>
          <w:sz w:val="16"/>
          <w:szCs w:val="16"/>
        </w:rPr>
        <w:t>net</w:t>
      </w:r>
      <w:r w:rsidRPr="00BB11D1">
        <w:rPr>
          <w:spacing w:val="-16"/>
          <w:w w:val="95"/>
          <w:sz w:val="16"/>
          <w:szCs w:val="16"/>
        </w:rPr>
        <w:t xml:space="preserve"> </w:t>
      </w:r>
      <w:r w:rsidRPr="00BB11D1">
        <w:rPr>
          <w:w w:val="95"/>
          <w:sz w:val="16"/>
          <w:szCs w:val="16"/>
        </w:rPr>
        <w:t>macro-economic</w:t>
      </w:r>
      <w:r w:rsidRPr="00BB11D1">
        <w:rPr>
          <w:spacing w:val="-16"/>
          <w:w w:val="95"/>
          <w:sz w:val="16"/>
          <w:szCs w:val="16"/>
        </w:rPr>
        <w:t xml:space="preserve"> </w:t>
      </w:r>
      <w:r w:rsidRPr="00BB11D1">
        <w:rPr>
          <w:w w:val="95"/>
          <w:sz w:val="16"/>
          <w:szCs w:val="16"/>
        </w:rPr>
        <w:t>benefits</w:t>
      </w:r>
      <w:r w:rsidRPr="00BB11D1">
        <w:rPr>
          <w:spacing w:val="-15"/>
          <w:w w:val="95"/>
          <w:sz w:val="16"/>
          <w:szCs w:val="16"/>
        </w:rPr>
        <w:t xml:space="preserve"> </w:t>
      </w:r>
      <w:r w:rsidRPr="00BB11D1">
        <w:rPr>
          <w:w w:val="95"/>
          <w:sz w:val="16"/>
          <w:szCs w:val="16"/>
        </w:rPr>
        <w:t>of</w:t>
      </w:r>
      <w:r w:rsidRPr="00BB11D1">
        <w:rPr>
          <w:spacing w:val="-17"/>
          <w:w w:val="95"/>
          <w:sz w:val="16"/>
          <w:szCs w:val="16"/>
        </w:rPr>
        <w:t xml:space="preserve"> </w:t>
      </w:r>
      <w:r w:rsidRPr="00BB11D1">
        <w:rPr>
          <w:w w:val="95"/>
          <w:sz w:val="16"/>
          <w:szCs w:val="16"/>
        </w:rPr>
        <w:t>CBDC</w:t>
      </w:r>
      <w:r w:rsidRPr="00BB11D1">
        <w:rPr>
          <w:spacing w:val="-17"/>
          <w:w w:val="95"/>
          <w:sz w:val="16"/>
          <w:szCs w:val="16"/>
        </w:rPr>
        <w:t xml:space="preserve"> </w:t>
      </w:r>
      <w:r w:rsidRPr="00BB11D1">
        <w:rPr>
          <w:w w:val="95"/>
          <w:sz w:val="16"/>
          <w:szCs w:val="16"/>
        </w:rPr>
        <w:t>depend</w:t>
      </w:r>
      <w:r w:rsidRPr="00BB11D1">
        <w:rPr>
          <w:spacing w:val="-15"/>
          <w:w w:val="95"/>
          <w:sz w:val="16"/>
          <w:szCs w:val="16"/>
        </w:rPr>
        <w:t xml:space="preserve"> </w:t>
      </w:r>
      <w:r w:rsidRPr="00BB11D1">
        <w:rPr>
          <w:w w:val="95"/>
          <w:sz w:val="16"/>
          <w:szCs w:val="16"/>
        </w:rPr>
        <w:t>on</w:t>
      </w:r>
      <w:r w:rsidRPr="00BB11D1">
        <w:rPr>
          <w:spacing w:val="-16"/>
          <w:w w:val="95"/>
          <w:sz w:val="16"/>
          <w:szCs w:val="16"/>
        </w:rPr>
        <w:t xml:space="preserve"> </w:t>
      </w:r>
      <w:r w:rsidRPr="00BB11D1">
        <w:rPr>
          <w:w w:val="95"/>
          <w:sz w:val="16"/>
          <w:szCs w:val="16"/>
        </w:rPr>
        <w:t>the</w:t>
      </w:r>
      <w:r w:rsidRPr="00BB11D1">
        <w:rPr>
          <w:spacing w:val="-16"/>
          <w:w w:val="95"/>
          <w:sz w:val="16"/>
          <w:szCs w:val="16"/>
        </w:rPr>
        <w:t xml:space="preserve"> </w:t>
      </w:r>
      <w:r w:rsidRPr="00BB11D1">
        <w:rPr>
          <w:w w:val="95"/>
          <w:sz w:val="16"/>
          <w:szCs w:val="16"/>
        </w:rPr>
        <w:t>positive</w:t>
      </w:r>
      <w:r w:rsidRPr="00BB11D1">
        <w:rPr>
          <w:spacing w:val="-17"/>
          <w:w w:val="95"/>
          <w:sz w:val="16"/>
          <w:szCs w:val="16"/>
        </w:rPr>
        <w:t xml:space="preserve"> </w:t>
      </w:r>
      <w:r w:rsidRPr="00BB11D1">
        <w:rPr>
          <w:w w:val="95"/>
          <w:sz w:val="16"/>
          <w:szCs w:val="16"/>
        </w:rPr>
        <w:t xml:space="preserve">effects </w:t>
      </w:r>
      <w:r w:rsidRPr="00BB11D1">
        <w:rPr>
          <w:sz w:val="16"/>
          <w:szCs w:val="16"/>
        </w:rPr>
        <w:t>from</w:t>
      </w:r>
      <w:r w:rsidRPr="00BB11D1">
        <w:rPr>
          <w:spacing w:val="-31"/>
          <w:sz w:val="16"/>
          <w:szCs w:val="16"/>
        </w:rPr>
        <w:t xml:space="preserve"> </w:t>
      </w:r>
      <w:r w:rsidRPr="00BB11D1">
        <w:rPr>
          <w:sz w:val="16"/>
          <w:szCs w:val="16"/>
        </w:rPr>
        <w:t>a</w:t>
      </w:r>
      <w:r w:rsidRPr="00BB11D1">
        <w:rPr>
          <w:spacing w:val="-30"/>
          <w:sz w:val="16"/>
          <w:szCs w:val="16"/>
        </w:rPr>
        <w:t xml:space="preserve"> </w:t>
      </w:r>
      <w:r w:rsidRPr="00BB11D1">
        <w:rPr>
          <w:sz w:val="16"/>
          <w:szCs w:val="16"/>
        </w:rPr>
        <w:t>more</w:t>
      </w:r>
      <w:r w:rsidRPr="00BB11D1">
        <w:rPr>
          <w:spacing w:val="-30"/>
          <w:sz w:val="16"/>
          <w:szCs w:val="16"/>
        </w:rPr>
        <w:t xml:space="preserve"> </w:t>
      </w:r>
      <w:r w:rsidRPr="00BB11D1">
        <w:rPr>
          <w:sz w:val="16"/>
          <w:szCs w:val="16"/>
        </w:rPr>
        <w:t>efficient</w:t>
      </w:r>
      <w:r w:rsidRPr="00BB11D1">
        <w:rPr>
          <w:spacing w:val="-30"/>
          <w:sz w:val="16"/>
          <w:szCs w:val="16"/>
        </w:rPr>
        <w:t xml:space="preserve"> </w:t>
      </w:r>
      <w:r w:rsidRPr="00BB11D1">
        <w:rPr>
          <w:sz w:val="16"/>
          <w:szCs w:val="16"/>
        </w:rPr>
        <w:t>and</w:t>
      </w:r>
      <w:r w:rsidRPr="00BB11D1">
        <w:rPr>
          <w:spacing w:val="-30"/>
          <w:sz w:val="16"/>
          <w:szCs w:val="16"/>
        </w:rPr>
        <w:t xml:space="preserve"> </w:t>
      </w:r>
      <w:r w:rsidRPr="00BB11D1">
        <w:rPr>
          <w:sz w:val="16"/>
          <w:szCs w:val="16"/>
        </w:rPr>
        <w:t>resilient</w:t>
      </w:r>
      <w:r w:rsidRPr="00BB11D1">
        <w:rPr>
          <w:spacing w:val="-30"/>
          <w:sz w:val="16"/>
          <w:szCs w:val="16"/>
        </w:rPr>
        <w:t xml:space="preserve"> </w:t>
      </w:r>
      <w:r w:rsidRPr="00BB11D1">
        <w:rPr>
          <w:sz w:val="16"/>
          <w:szCs w:val="16"/>
        </w:rPr>
        <w:t>payment</w:t>
      </w:r>
      <w:r w:rsidRPr="00BB11D1">
        <w:rPr>
          <w:spacing w:val="-30"/>
          <w:sz w:val="16"/>
          <w:szCs w:val="16"/>
        </w:rPr>
        <w:t xml:space="preserve"> </w:t>
      </w:r>
      <w:r w:rsidRPr="00BB11D1">
        <w:rPr>
          <w:sz w:val="16"/>
          <w:szCs w:val="16"/>
        </w:rPr>
        <w:t>system,</w:t>
      </w:r>
      <w:r w:rsidRPr="00BB11D1">
        <w:rPr>
          <w:spacing w:val="-29"/>
          <w:sz w:val="16"/>
          <w:szCs w:val="16"/>
        </w:rPr>
        <w:t xml:space="preserve"> </w:t>
      </w:r>
      <w:r w:rsidRPr="00BB11D1">
        <w:rPr>
          <w:sz w:val="16"/>
          <w:szCs w:val="16"/>
        </w:rPr>
        <w:t>against</w:t>
      </w:r>
      <w:r w:rsidRPr="00BB11D1">
        <w:rPr>
          <w:spacing w:val="-30"/>
          <w:sz w:val="16"/>
          <w:szCs w:val="16"/>
        </w:rPr>
        <w:t xml:space="preserve"> </w:t>
      </w:r>
      <w:r w:rsidRPr="00BB11D1">
        <w:rPr>
          <w:sz w:val="16"/>
          <w:szCs w:val="16"/>
        </w:rPr>
        <w:t>the</w:t>
      </w:r>
      <w:r w:rsidRPr="00BB11D1">
        <w:rPr>
          <w:spacing w:val="-31"/>
          <w:sz w:val="16"/>
          <w:szCs w:val="16"/>
        </w:rPr>
        <w:t xml:space="preserve"> </w:t>
      </w:r>
      <w:r w:rsidRPr="00BB11D1">
        <w:rPr>
          <w:sz w:val="16"/>
          <w:szCs w:val="16"/>
        </w:rPr>
        <w:t>possible</w:t>
      </w:r>
      <w:r w:rsidRPr="00BB11D1">
        <w:rPr>
          <w:spacing w:val="-30"/>
          <w:sz w:val="16"/>
          <w:szCs w:val="16"/>
        </w:rPr>
        <w:t xml:space="preserve"> </w:t>
      </w:r>
      <w:r w:rsidRPr="00BB11D1">
        <w:rPr>
          <w:sz w:val="16"/>
          <w:szCs w:val="16"/>
        </w:rPr>
        <w:t>negative</w:t>
      </w:r>
      <w:r w:rsidRPr="00BB11D1">
        <w:rPr>
          <w:spacing w:val="-30"/>
          <w:sz w:val="16"/>
          <w:szCs w:val="16"/>
        </w:rPr>
        <w:t xml:space="preserve"> </w:t>
      </w:r>
      <w:r w:rsidRPr="00BB11D1">
        <w:rPr>
          <w:sz w:val="16"/>
          <w:szCs w:val="16"/>
        </w:rPr>
        <w:t>effects</w:t>
      </w:r>
      <w:r w:rsidRPr="00BB11D1">
        <w:rPr>
          <w:spacing w:val="-30"/>
          <w:sz w:val="16"/>
          <w:szCs w:val="16"/>
        </w:rPr>
        <w:t xml:space="preserve"> </w:t>
      </w:r>
      <w:r w:rsidRPr="00BB11D1">
        <w:rPr>
          <w:sz w:val="16"/>
          <w:szCs w:val="16"/>
        </w:rPr>
        <w:t>on</w:t>
      </w:r>
      <w:r w:rsidRPr="00BB11D1">
        <w:rPr>
          <w:spacing w:val="-30"/>
          <w:sz w:val="16"/>
          <w:szCs w:val="16"/>
        </w:rPr>
        <w:t xml:space="preserve"> </w:t>
      </w:r>
      <w:r w:rsidRPr="00BB11D1">
        <w:rPr>
          <w:sz w:val="16"/>
          <w:szCs w:val="16"/>
        </w:rPr>
        <w:t>credit</w:t>
      </w:r>
      <w:r w:rsidRPr="00BB11D1">
        <w:rPr>
          <w:spacing w:val="-29"/>
          <w:sz w:val="16"/>
          <w:szCs w:val="16"/>
        </w:rPr>
        <w:t xml:space="preserve"> </w:t>
      </w:r>
      <w:r w:rsidRPr="00BB11D1">
        <w:rPr>
          <w:sz w:val="16"/>
          <w:szCs w:val="16"/>
        </w:rPr>
        <w:t>provision</w:t>
      </w:r>
      <w:r w:rsidRPr="00BB11D1">
        <w:rPr>
          <w:spacing w:val="-30"/>
          <w:sz w:val="16"/>
          <w:szCs w:val="16"/>
        </w:rPr>
        <w:t xml:space="preserve"> </w:t>
      </w:r>
      <w:r w:rsidRPr="00BB11D1">
        <w:rPr>
          <w:sz w:val="16"/>
          <w:szCs w:val="16"/>
        </w:rPr>
        <w:t xml:space="preserve">and </w:t>
      </w:r>
      <w:r w:rsidRPr="00BB11D1">
        <w:rPr>
          <w:w w:val="95"/>
          <w:sz w:val="16"/>
          <w:szCs w:val="16"/>
        </w:rPr>
        <w:t>financial</w:t>
      </w:r>
      <w:r w:rsidRPr="00BB11D1">
        <w:rPr>
          <w:spacing w:val="-14"/>
          <w:w w:val="95"/>
          <w:sz w:val="16"/>
          <w:szCs w:val="16"/>
        </w:rPr>
        <w:t xml:space="preserve"> </w:t>
      </w:r>
      <w:r w:rsidRPr="00BB11D1">
        <w:rPr>
          <w:w w:val="95"/>
          <w:sz w:val="16"/>
          <w:szCs w:val="16"/>
        </w:rPr>
        <w:t>stability.</w:t>
      </w:r>
      <w:r w:rsidRPr="00BB11D1">
        <w:rPr>
          <w:spacing w:val="-14"/>
          <w:w w:val="95"/>
          <w:sz w:val="16"/>
          <w:szCs w:val="16"/>
        </w:rPr>
        <w:t xml:space="preserve"> </w:t>
      </w:r>
      <w:r w:rsidRPr="00BB11D1">
        <w:rPr>
          <w:w w:val="95"/>
          <w:sz w:val="16"/>
          <w:szCs w:val="16"/>
        </w:rPr>
        <w:t>Niepelt</w:t>
      </w:r>
      <w:r w:rsidRPr="00BB11D1">
        <w:rPr>
          <w:spacing w:val="-12"/>
          <w:w w:val="95"/>
          <w:sz w:val="16"/>
          <w:szCs w:val="16"/>
        </w:rPr>
        <w:t xml:space="preserve"> </w:t>
      </w:r>
      <w:r w:rsidRPr="00BB11D1">
        <w:rPr>
          <w:w w:val="95"/>
          <w:sz w:val="16"/>
          <w:szCs w:val="16"/>
        </w:rPr>
        <w:t>(2018)</w:t>
      </w:r>
      <w:r w:rsidRPr="00BB11D1">
        <w:rPr>
          <w:spacing w:val="-14"/>
          <w:w w:val="95"/>
          <w:sz w:val="16"/>
          <w:szCs w:val="16"/>
        </w:rPr>
        <w:t xml:space="preserve"> </w:t>
      </w:r>
      <w:r w:rsidRPr="00BB11D1">
        <w:rPr>
          <w:w w:val="95"/>
          <w:sz w:val="16"/>
          <w:szCs w:val="16"/>
        </w:rPr>
        <w:t>and</w:t>
      </w:r>
      <w:r w:rsidRPr="00BB11D1">
        <w:rPr>
          <w:spacing w:val="-13"/>
          <w:w w:val="95"/>
          <w:sz w:val="16"/>
          <w:szCs w:val="16"/>
        </w:rPr>
        <w:t xml:space="preserve"> </w:t>
      </w:r>
      <w:r w:rsidRPr="00BB11D1">
        <w:rPr>
          <w:w w:val="95"/>
          <w:sz w:val="16"/>
          <w:szCs w:val="16"/>
        </w:rPr>
        <w:t>Panetta</w:t>
      </w:r>
      <w:r w:rsidRPr="00BB11D1">
        <w:rPr>
          <w:spacing w:val="-13"/>
          <w:w w:val="95"/>
          <w:sz w:val="16"/>
          <w:szCs w:val="16"/>
        </w:rPr>
        <w:t xml:space="preserve"> </w:t>
      </w:r>
      <w:r w:rsidRPr="00BB11D1">
        <w:rPr>
          <w:w w:val="95"/>
          <w:sz w:val="16"/>
          <w:szCs w:val="16"/>
        </w:rPr>
        <w:t>(2018)</w:t>
      </w:r>
      <w:r w:rsidRPr="00BB11D1">
        <w:rPr>
          <w:spacing w:val="-13"/>
          <w:w w:val="95"/>
          <w:sz w:val="16"/>
          <w:szCs w:val="16"/>
        </w:rPr>
        <w:t xml:space="preserve"> </w:t>
      </w:r>
      <w:r w:rsidRPr="00BB11D1">
        <w:rPr>
          <w:w w:val="95"/>
          <w:sz w:val="16"/>
          <w:szCs w:val="16"/>
        </w:rPr>
        <w:t>also</w:t>
      </w:r>
      <w:r w:rsidRPr="00BB11D1">
        <w:rPr>
          <w:spacing w:val="-13"/>
          <w:w w:val="95"/>
          <w:sz w:val="16"/>
          <w:szCs w:val="16"/>
        </w:rPr>
        <w:t xml:space="preserve"> </w:t>
      </w:r>
      <w:r w:rsidRPr="00BB11D1">
        <w:rPr>
          <w:w w:val="95"/>
          <w:sz w:val="16"/>
          <w:szCs w:val="16"/>
        </w:rPr>
        <w:t>systematically</w:t>
      </w:r>
      <w:r w:rsidRPr="00BB11D1">
        <w:rPr>
          <w:spacing w:val="-13"/>
          <w:w w:val="95"/>
          <w:sz w:val="16"/>
          <w:szCs w:val="16"/>
        </w:rPr>
        <w:t xml:space="preserve"> </w:t>
      </w:r>
      <w:r w:rsidRPr="00BB11D1">
        <w:rPr>
          <w:w w:val="95"/>
          <w:sz w:val="16"/>
          <w:szCs w:val="16"/>
        </w:rPr>
        <w:t>distinguish</w:t>
      </w:r>
      <w:r w:rsidRPr="00BB11D1">
        <w:rPr>
          <w:spacing w:val="-13"/>
          <w:w w:val="95"/>
          <w:sz w:val="16"/>
          <w:szCs w:val="16"/>
        </w:rPr>
        <w:t xml:space="preserve"> </w:t>
      </w:r>
      <w:r w:rsidRPr="00BB11D1">
        <w:rPr>
          <w:w w:val="95"/>
          <w:sz w:val="16"/>
          <w:szCs w:val="16"/>
        </w:rPr>
        <w:t>the</w:t>
      </w:r>
      <w:r w:rsidRPr="00BB11D1">
        <w:rPr>
          <w:spacing w:val="-15"/>
          <w:w w:val="95"/>
          <w:sz w:val="16"/>
          <w:szCs w:val="16"/>
        </w:rPr>
        <w:t xml:space="preserve"> </w:t>
      </w:r>
      <w:r w:rsidRPr="00BB11D1">
        <w:rPr>
          <w:w w:val="95"/>
          <w:sz w:val="16"/>
          <w:szCs w:val="16"/>
        </w:rPr>
        <w:t>means</w:t>
      </w:r>
      <w:r w:rsidRPr="00BB11D1">
        <w:rPr>
          <w:spacing w:val="-13"/>
          <w:w w:val="95"/>
          <w:sz w:val="16"/>
          <w:szCs w:val="16"/>
        </w:rPr>
        <w:t xml:space="preserve"> </w:t>
      </w:r>
      <w:r w:rsidRPr="00BB11D1">
        <w:rPr>
          <w:w w:val="95"/>
          <w:sz w:val="16"/>
          <w:szCs w:val="16"/>
        </w:rPr>
        <w:t>of</w:t>
      </w:r>
      <w:r w:rsidRPr="00BB11D1">
        <w:rPr>
          <w:spacing w:val="-15"/>
          <w:w w:val="95"/>
          <w:sz w:val="16"/>
          <w:szCs w:val="16"/>
        </w:rPr>
        <w:t xml:space="preserve"> </w:t>
      </w:r>
      <w:r w:rsidRPr="00BB11D1">
        <w:rPr>
          <w:w w:val="95"/>
          <w:sz w:val="16"/>
          <w:szCs w:val="16"/>
        </w:rPr>
        <w:t>payment</w:t>
      </w:r>
      <w:r w:rsidRPr="00BB11D1">
        <w:rPr>
          <w:spacing w:val="-12"/>
          <w:w w:val="95"/>
          <w:sz w:val="16"/>
          <w:szCs w:val="16"/>
        </w:rPr>
        <w:t xml:space="preserve"> </w:t>
      </w:r>
      <w:r w:rsidRPr="00BB11D1">
        <w:rPr>
          <w:w w:val="95"/>
          <w:sz w:val="16"/>
          <w:szCs w:val="16"/>
        </w:rPr>
        <w:t>and</w:t>
      </w:r>
      <w:r w:rsidRPr="00BB11D1">
        <w:rPr>
          <w:spacing w:val="-13"/>
          <w:w w:val="95"/>
          <w:sz w:val="16"/>
          <w:szCs w:val="16"/>
        </w:rPr>
        <w:t xml:space="preserve"> </w:t>
      </w:r>
      <w:r w:rsidRPr="00BB11D1">
        <w:rPr>
          <w:w w:val="95"/>
          <w:sz w:val="16"/>
          <w:szCs w:val="16"/>
        </w:rPr>
        <w:t>the store</w:t>
      </w:r>
      <w:r w:rsidRPr="00BB11D1">
        <w:rPr>
          <w:spacing w:val="-22"/>
          <w:w w:val="95"/>
          <w:sz w:val="16"/>
          <w:szCs w:val="16"/>
        </w:rPr>
        <w:t xml:space="preserve"> </w:t>
      </w:r>
      <w:r w:rsidRPr="00BB11D1">
        <w:rPr>
          <w:w w:val="95"/>
          <w:sz w:val="16"/>
          <w:szCs w:val="16"/>
        </w:rPr>
        <w:t>of</w:t>
      </w:r>
      <w:r w:rsidRPr="00BB11D1">
        <w:rPr>
          <w:spacing w:val="-21"/>
          <w:w w:val="95"/>
          <w:sz w:val="16"/>
          <w:szCs w:val="16"/>
        </w:rPr>
        <w:t xml:space="preserve"> </w:t>
      </w:r>
      <w:r w:rsidRPr="00BB11D1">
        <w:rPr>
          <w:w w:val="95"/>
          <w:sz w:val="16"/>
          <w:szCs w:val="16"/>
        </w:rPr>
        <w:t>value</w:t>
      </w:r>
      <w:r w:rsidRPr="00BB11D1">
        <w:rPr>
          <w:spacing w:val="-23"/>
          <w:w w:val="95"/>
          <w:sz w:val="16"/>
          <w:szCs w:val="16"/>
        </w:rPr>
        <w:t xml:space="preserve"> </w:t>
      </w:r>
      <w:r w:rsidRPr="00BB11D1">
        <w:rPr>
          <w:w w:val="95"/>
          <w:sz w:val="16"/>
          <w:szCs w:val="16"/>
        </w:rPr>
        <w:t>functions</w:t>
      </w:r>
      <w:r w:rsidRPr="00BB11D1">
        <w:rPr>
          <w:spacing w:val="-22"/>
          <w:w w:val="95"/>
          <w:sz w:val="16"/>
          <w:szCs w:val="16"/>
        </w:rPr>
        <w:t xml:space="preserve"> </w:t>
      </w:r>
      <w:r w:rsidRPr="00BB11D1">
        <w:rPr>
          <w:w w:val="95"/>
          <w:sz w:val="16"/>
          <w:szCs w:val="16"/>
        </w:rPr>
        <w:t>of</w:t>
      </w:r>
      <w:r w:rsidRPr="00BB11D1">
        <w:rPr>
          <w:spacing w:val="-22"/>
          <w:w w:val="95"/>
          <w:sz w:val="16"/>
          <w:szCs w:val="16"/>
        </w:rPr>
        <w:t xml:space="preserve"> </w:t>
      </w:r>
      <w:r w:rsidRPr="00BB11D1">
        <w:rPr>
          <w:w w:val="95"/>
          <w:sz w:val="16"/>
          <w:szCs w:val="16"/>
        </w:rPr>
        <w:t>CBDC</w:t>
      </w:r>
      <w:r w:rsidRPr="00BB11D1">
        <w:rPr>
          <w:spacing w:val="-21"/>
          <w:w w:val="95"/>
          <w:sz w:val="16"/>
          <w:szCs w:val="16"/>
        </w:rPr>
        <w:t xml:space="preserve"> </w:t>
      </w:r>
      <w:r w:rsidRPr="00BB11D1">
        <w:rPr>
          <w:w w:val="95"/>
          <w:sz w:val="16"/>
          <w:szCs w:val="16"/>
        </w:rPr>
        <w:t>in</w:t>
      </w:r>
      <w:r w:rsidRPr="00BB11D1">
        <w:rPr>
          <w:spacing w:val="-20"/>
          <w:w w:val="95"/>
          <w:sz w:val="16"/>
          <w:szCs w:val="16"/>
        </w:rPr>
        <w:t xml:space="preserve"> </w:t>
      </w:r>
      <w:r w:rsidRPr="00BB11D1">
        <w:rPr>
          <w:w w:val="95"/>
          <w:sz w:val="16"/>
          <w:szCs w:val="16"/>
        </w:rPr>
        <w:t>assessing</w:t>
      </w:r>
      <w:r w:rsidRPr="00BB11D1">
        <w:rPr>
          <w:spacing w:val="-22"/>
          <w:w w:val="95"/>
          <w:sz w:val="16"/>
          <w:szCs w:val="16"/>
        </w:rPr>
        <w:t xml:space="preserve"> </w:t>
      </w:r>
      <w:r w:rsidRPr="00BB11D1">
        <w:rPr>
          <w:w w:val="95"/>
          <w:sz w:val="16"/>
          <w:szCs w:val="16"/>
        </w:rPr>
        <w:t>its</w:t>
      </w:r>
      <w:r w:rsidRPr="00BB11D1">
        <w:rPr>
          <w:spacing w:val="-19"/>
          <w:w w:val="95"/>
          <w:sz w:val="16"/>
          <w:szCs w:val="16"/>
        </w:rPr>
        <w:t xml:space="preserve"> </w:t>
      </w:r>
      <w:r w:rsidRPr="00BB11D1">
        <w:rPr>
          <w:w w:val="95"/>
          <w:sz w:val="16"/>
          <w:szCs w:val="16"/>
        </w:rPr>
        <w:t>welfare</w:t>
      </w:r>
      <w:r w:rsidRPr="00BB11D1">
        <w:rPr>
          <w:spacing w:val="-22"/>
          <w:w w:val="95"/>
          <w:sz w:val="16"/>
          <w:szCs w:val="16"/>
        </w:rPr>
        <w:t xml:space="preserve"> </w:t>
      </w:r>
      <w:r w:rsidRPr="00BB11D1">
        <w:rPr>
          <w:w w:val="95"/>
          <w:sz w:val="16"/>
          <w:szCs w:val="16"/>
        </w:rPr>
        <w:t>effects.</w:t>
      </w:r>
      <w:r w:rsidRPr="00BB11D1">
        <w:rPr>
          <w:spacing w:val="-21"/>
          <w:w w:val="95"/>
          <w:sz w:val="16"/>
          <w:szCs w:val="16"/>
        </w:rPr>
        <w:t xml:space="preserve"> </w:t>
      </w:r>
      <w:r w:rsidRPr="00BB11D1">
        <w:rPr>
          <w:w w:val="95"/>
          <w:sz w:val="16"/>
          <w:szCs w:val="16"/>
        </w:rPr>
        <w:t>Also</w:t>
      </w:r>
      <w:r w:rsidRPr="00BB11D1">
        <w:rPr>
          <w:spacing w:val="-20"/>
          <w:w w:val="95"/>
          <w:sz w:val="16"/>
          <w:szCs w:val="16"/>
        </w:rPr>
        <w:t xml:space="preserve"> </w:t>
      </w:r>
      <w:r w:rsidRPr="00BB11D1">
        <w:rPr>
          <w:w w:val="95"/>
          <w:sz w:val="16"/>
          <w:szCs w:val="16"/>
        </w:rPr>
        <w:t>studies</w:t>
      </w:r>
      <w:r w:rsidRPr="00BB11D1">
        <w:rPr>
          <w:spacing w:val="-20"/>
          <w:w w:val="95"/>
          <w:sz w:val="16"/>
          <w:szCs w:val="16"/>
        </w:rPr>
        <w:t xml:space="preserve"> </w:t>
      </w:r>
      <w:r w:rsidRPr="00BB11D1">
        <w:rPr>
          <w:w w:val="95"/>
          <w:sz w:val="16"/>
          <w:szCs w:val="16"/>
        </w:rPr>
        <w:t>on</w:t>
      </w:r>
      <w:r w:rsidRPr="00BB11D1">
        <w:rPr>
          <w:spacing w:val="-21"/>
          <w:w w:val="95"/>
          <w:sz w:val="16"/>
          <w:szCs w:val="16"/>
        </w:rPr>
        <w:t xml:space="preserve"> </w:t>
      </w:r>
      <w:r w:rsidRPr="00BB11D1">
        <w:rPr>
          <w:w w:val="95"/>
          <w:sz w:val="16"/>
          <w:szCs w:val="16"/>
        </w:rPr>
        <w:t>the</w:t>
      </w:r>
      <w:r w:rsidRPr="00BB11D1">
        <w:rPr>
          <w:spacing w:val="-22"/>
          <w:w w:val="95"/>
          <w:sz w:val="16"/>
          <w:szCs w:val="16"/>
        </w:rPr>
        <w:t xml:space="preserve"> </w:t>
      </w:r>
      <w:r w:rsidRPr="00BB11D1">
        <w:rPr>
          <w:w w:val="95"/>
          <w:sz w:val="16"/>
          <w:szCs w:val="16"/>
        </w:rPr>
        <w:t>use</w:t>
      </w:r>
      <w:r w:rsidRPr="00BB11D1">
        <w:rPr>
          <w:spacing w:val="-24"/>
          <w:w w:val="95"/>
          <w:sz w:val="16"/>
          <w:szCs w:val="16"/>
        </w:rPr>
        <w:t xml:space="preserve"> </w:t>
      </w:r>
      <w:r w:rsidRPr="00BB11D1">
        <w:rPr>
          <w:w w:val="95"/>
          <w:sz w:val="16"/>
          <w:szCs w:val="16"/>
        </w:rPr>
        <w:t>of</w:t>
      </w:r>
      <w:r w:rsidRPr="00BB11D1">
        <w:rPr>
          <w:spacing w:val="-21"/>
          <w:w w:val="95"/>
          <w:sz w:val="16"/>
          <w:szCs w:val="16"/>
        </w:rPr>
        <w:t xml:space="preserve"> </w:t>
      </w:r>
      <w:r w:rsidRPr="00BB11D1">
        <w:rPr>
          <w:w w:val="95"/>
          <w:sz w:val="16"/>
          <w:szCs w:val="16"/>
        </w:rPr>
        <w:t>banknotes,</w:t>
      </w:r>
      <w:r w:rsidRPr="00BB11D1">
        <w:rPr>
          <w:spacing w:val="-22"/>
          <w:w w:val="95"/>
          <w:sz w:val="16"/>
          <w:szCs w:val="16"/>
        </w:rPr>
        <w:t xml:space="preserve"> </w:t>
      </w:r>
      <w:r w:rsidRPr="00BB11D1">
        <w:rPr>
          <w:w w:val="95"/>
          <w:sz w:val="16"/>
          <w:szCs w:val="16"/>
        </w:rPr>
        <w:t>which</w:t>
      </w:r>
      <w:r w:rsidRPr="00BB11D1">
        <w:rPr>
          <w:spacing w:val="-21"/>
          <w:w w:val="95"/>
          <w:sz w:val="16"/>
          <w:szCs w:val="16"/>
        </w:rPr>
        <w:t xml:space="preserve"> </w:t>
      </w:r>
      <w:r w:rsidRPr="00BB11D1">
        <w:rPr>
          <w:w w:val="95"/>
          <w:sz w:val="16"/>
          <w:szCs w:val="16"/>
        </w:rPr>
        <w:t xml:space="preserve">clearly </w:t>
      </w:r>
      <w:r w:rsidRPr="00BB11D1">
        <w:rPr>
          <w:sz w:val="16"/>
          <w:szCs w:val="16"/>
        </w:rPr>
        <w:t>distinguish</w:t>
      </w:r>
      <w:r w:rsidRPr="00BB11D1">
        <w:rPr>
          <w:spacing w:val="-9"/>
          <w:sz w:val="16"/>
          <w:szCs w:val="16"/>
        </w:rPr>
        <w:t xml:space="preserve"> </w:t>
      </w:r>
      <w:r w:rsidRPr="00BB11D1">
        <w:rPr>
          <w:sz w:val="16"/>
          <w:szCs w:val="16"/>
        </w:rPr>
        <w:t>between</w:t>
      </w:r>
      <w:r w:rsidRPr="00BB11D1">
        <w:rPr>
          <w:spacing w:val="-8"/>
          <w:sz w:val="16"/>
          <w:szCs w:val="16"/>
        </w:rPr>
        <w:t xml:space="preserve"> </w:t>
      </w:r>
      <w:r w:rsidRPr="00BB11D1">
        <w:rPr>
          <w:sz w:val="16"/>
          <w:szCs w:val="16"/>
        </w:rPr>
        <w:t>these</w:t>
      </w:r>
      <w:r w:rsidRPr="00BB11D1">
        <w:rPr>
          <w:spacing w:val="-9"/>
          <w:sz w:val="16"/>
          <w:szCs w:val="16"/>
        </w:rPr>
        <w:t xml:space="preserve"> </w:t>
      </w:r>
      <w:r w:rsidRPr="00BB11D1">
        <w:rPr>
          <w:sz w:val="16"/>
          <w:szCs w:val="16"/>
        </w:rPr>
        <w:t>two</w:t>
      </w:r>
      <w:r w:rsidRPr="00BB11D1">
        <w:rPr>
          <w:spacing w:val="-9"/>
          <w:sz w:val="16"/>
          <w:szCs w:val="16"/>
        </w:rPr>
        <w:t xml:space="preserve"> </w:t>
      </w:r>
      <w:r w:rsidRPr="00BB11D1">
        <w:rPr>
          <w:sz w:val="16"/>
          <w:szCs w:val="16"/>
        </w:rPr>
        <w:t>functions,</w:t>
      </w:r>
      <w:r w:rsidRPr="00BB11D1">
        <w:rPr>
          <w:spacing w:val="-8"/>
          <w:sz w:val="16"/>
          <w:szCs w:val="16"/>
        </w:rPr>
        <w:t xml:space="preserve"> </w:t>
      </w:r>
      <w:r w:rsidRPr="00BB11D1">
        <w:rPr>
          <w:sz w:val="16"/>
          <w:szCs w:val="16"/>
        </w:rPr>
        <w:t>are</w:t>
      </w:r>
      <w:r w:rsidRPr="00BB11D1">
        <w:rPr>
          <w:spacing w:val="-10"/>
          <w:sz w:val="16"/>
          <w:szCs w:val="16"/>
        </w:rPr>
        <w:t xml:space="preserve"> </w:t>
      </w:r>
      <w:r w:rsidRPr="00BB11D1">
        <w:rPr>
          <w:sz w:val="16"/>
          <w:szCs w:val="16"/>
        </w:rPr>
        <w:t>of</w:t>
      </w:r>
      <w:r w:rsidRPr="00BB11D1">
        <w:rPr>
          <w:spacing w:val="-8"/>
          <w:sz w:val="16"/>
          <w:szCs w:val="16"/>
        </w:rPr>
        <w:t xml:space="preserve"> </w:t>
      </w:r>
      <w:r w:rsidRPr="00BB11D1">
        <w:rPr>
          <w:sz w:val="16"/>
          <w:szCs w:val="16"/>
        </w:rPr>
        <w:t>interest</w:t>
      </w:r>
      <w:r w:rsidRPr="00BB11D1">
        <w:rPr>
          <w:spacing w:val="-7"/>
          <w:sz w:val="16"/>
          <w:szCs w:val="16"/>
        </w:rPr>
        <w:t xml:space="preserve"> </w:t>
      </w:r>
      <w:r w:rsidRPr="00BB11D1">
        <w:rPr>
          <w:sz w:val="16"/>
          <w:szCs w:val="16"/>
        </w:rPr>
        <w:t>to</w:t>
      </w:r>
      <w:r w:rsidRPr="00BB11D1">
        <w:rPr>
          <w:spacing w:val="-8"/>
          <w:sz w:val="16"/>
          <w:szCs w:val="16"/>
        </w:rPr>
        <w:t xml:space="preserve"> </w:t>
      </w:r>
      <w:r w:rsidRPr="00BB11D1">
        <w:rPr>
          <w:sz w:val="16"/>
          <w:szCs w:val="16"/>
        </w:rPr>
        <w:t>understand</w:t>
      </w:r>
      <w:r w:rsidRPr="00BB11D1">
        <w:rPr>
          <w:spacing w:val="-8"/>
          <w:sz w:val="16"/>
          <w:szCs w:val="16"/>
        </w:rPr>
        <w:t xml:space="preserve"> </w:t>
      </w:r>
      <w:r w:rsidRPr="00BB11D1">
        <w:rPr>
          <w:sz w:val="16"/>
          <w:szCs w:val="16"/>
        </w:rPr>
        <w:t>the</w:t>
      </w:r>
      <w:r w:rsidRPr="00BB11D1">
        <w:rPr>
          <w:spacing w:val="-10"/>
          <w:sz w:val="16"/>
          <w:szCs w:val="16"/>
        </w:rPr>
        <w:t xml:space="preserve"> </w:t>
      </w:r>
      <w:r w:rsidRPr="00BB11D1">
        <w:rPr>
          <w:sz w:val="16"/>
          <w:szCs w:val="16"/>
        </w:rPr>
        <w:t>role</w:t>
      </w:r>
      <w:r w:rsidRPr="00BB11D1">
        <w:rPr>
          <w:spacing w:val="-9"/>
          <w:sz w:val="16"/>
          <w:szCs w:val="16"/>
        </w:rPr>
        <w:t xml:space="preserve"> </w:t>
      </w:r>
      <w:r w:rsidRPr="00BB11D1">
        <w:rPr>
          <w:sz w:val="16"/>
          <w:szCs w:val="16"/>
        </w:rPr>
        <w:t>of</w:t>
      </w:r>
      <w:r w:rsidRPr="00BB11D1">
        <w:rPr>
          <w:spacing w:val="-10"/>
          <w:sz w:val="16"/>
          <w:szCs w:val="16"/>
        </w:rPr>
        <w:t xml:space="preserve"> </w:t>
      </w:r>
      <w:r w:rsidRPr="00BB11D1">
        <w:rPr>
          <w:sz w:val="16"/>
          <w:szCs w:val="16"/>
        </w:rPr>
        <w:t>the</w:t>
      </w:r>
      <w:r w:rsidRPr="00BB11D1">
        <w:rPr>
          <w:spacing w:val="-9"/>
          <w:sz w:val="16"/>
          <w:szCs w:val="16"/>
        </w:rPr>
        <w:t xml:space="preserve"> </w:t>
      </w:r>
      <w:r w:rsidRPr="00BB11D1">
        <w:rPr>
          <w:sz w:val="16"/>
          <w:szCs w:val="16"/>
        </w:rPr>
        <w:t>two</w:t>
      </w:r>
      <w:r w:rsidRPr="00BB11D1">
        <w:rPr>
          <w:spacing w:val="-7"/>
          <w:sz w:val="16"/>
          <w:szCs w:val="16"/>
        </w:rPr>
        <w:t xml:space="preserve"> </w:t>
      </w:r>
      <w:r w:rsidRPr="00BB11D1">
        <w:rPr>
          <w:sz w:val="16"/>
          <w:szCs w:val="16"/>
        </w:rPr>
        <w:t>motives</w:t>
      </w:r>
      <w:r w:rsidRPr="00BB11D1">
        <w:rPr>
          <w:spacing w:val="-8"/>
          <w:sz w:val="16"/>
          <w:szCs w:val="16"/>
        </w:rPr>
        <w:t xml:space="preserve"> </w:t>
      </w:r>
      <w:r w:rsidRPr="00BB11D1">
        <w:rPr>
          <w:sz w:val="16"/>
          <w:szCs w:val="16"/>
        </w:rPr>
        <w:t>for</w:t>
      </w:r>
      <w:r w:rsidRPr="00BB11D1">
        <w:rPr>
          <w:spacing w:val="-9"/>
          <w:sz w:val="16"/>
          <w:szCs w:val="16"/>
        </w:rPr>
        <w:t xml:space="preserve"> </w:t>
      </w:r>
      <w:r w:rsidRPr="00BB11D1">
        <w:rPr>
          <w:sz w:val="16"/>
          <w:szCs w:val="16"/>
        </w:rPr>
        <w:t>holding potential</w:t>
      </w:r>
      <w:r w:rsidRPr="00BB11D1">
        <w:rPr>
          <w:spacing w:val="-17"/>
          <w:sz w:val="16"/>
          <w:szCs w:val="16"/>
        </w:rPr>
        <w:t xml:space="preserve"> </w:t>
      </w:r>
      <w:r w:rsidRPr="00BB11D1">
        <w:rPr>
          <w:sz w:val="16"/>
          <w:szCs w:val="16"/>
        </w:rPr>
        <w:t>future</w:t>
      </w:r>
      <w:r w:rsidRPr="00BB11D1">
        <w:rPr>
          <w:spacing w:val="-17"/>
          <w:sz w:val="16"/>
          <w:szCs w:val="16"/>
        </w:rPr>
        <w:t xml:space="preserve"> </w:t>
      </w:r>
      <w:r w:rsidRPr="00BB11D1">
        <w:rPr>
          <w:sz w:val="16"/>
          <w:szCs w:val="16"/>
        </w:rPr>
        <w:t>CBDC</w:t>
      </w:r>
      <w:r w:rsidRPr="00BB11D1">
        <w:rPr>
          <w:spacing w:val="-17"/>
          <w:sz w:val="16"/>
          <w:szCs w:val="16"/>
        </w:rPr>
        <w:t xml:space="preserve"> </w:t>
      </w:r>
      <w:r w:rsidRPr="00BB11D1">
        <w:rPr>
          <w:sz w:val="16"/>
          <w:szCs w:val="16"/>
        </w:rPr>
        <w:t>–</w:t>
      </w:r>
      <w:r w:rsidRPr="00BB11D1">
        <w:rPr>
          <w:spacing w:val="-16"/>
          <w:sz w:val="16"/>
          <w:szCs w:val="16"/>
        </w:rPr>
        <w:t xml:space="preserve"> </w:t>
      </w:r>
      <w:r w:rsidRPr="00BB11D1">
        <w:rPr>
          <w:sz w:val="16"/>
          <w:szCs w:val="16"/>
        </w:rPr>
        <w:t>see</w:t>
      </w:r>
      <w:r w:rsidRPr="00BB11D1">
        <w:rPr>
          <w:spacing w:val="-15"/>
          <w:sz w:val="16"/>
          <w:szCs w:val="16"/>
        </w:rPr>
        <w:t xml:space="preserve"> </w:t>
      </w:r>
      <w:r w:rsidRPr="00BB11D1">
        <w:rPr>
          <w:sz w:val="16"/>
          <w:szCs w:val="16"/>
        </w:rPr>
        <w:t>for</w:t>
      </w:r>
      <w:r w:rsidRPr="00BB11D1">
        <w:rPr>
          <w:spacing w:val="-16"/>
          <w:sz w:val="16"/>
          <w:szCs w:val="16"/>
        </w:rPr>
        <w:t xml:space="preserve"> </w:t>
      </w:r>
      <w:r w:rsidRPr="00BB11D1">
        <w:rPr>
          <w:sz w:val="16"/>
          <w:szCs w:val="16"/>
        </w:rPr>
        <w:t>example</w:t>
      </w:r>
      <w:r w:rsidRPr="00BB11D1">
        <w:rPr>
          <w:spacing w:val="-17"/>
          <w:sz w:val="16"/>
          <w:szCs w:val="16"/>
        </w:rPr>
        <w:t xml:space="preserve"> </w:t>
      </w:r>
      <w:r w:rsidRPr="00BB11D1">
        <w:rPr>
          <w:sz w:val="16"/>
          <w:szCs w:val="16"/>
        </w:rPr>
        <w:t>Lalouette</w:t>
      </w:r>
      <w:r w:rsidRPr="00BB11D1">
        <w:rPr>
          <w:spacing w:val="-18"/>
          <w:sz w:val="16"/>
          <w:szCs w:val="16"/>
        </w:rPr>
        <w:t xml:space="preserve"> </w:t>
      </w:r>
      <w:r w:rsidRPr="00BB11D1">
        <w:rPr>
          <w:sz w:val="16"/>
          <w:szCs w:val="16"/>
        </w:rPr>
        <w:t>and</w:t>
      </w:r>
      <w:r w:rsidRPr="00BB11D1">
        <w:rPr>
          <w:spacing w:val="-16"/>
          <w:sz w:val="16"/>
          <w:szCs w:val="16"/>
        </w:rPr>
        <w:t xml:space="preserve"> </w:t>
      </w:r>
      <w:r w:rsidRPr="00BB11D1">
        <w:rPr>
          <w:sz w:val="16"/>
          <w:szCs w:val="16"/>
        </w:rPr>
        <w:t>Esselink</w:t>
      </w:r>
      <w:r w:rsidRPr="00BB11D1">
        <w:rPr>
          <w:spacing w:val="-15"/>
          <w:sz w:val="16"/>
          <w:szCs w:val="16"/>
        </w:rPr>
        <w:t xml:space="preserve"> </w:t>
      </w:r>
      <w:r w:rsidRPr="00BB11D1">
        <w:rPr>
          <w:sz w:val="16"/>
          <w:szCs w:val="16"/>
        </w:rPr>
        <w:t>(2018).</w:t>
      </w:r>
    </w:p>
  </w:footnote>
  <w:footnote w:id="4">
    <w:p w:rsidR="00BB11D1" w:rsidRPr="00BB11D1" w:rsidRDefault="00BB11D1" w:rsidP="00BB11D1">
      <w:pPr>
        <w:spacing w:before="3" w:line="254" w:lineRule="auto"/>
        <w:ind w:left="249" w:right="770" w:hanging="1"/>
        <w:jc w:val="both"/>
        <w:rPr>
          <w:sz w:val="16"/>
          <w:szCs w:val="16"/>
        </w:rPr>
      </w:pPr>
      <w:r w:rsidRPr="00BB11D1">
        <w:rPr>
          <w:rStyle w:val="FootnoteReference"/>
          <w:sz w:val="16"/>
          <w:szCs w:val="16"/>
        </w:rPr>
        <w:footnoteRef/>
      </w:r>
      <w:r w:rsidRPr="00BB11D1">
        <w:rPr>
          <w:sz w:val="16"/>
          <w:szCs w:val="16"/>
        </w:rPr>
        <w:t xml:space="preserve"> A</w:t>
      </w:r>
      <w:r w:rsidRPr="00BB11D1">
        <w:rPr>
          <w:spacing w:val="-35"/>
          <w:sz w:val="16"/>
          <w:szCs w:val="16"/>
        </w:rPr>
        <w:t xml:space="preserve"> </w:t>
      </w:r>
      <w:r w:rsidRPr="00BB11D1">
        <w:rPr>
          <w:sz w:val="16"/>
          <w:szCs w:val="16"/>
        </w:rPr>
        <w:t>financial</w:t>
      </w:r>
      <w:r w:rsidRPr="00BB11D1">
        <w:rPr>
          <w:spacing w:val="-34"/>
          <w:sz w:val="16"/>
          <w:szCs w:val="16"/>
        </w:rPr>
        <w:t xml:space="preserve"> </w:t>
      </w:r>
      <w:r w:rsidRPr="00BB11D1">
        <w:rPr>
          <w:sz w:val="16"/>
          <w:szCs w:val="16"/>
        </w:rPr>
        <w:t>accounts</w:t>
      </w:r>
      <w:r w:rsidRPr="00BB11D1">
        <w:rPr>
          <w:spacing w:val="-34"/>
          <w:sz w:val="16"/>
          <w:szCs w:val="16"/>
        </w:rPr>
        <w:t xml:space="preserve"> </w:t>
      </w:r>
      <w:r w:rsidRPr="00BB11D1">
        <w:rPr>
          <w:sz w:val="16"/>
          <w:szCs w:val="16"/>
        </w:rPr>
        <w:t>framework</w:t>
      </w:r>
      <w:r w:rsidRPr="00BB11D1">
        <w:rPr>
          <w:spacing w:val="-35"/>
          <w:sz w:val="16"/>
          <w:szCs w:val="16"/>
        </w:rPr>
        <w:t xml:space="preserve"> </w:t>
      </w:r>
      <w:r w:rsidRPr="00BB11D1">
        <w:rPr>
          <w:sz w:val="16"/>
          <w:szCs w:val="16"/>
        </w:rPr>
        <w:t>to</w:t>
      </w:r>
      <w:r w:rsidRPr="00BB11D1">
        <w:rPr>
          <w:spacing w:val="-34"/>
          <w:sz w:val="16"/>
          <w:szCs w:val="16"/>
        </w:rPr>
        <w:t xml:space="preserve"> </w:t>
      </w:r>
      <w:r w:rsidRPr="00BB11D1">
        <w:rPr>
          <w:sz w:val="16"/>
          <w:szCs w:val="16"/>
        </w:rPr>
        <w:t>analyse</w:t>
      </w:r>
      <w:r w:rsidRPr="00BB11D1">
        <w:rPr>
          <w:spacing w:val="-35"/>
          <w:sz w:val="16"/>
          <w:szCs w:val="16"/>
        </w:rPr>
        <w:t xml:space="preserve"> </w:t>
      </w:r>
      <w:r w:rsidRPr="00BB11D1">
        <w:rPr>
          <w:sz w:val="16"/>
          <w:szCs w:val="16"/>
        </w:rPr>
        <w:t>CBDC</w:t>
      </w:r>
      <w:r w:rsidRPr="00BB11D1">
        <w:rPr>
          <w:spacing w:val="-35"/>
          <w:sz w:val="16"/>
          <w:szCs w:val="16"/>
        </w:rPr>
        <w:t xml:space="preserve"> </w:t>
      </w:r>
      <w:r w:rsidRPr="00BB11D1">
        <w:rPr>
          <w:sz w:val="16"/>
          <w:szCs w:val="16"/>
        </w:rPr>
        <w:t>is</w:t>
      </w:r>
      <w:r w:rsidRPr="00BB11D1">
        <w:rPr>
          <w:spacing w:val="-34"/>
          <w:sz w:val="16"/>
          <w:szCs w:val="16"/>
        </w:rPr>
        <w:t xml:space="preserve"> </w:t>
      </w:r>
      <w:r w:rsidRPr="00BB11D1">
        <w:rPr>
          <w:sz w:val="16"/>
          <w:szCs w:val="16"/>
        </w:rPr>
        <w:t>also</w:t>
      </w:r>
      <w:r w:rsidRPr="00BB11D1">
        <w:rPr>
          <w:spacing w:val="-34"/>
          <w:sz w:val="16"/>
          <w:szCs w:val="16"/>
        </w:rPr>
        <w:t xml:space="preserve"> </w:t>
      </w:r>
      <w:r w:rsidRPr="00BB11D1">
        <w:rPr>
          <w:sz w:val="16"/>
          <w:szCs w:val="16"/>
        </w:rPr>
        <w:t>used</w:t>
      </w:r>
      <w:r w:rsidRPr="00BB11D1">
        <w:rPr>
          <w:spacing w:val="-34"/>
          <w:sz w:val="16"/>
          <w:szCs w:val="16"/>
        </w:rPr>
        <w:t xml:space="preserve"> </w:t>
      </w:r>
      <w:r w:rsidRPr="00BB11D1">
        <w:rPr>
          <w:sz w:val="16"/>
          <w:szCs w:val="16"/>
        </w:rPr>
        <w:t>by</w:t>
      </w:r>
      <w:r w:rsidRPr="00BB11D1">
        <w:rPr>
          <w:spacing w:val="-34"/>
          <w:sz w:val="16"/>
          <w:szCs w:val="16"/>
        </w:rPr>
        <w:t xml:space="preserve"> </w:t>
      </w:r>
      <w:r w:rsidRPr="00BB11D1">
        <w:rPr>
          <w:sz w:val="16"/>
          <w:szCs w:val="16"/>
        </w:rPr>
        <w:t>Meaning</w:t>
      </w:r>
      <w:r w:rsidRPr="00BB11D1">
        <w:rPr>
          <w:spacing w:val="-35"/>
          <w:sz w:val="16"/>
          <w:szCs w:val="16"/>
        </w:rPr>
        <w:t xml:space="preserve"> </w:t>
      </w:r>
      <w:proofErr w:type="gramStart"/>
      <w:r w:rsidRPr="00BB11D1">
        <w:rPr>
          <w:sz w:val="16"/>
          <w:szCs w:val="16"/>
        </w:rPr>
        <w:t>et</w:t>
      </w:r>
      <w:proofErr w:type="gramEnd"/>
      <w:r w:rsidRPr="00BB11D1">
        <w:rPr>
          <w:spacing w:val="-34"/>
          <w:sz w:val="16"/>
          <w:szCs w:val="16"/>
        </w:rPr>
        <w:t xml:space="preserve"> </w:t>
      </w:r>
      <w:r w:rsidRPr="00BB11D1">
        <w:rPr>
          <w:sz w:val="16"/>
          <w:szCs w:val="16"/>
        </w:rPr>
        <w:t>all,</w:t>
      </w:r>
      <w:r w:rsidRPr="00BB11D1">
        <w:rPr>
          <w:spacing w:val="-34"/>
          <w:sz w:val="16"/>
          <w:szCs w:val="16"/>
        </w:rPr>
        <w:t xml:space="preserve"> </w:t>
      </w:r>
      <w:r w:rsidRPr="00BB11D1">
        <w:rPr>
          <w:sz w:val="16"/>
          <w:szCs w:val="16"/>
        </w:rPr>
        <w:t>(2017),</w:t>
      </w:r>
      <w:r w:rsidRPr="00BB11D1">
        <w:rPr>
          <w:spacing w:val="-33"/>
          <w:sz w:val="16"/>
          <w:szCs w:val="16"/>
        </w:rPr>
        <w:t xml:space="preserve"> </w:t>
      </w:r>
      <w:r w:rsidRPr="00BB11D1">
        <w:rPr>
          <w:sz w:val="16"/>
          <w:szCs w:val="16"/>
        </w:rPr>
        <w:t>but</w:t>
      </w:r>
      <w:r w:rsidRPr="00BB11D1">
        <w:rPr>
          <w:spacing w:val="-34"/>
          <w:sz w:val="16"/>
          <w:szCs w:val="16"/>
        </w:rPr>
        <w:t xml:space="preserve"> </w:t>
      </w:r>
      <w:r w:rsidRPr="00BB11D1">
        <w:rPr>
          <w:sz w:val="16"/>
          <w:szCs w:val="16"/>
        </w:rPr>
        <w:t>more</w:t>
      </w:r>
      <w:r w:rsidRPr="00BB11D1">
        <w:rPr>
          <w:spacing w:val="-35"/>
          <w:sz w:val="16"/>
          <w:szCs w:val="16"/>
        </w:rPr>
        <w:t xml:space="preserve"> </w:t>
      </w:r>
      <w:r w:rsidRPr="00BB11D1">
        <w:rPr>
          <w:sz w:val="16"/>
          <w:szCs w:val="16"/>
        </w:rPr>
        <w:t>in</w:t>
      </w:r>
      <w:r w:rsidRPr="00BB11D1">
        <w:rPr>
          <w:spacing w:val="-34"/>
          <w:sz w:val="16"/>
          <w:szCs w:val="16"/>
        </w:rPr>
        <w:t xml:space="preserve"> </w:t>
      </w:r>
      <w:r w:rsidRPr="00BB11D1">
        <w:rPr>
          <w:sz w:val="16"/>
          <w:szCs w:val="16"/>
        </w:rPr>
        <w:t>the</w:t>
      </w:r>
      <w:r w:rsidRPr="00BB11D1">
        <w:rPr>
          <w:spacing w:val="-34"/>
          <w:sz w:val="16"/>
          <w:szCs w:val="16"/>
        </w:rPr>
        <w:t xml:space="preserve"> </w:t>
      </w:r>
      <w:r w:rsidRPr="00BB11D1">
        <w:rPr>
          <w:sz w:val="16"/>
          <w:szCs w:val="16"/>
        </w:rPr>
        <w:t>form</w:t>
      </w:r>
      <w:r w:rsidRPr="00BB11D1">
        <w:rPr>
          <w:spacing w:val="-35"/>
          <w:sz w:val="16"/>
          <w:szCs w:val="16"/>
        </w:rPr>
        <w:t xml:space="preserve"> </w:t>
      </w:r>
      <w:r w:rsidRPr="00BB11D1">
        <w:rPr>
          <w:sz w:val="16"/>
          <w:szCs w:val="16"/>
        </w:rPr>
        <w:t>of</w:t>
      </w:r>
      <w:r w:rsidRPr="00BB11D1">
        <w:rPr>
          <w:spacing w:val="-35"/>
          <w:sz w:val="16"/>
          <w:szCs w:val="16"/>
        </w:rPr>
        <w:t xml:space="preserve"> </w:t>
      </w:r>
      <w:r w:rsidRPr="00BB11D1">
        <w:rPr>
          <w:sz w:val="16"/>
          <w:szCs w:val="16"/>
        </w:rPr>
        <w:t>a graphical</w:t>
      </w:r>
      <w:r w:rsidRPr="00BB11D1">
        <w:rPr>
          <w:spacing w:val="-12"/>
          <w:sz w:val="16"/>
          <w:szCs w:val="16"/>
        </w:rPr>
        <w:t xml:space="preserve"> </w:t>
      </w:r>
      <w:r w:rsidRPr="00BB11D1">
        <w:rPr>
          <w:sz w:val="16"/>
          <w:szCs w:val="16"/>
        </w:rPr>
        <w:t>illustration.</w:t>
      </w:r>
    </w:p>
    <w:p w:rsidR="00BB11D1" w:rsidRDefault="00BB11D1">
      <w:pPr>
        <w:pStyle w:val="FootnoteText"/>
      </w:pPr>
    </w:p>
  </w:footnote>
  <w:footnote w:id="5">
    <w:p w:rsidR="00BB11D1" w:rsidRPr="00BB11D1" w:rsidRDefault="00BB11D1" w:rsidP="00BB11D1">
      <w:pPr>
        <w:pStyle w:val="FootnoteText"/>
        <w:bidi/>
        <w:rPr>
          <w:rFonts w:asciiTheme="majorBidi" w:hAnsiTheme="majorBidi" w:cstheme="majorBidi"/>
          <w:w w:val="95"/>
          <w:sz w:val="16"/>
          <w:szCs w:val="16"/>
          <w:rtl/>
          <w:lang w:bidi="ar-SA"/>
        </w:rPr>
      </w:pPr>
      <w:r w:rsidRPr="00BB11D1">
        <w:rPr>
          <w:rStyle w:val="FootnoteReference"/>
          <w:rFonts w:asciiTheme="majorBidi" w:hAnsiTheme="majorBidi" w:cstheme="majorBidi"/>
          <w:sz w:val="16"/>
          <w:szCs w:val="16"/>
          <w:vertAlign w:val="baseline"/>
        </w:rPr>
        <w:footnoteRef/>
      </w:r>
      <w:r w:rsidRPr="00BB11D1">
        <w:rPr>
          <w:rFonts w:asciiTheme="majorBidi" w:hAnsiTheme="majorBidi" w:cstheme="majorBidi"/>
          <w:sz w:val="16"/>
          <w:szCs w:val="16"/>
        </w:rPr>
        <w:t xml:space="preserve"> </w:t>
      </w:r>
      <w:r w:rsidRPr="00BB11D1">
        <w:rPr>
          <w:rFonts w:asciiTheme="majorBidi" w:hAnsiTheme="majorBidi" w:cstheme="majorBidi"/>
          <w:w w:val="95"/>
          <w:sz w:val="16"/>
          <w:szCs w:val="16"/>
          <w:rtl/>
          <w:lang w:bidi="ar-SA"/>
        </w:rPr>
        <w:t xml:space="preserve"> يمكن تبني حالة انخفاض دخل البنك المركزي إذا كان سي بي دي سي يحل محل الأوراق النقدية وسيكون معدل الأجور أعلى من الأوراق النقدية.</w:t>
      </w:r>
    </w:p>
  </w:footnote>
  <w:footnote w:id="6">
    <w:p w:rsidR="00BB11D1" w:rsidRDefault="00BB11D1" w:rsidP="00BB11D1">
      <w:pPr>
        <w:spacing w:before="194" w:line="254" w:lineRule="auto"/>
        <w:ind w:left="249" w:right="771" w:hanging="1"/>
        <w:jc w:val="both"/>
        <w:rPr>
          <w:sz w:val="20"/>
        </w:rPr>
      </w:pPr>
      <w:r>
        <w:rPr>
          <w:rStyle w:val="FootnoteReference"/>
        </w:rPr>
        <w:footnoteRef/>
      </w:r>
      <w:r>
        <w:t xml:space="preserve"> </w:t>
      </w:r>
      <w:r w:rsidRPr="00BB11D1">
        <w:rPr>
          <w:w w:val="95"/>
          <w:sz w:val="16"/>
          <w:szCs w:val="18"/>
        </w:rPr>
        <w:t>Juks</w:t>
      </w:r>
      <w:r w:rsidRPr="00BB11D1">
        <w:rPr>
          <w:spacing w:val="-15"/>
          <w:w w:val="95"/>
          <w:sz w:val="16"/>
          <w:szCs w:val="18"/>
        </w:rPr>
        <w:t xml:space="preserve"> </w:t>
      </w:r>
      <w:r w:rsidRPr="00BB11D1">
        <w:rPr>
          <w:w w:val="95"/>
          <w:sz w:val="16"/>
          <w:szCs w:val="18"/>
        </w:rPr>
        <w:t>(2018,</w:t>
      </w:r>
      <w:r w:rsidRPr="00BB11D1">
        <w:rPr>
          <w:spacing w:val="-16"/>
          <w:w w:val="95"/>
          <w:sz w:val="16"/>
          <w:szCs w:val="18"/>
        </w:rPr>
        <w:t xml:space="preserve"> </w:t>
      </w:r>
      <w:r w:rsidRPr="00BB11D1">
        <w:rPr>
          <w:w w:val="95"/>
          <w:sz w:val="16"/>
          <w:szCs w:val="18"/>
        </w:rPr>
        <w:t>section</w:t>
      </w:r>
      <w:r w:rsidRPr="00BB11D1">
        <w:rPr>
          <w:spacing w:val="-15"/>
          <w:w w:val="95"/>
          <w:sz w:val="16"/>
          <w:szCs w:val="18"/>
        </w:rPr>
        <w:t xml:space="preserve"> </w:t>
      </w:r>
      <w:r w:rsidRPr="00BB11D1">
        <w:rPr>
          <w:w w:val="95"/>
          <w:sz w:val="16"/>
          <w:szCs w:val="18"/>
        </w:rPr>
        <w:t>5)</w:t>
      </w:r>
      <w:r w:rsidRPr="00BB11D1">
        <w:rPr>
          <w:spacing w:val="-17"/>
          <w:w w:val="95"/>
          <w:sz w:val="16"/>
          <w:szCs w:val="18"/>
        </w:rPr>
        <w:t xml:space="preserve"> </w:t>
      </w:r>
      <w:r w:rsidRPr="00BB11D1">
        <w:rPr>
          <w:w w:val="95"/>
          <w:sz w:val="16"/>
          <w:szCs w:val="18"/>
        </w:rPr>
        <w:t>also</w:t>
      </w:r>
      <w:r w:rsidRPr="00BB11D1">
        <w:rPr>
          <w:spacing w:val="-16"/>
          <w:w w:val="95"/>
          <w:sz w:val="16"/>
          <w:szCs w:val="18"/>
        </w:rPr>
        <w:t xml:space="preserve"> </w:t>
      </w:r>
      <w:r w:rsidRPr="00BB11D1">
        <w:rPr>
          <w:w w:val="95"/>
          <w:sz w:val="16"/>
          <w:szCs w:val="18"/>
        </w:rPr>
        <w:t>distinguishes</w:t>
      </w:r>
      <w:r w:rsidRPr="00BB11D1">
        <w:rPr>
          <w:spacing w:val="-15"/>
          <w:w w:val="95"/>
          <w:sz w:val="16"/>
          <w:szCs w:val="18"/>
        </w:rPr>
        <w:t xml:space="preserve"> </w:t>
      </w:r>
      <w:r w:rsidRPr="00BB11D1">
        <w:rPr>
          <w:w w:val="95"/>
          <w:sz w:val="16"/>
          <w:szCs w:val="18"/>
        </w:rPr>
        <w:t>three</w:t>
      </w:r>
      <w:r w:rsidRPr="00BB11D1">
        <w:rPr>
          <w:spacing w:val="-17"/>
          <w:w w:val="95"/>
          <w:sz w:val="16"/>
          <w:szCs w:val="18"/>
        </w:rPr>
        <w:t xml:space="preserve"> </w:t>
      </w:r>
      <w:r w:rsidRPr="00BB11D1">
        <w:rPr>
          <w:w w:val="95"/>
          <w:sz w:val="16"/>
          <w:szCs w:val="18"/>
        </w:rPr>
        <w:t>forms</w:t>
      </w:r>
      <w:r w:rsidRPr="00BB11D1">
        <w:rPr>
          <w:spacing w:val="-15"/>
          <w:w w:val="95"/>
          <w:sz w:val="16"/>
          <w:szCs w:val="18"/>
        </w:rPr>
        <w:t xml:space="preserve"> </w:t>
      </w:r>
      <w:r w:rsidRPr="00BB11D1">
        <w:rPr>
          <w:w w:val="95"/>
          <w:sz w:val="16"/>
          <w:szCs w:val="18"/>
        </w:rPr>
        <w:t>of</w:t>
      </w:r>
      <w:r w:rsidRPr="00BB11D1">
        <w:rPr>
          <w:spacing w:val="-15"/>
          <w:w w:val="95"/>
          <w:sz w:val="16"/>
          <w:szCs w:val="18"/>
        </w:rPr>
        <w:t xml:space="preserve"> </w:t>
      </w:r>
      <w:r w:rsidRPr="00BB11D1">
        <w:rPr>
          <w:w w:val="95"/>
          <w:sz w:val="16"/>
          <w:szCs w:val="18"/>
        </w:rPr>
        <w:t>runs,</w:t>
      </w:r>
      <w:r w:rsidRPr="00BB11D1">
        <w:rPr>
          <w:spacing w:val="-16"/>
          <w:w w:val="95"/>
          <w:sz w:val="16"/>
          <w:szCs w:val="18"/>
        </w:rPr>
        <w:t xml:space="preserve"> </w:t>
      </w:r>
      <w:r w:rsidRPr="00BB11D1">
        <w:rPr>
          <w:w w:val="95"/>
          <w:sz w:val="16"/>
          <w:szCs w:val="18"/>
        </w:rPr>
        <w:t>although</w:t>
      </w:r>
      <w:r w:rsidRPr="00BB11D1">
        <w:rPr>
          <w:spacing w:val="-15"/>
          <w:w w:val="95"/>
          <w:sz w:val="16"/>
          <w:szCs w:val="18"/>
        </w:rPr>
        <w:t xml:space="preserve"> </w:t>
      </w:r>
      <w:r w:rsidRPr="00BB11D1">
        <w:rPr>
          <w:w w:val="95"/>
          <w:sz w:val="16"/>
          <w:szCs w:val="18"/>
        </w:rPr>
        <w:t>not</w:t>
      </w:r>
      <w:r w:rsidRPr="00BB11D1">
        <w:rPr>
          <w:spacing w:val="-16"/>
          <w:w w:val="95"/>
          <w:sz w:val="16"/>
          <w:szCs w:val="18"/>
        </w:rPr>
        <w:t xml:space="preserve"> </w:t>
      </w:r>
      <w:r w:rsidRPr="00BB11D1">
        <w:rPr>
          <w:w w:val="95"/>
          <w:sz w:val="16"/>
          <w:szCs w:val="18"/>
        </w:rPr>
        <w:t>identical</w:t>
      </w:r>
      <w:r w:rsidRPr="00BB11D1">
        <w:rPr>
          <w:spacing w:val="-16"/>
          <w:w w:val="95"/>
          <w:sz w:val="16"/>
          <w:szCs w:val="18"/>
        </w:rPr>
        <w:t xml:space="preserve"> </w:t>
      </w:r>
      <w:r w:rsidRPr="00BB11D1">
        <w:rPr>
          <w:w w:val="95"/>
          <w:sz w:val="16"/>
          <w:szCs w:val="18"/>
        </w:rPr>
        <w:t>ones.</w:t>
      </w:r>
      <w:r w:rsidRPr="00BB11D1">
        <w:rPr>
          <w:spacing w:val="-16"/>
          <w:w w:val="95"/>
          <w:sz w:val="16"/>
          <w:szCs w:val="18"/>
        </w:rPr>
        <w:t xml:space="preserve"> </w:t>
      </w:r>
      <w:r w:rsidRPr="00BB11D1">
        <w:rPr>
          <w:w w:val="95"/>
          <w:sz w:val="16"/>
          <w:szCs w:val="18"/>
        </w:rPr>
        <w:t>Still</w:t>
      </w:r>
      <w:r w:rsidRPr="00BB11D1">
        <w:rPr>
          <w:spacing w:val="-16"/>
          <w:w w:val="95"/>
          <w:sz w:val="16"/>
          <w:szCs w:val="18"/>
        </w:rPr>
        <w:t xml:space="preserve"> </w:t>
      </w:r>
      <w:r w:rsidRPr="00BB11D1">
        <w:rPr>
          <w:w w:val="95"/>
          <w:sz w:val="16"/>
          <w:szCs w:val="18"/>
        </w:rPr>
        <w:t>the</w:t>
      </w:r>
      <w:r w:rsidRPr="00BB11D1">
        <w:rPr>
          <w:spacing w:val="-16"/>
          <w:w w:val="95"/>
          <w:sz w:val="16"/>
          <w:szCs w:val="18"/>
        </w:rPr>
        <w:t xml:space="preserve"> </w:t>
      </w:r>
      <w:r w:rsidRPr="00BB11D1">
        <w:rPr>
          <w:w w:val="95"/>
          <w:sz w:val="16"/>
          <w:szCs w:val="18"/>
        </w:rPr>
        <w:t>conclusions</w:t>
      </w:r>
      <w:r w:rsidRPr="00BB11D1">
        <w:rPr>
          <w:spacing w:val="-15"/>
          <w:w w:val="95"/>
          <w:sz w:val="16"/>
          <w:szCs w:val="18"/>
        </w:rPr>
        <w:t xml:space="preserve"> </w:t>
      </w:r>
      <w:r w:rsidRPr="00BB11D1">
        <w:rPr>
          <w:w w:val="95"/>
          <w:sz w:val="16"/>
          <w:szCs w:val="18"/>
        </w:rPr>
        <w:t xml:space="preserve">are </w:t>
      </w:r>
      <w:r w:rsidRPr="00BB11D1">
        <w:rPr>
          <w:sz w:val="16"/>
          <w:szCs w:val="18"/>
        </w:rPr>
        <w:t>rather</w:t>
      </w:r>
      <w:r w:rsidRPr="00BB11D1">
        <w:rPr>
          <w:spacing w:val="-11"/>
          <w:sz w:val="16"/>
          <w:szCs w:val="18"/>
        </w:rPr>
        <w:t xml:space="preserve"> </w:t>
      </w:r>
      <w:r w:rsidRPr="00BB11D1">
        <w:rPr>
          <w:sz w:val="16"/>
          <w:szCs w:val="18"/>
        </w:rPr>
        <w:t>similar.</w:t>
      </w:r>
    </w:p>
    <w:p w:rsidR="00BB11D1" w:rsidRDefault="00BB11D1">
      <w:pPr>
        <w:pStyle w:val="FootnoteText"/>
      </w:pPr>
    </w:p>
  </w:footnote>
  <w:footnote w:id="7">
    <w:p w:rsidR="00BB11D1" w:rsidRDefault="00BB11D1" w:rsidP="00BB11D1">
      <w:pPr>
        <w:spacing w:before="72"/>
        <w:ind w:left="249"/>
        <w:rPr>
          <w:sz w:val="18"/>
        </w:rPr>
      </w:pPr>
      <w:r>
        <w:rPr>
          <w:rStyle w:val="FootnoteReference"/>
        </w:rPr>
        <w:footnoteRef/>
      </w:r>
      <w:r>
        <w:t xml:space="preserve"> </w:t>
      </w:r>
      <w:r>
        <w:rPr>
          <w:sz w:val="18"/>
        </w:rPr>
        <w:t>An exception is the zero lower bound case.</w:t>
      </w:r>
    </w:p>
    <w:p w:rsidR="00BB11D1" w:rsidRDefault="00BB11D1">
      <w:pPr>
        <w:pStyle w:val="FootnoteText"/>
      </w:pPr>
    </w:p>
  </w:footnote>
  <w:footnote w:id="8">
    <w:p w:rsidR="00BB11D1" w:rsidRDefault="00BB11D1" w:rsidP="00BB11D1">
      <w:pPr>
        <w:spacing w:before="98"/>
        <w:ind w:left="249" w:right="769" w:hanging="1"/>
        <w:jc w:val="both"/>
        <w:rPr>
          <w:rFonts w:ascii="Times New Roman"/>
          <w:sz w:val="20"/>
        </w:rPr>
      </w:pPr>
      <w:r>
        <w:rPr>
          <w:rStyle w:val="FootnoteReference"/>
        </w:rPr>
        <w:footnoteRef/>
      </w:r>
      <w:r>
        <w:t xml:space="preserve"> </w:t>
      </w:r>
      <w:r w:rsidRPr="00BB11D1">
        <w:rPr>
          <w:rFonts w:ascii="Times New Roman"/>
          <w:sz w:val="16"/>
          <w:szCs w:val="16"/>
        </w:rPr>
        <w:t>GUIDELINE OF THE EUROPEAN CENTRAL BANK of 20 February 2014 on domestic asset and liability management operations by the national central banks (ECB/2014/9), as amended by GUIDELINE OF THE EUROPEAN CENTRAL BANK of 5 June 2014 amending Guideline ECB/2014/9 on domestic asset and liability management operations by the national central banks (ECB/2014/22)</w:t>
      </w:r>
    </w:p>
    <w:p w:rsidR="00BB11D1" w:rsidRDefault="00BB11D1">
      <w:pPr>
        <w:pStyle w:val="FootnoteText"/>
      </w:pPr>
    </w:p>
  </w:footnote>
  <w:footnote w:id="9">
    <w:p w:rsidR="00BB11D1" w:rsidRPr="00BB11D1" w:rsidRDefault="00BB11D1" w:rsidP="00BB11D1">
      <w:pPr>
        <w:bidi/>
        <w:spacing w:before="98"/>
        <w:ind w:left="249"/>
        <w:jc w:val="right"/>
        <w:rPr>
          <w:rFonts w:asciiTheme="majorBidi" w:hAnsiTheme="majorBidi" w:cstheme="majorBidi"/>
          <w:sz w:val="16"/>
          <w:szCs w:val="16"/>
        </w:rPr>
      </w:pPr>
      <w:r w:rsidRPr="00BB11D1">
        <w:rPr>
          <w:rStyle w:val="FootnoteReference"/>
          <w:sz w:val="16"/>
          <w:szCs w:val="16"/>
        </w:rPr>
        <w:footnoteRef/>
      </w:r>
      <w:r w:rsidRPr="00BB11D1">
        <w:rPr>
          <w:sz w:val="16"/>
          <w:szCs w:val="16"/>
        </w:rPr>
        <w:t xml:space="preserve"> </w:t>
      </w:r>
      <w:r w:rsidRPr="00BB11D1">
        <w:rPr>
          <w:rFonts w:asciiTheme="majorBidi" w:hAnsiTheme="majorBidi" w:cstheme="majorBidi"/>
          <w:sz w:val="16"/>
          <w:szCs w:val="16"/>
          <w:vertAlign w:val="superscript"/>
        </w:rPr>
        <w:t>HTTPS: //</w:t>
      </w:r>
      <w:hyperlink r:id="rId1">
        <w:r w:rsidRPr="00BB11D1">
          <w:rPr>
            <w:rFonts w:asciiTheme="majorBidi" w:hAnsiTheme="majorBidi" w:cstheme="majorBidi"/>
            <w:sz w:val="16"/>
            <w:szCs w:val="16"/>
          </w:rPr>
          <w:t>www.ecb.europa.eu/paym/erms/html/index.en.html</w:t>
        </w:r>
      </w:hyperlink>
    </w:p>
    <w:p w:rsidR="00BB11D1" w:rsidRDefault="00BB11D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2BB"/>
    <w:multiLevelType w:val="hybridMultilevel"/>
    <w:tmpl w:val="F3BAC8F2"/>
    <w:lvl w:ilvl="0" w:tplc="A08475C2">
      <w:numFmt w:val="bullet"/>
      <w:lvlText w:val="-"/>
      <w:lvlJc w:val="left"/>
      <w:pPr>
        <w:ind w:left="969" w:hanging="360"/>
      </w:pPr>
      <w:rPr>
        <w:rFonts w:ascii="Arial" w:eastAsia="Arial" w:hAnsi="Arial" w:cs="Arial" w:hint="default"/>
        <w:w w:val="92"/>
        <w:sz w:val="22"/>
        <w:szCs w:val="22"/>
        <w:lang w:val="en-US" w:eastAsia="en-US" w:bidi="en-US"/>
      </w:rPr>
    </w:lvl>
    <w:lvl w:ilvl="1" w:tplc="2F205C12">
      <w:numFmt w:val="bullet"/>
      <w:lvlText w:val="•"/>
      <w:lvlJc w:val="left"/>
      <w:pPr>
        <w:ind w:left="1906" w:hanging="360"/>
      </w:pPr>
      <w:rPr>
        <w:rFonts w:hint="default"/>
        <w:lang w:val="en-US" w:eastAsia="en-US" w:bidi="en-US"/>
      </w:rPr>
    </w:lvl>
    <w:lvl w:ilvl="2" w:tplc="B6206CDE">
      <w:numFmt w:val="bullet"/>
      <w:lvlText w:val="•"/>
      <w:lvlJc w:val="left"/>
      <w:pPr>
        <w:ind w:left="2853" w:hanging="360"/>
      </w:pPr>
      <w:rPr>
        <w:rFonts w:hint="default"/>
        <w:lang w:val="en-US" w:eastAsia="en-US" w:bidi="en-US"/>
      </w:rPr>
    </w:lvl>
    <w:lvl w:ilvl="3" w:tplc="22C2E246">
      <w:numFmt w:val="bullet"/>
      <w:lvlText w:val="•"/>
      <w:lvlJc w:val="left"/>
      <w:pPr>
        <w:ind w:left="3800" w:hanging="360"/>
      </w:pPr>
      <w:rPr>
        <w:rFonts w:hint="default"/>
        <w:lang w:val="en-US" w:eastAsia="en-US" w:bidi="en-US"/>
      </w:rPr>
    </w:lvl>
    <w:lvl w:ilvl="4" w:tplc="44085906">
      <w:numFmt w:val="bullet"/>
      <w:lvlText w:val="•"/>
      <w:lvlJc w:val="left"/>
      <w:pPr>
        <w:ind w:left="4747" w:hanging="360"/>
      </w:pPr>
      <w:rPr>
        <w:rFonts w:hint="default"/>
        <w:lang w:val="en-US" w:eastAsia="en-US" w:bidi="en-US"/>
      </w:rPr>
    </w:lvl>
    <w:lvl w:ilvl="5" w:tplc="8D5CA2C8">
      <w:numFmt w:val="bullet"/>
      <w:lvlText w:val="•"/>
      <w:lvlJc w:val="left"/>
      <w:pPr>
        <w:ind w:left="5693" w:hanging="360"/>
      </w:pPr>
      <w:rPr>
        <w:rFonts w:hint="default"/>
        <w:lang w:val="en-US" w:eastAsia="en-US" w:bidi="en-US"/>
      </w:rPr>
    </w:lvl>
    <w:lvl w:ilvl="6" w:tplc="5EB488AC">
      <w:numFmt w:val="bullet"/>
      <w:lvlText w:val="•"/>
      <w:lvlJc w:val="left"/>
      <w:pPr>
        <w:ind w:left="6640" w:hanging="360"/>
      </w:pPr>
      <w:rPr>
        <w:rFonts w:hint="default"/>
        <w:lang w:val="en-US" w:eastAsia="en-US" w:bidi="en-US"/>
      </w:rPr>
    </w:lvl>
    <w:lvl w:ilvl="7" w:tplc="975E986A">
      <w:numFmt w:val="bullet"/>
      <w:lvlText w:val="•"/>
      <w:lvlJc w:val="left"/>
      <w:pPr>
        <w:ind w:left="7587" w:hanging="360"/>
      </w:pPr>
      <w:rPr>
        <w:rFonts w:hint="default"/>
        <w:lang w:val="en-US" w:eastAsia="en-US" w:bidi="en-US"/>
      </w:rPr>
    </w:lvl>
    <w:lvl w:ilvl="8" w:tplc="880A701A">
      <w:numFmt w:val="bullet"/>
      <w:lvlText w:val="•"/>
      <w:lvlJc w:val="left"/>
      <w:pPr>
        <w:ind w:left="8534" w:hanging="360"/>
      </w:pPr>
      <w:rPr>
        <w:rFonts w:hint="default"/>
        <w:lang w:val="en-US" w:eastAsia="en-US" w:bidi="en-US"/>
      </w:rPr>
    </w:lvl>
  </w:abstractNum>
  <w:abstractNum w:abstractNumId="1">
    <w:nsid w:val="05B22E44"/>
    <w:multiLevelType w:val="hybridMultilevel"/>
    <w:tmpl w:val="57142120"/>
    <w:lvl w:ilvl="0" w:tplc="F7760AF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1024D"/>
    <w:multiLevelType w:val="hybridMultilevel"/>
    <w:tmpl w:val="C7489848"/>
    <w:lvl w:ilvl="0" w:tplc="687CE228">
      <w:numFmt w:val="bullet"/>
      <w:lvlText w:val=""/>
      <w:lvlJc w:val="left"/>
      <w:pPr>
        <w:ind w:left="609" w:hanging="361"/>
      </w:pPr>
      <w:rPr>
        <w:rFonts w:ascii="Symbol" w:eastAsia="Symbol" w:hAnsi="Symbol" w:cs="Symbol" w:hint="default"/>
        <w:w w:val="100"/>
        <w:sz w:val="22"/>
        <w:szCs w:val="22"/>
        <w:lang w:val="en-US" w:eastAsia="en-US" w:bidi="en-US"/>
      </w:rPr>
    </w:lvl>
    <w:lvl w:ilvl="1" w:tplc="C2F6D100">
      <w:numFmt w:val="bullet"/>
      <w:lvlText w:val="•"/>
      <w:lvlJc w:val="left"/>
      <w:pPr>
        <w:ind w:left="1582" w:hanging="361"/>
      </w:pPr>
      <w:rPr>
        <w:rFonts w:hint="default"/>
        <w:lang w:val="en-US" w:eastAsia="en-US" w:bidi="en-US"/>
      </w:rPr>
    </w:lvl>
    <w:lvl w:ilvl="2" w:tplc="71A2CA98">
      <w:numFmt w:val="bullet"/>
      <w:lvlText w:val="•"/>
      <w:lvlJc w:val="left"/>
      <w:pPr>
        <w:ind w:left="2565" w:hanging="361"/>
      </w:pPr>
      <w:rPr>
        <w:rFonts w:hint="default"/>
        <w:lang w:val="en-US" w:eastAsia="en-US" w:bidi="en-US"/>
      </w:rPr>
    </w:lvl>
    <w:lvl w:ilvl="3" w:tplc="D86E8A32">
      <w:numFmt w:val="bullet"/>
      <w:lvlText w:val="•"/>
      <w:lvlJc w:val="left"/>
      <w:pPr>
        <w:ind w:left="3548" w:hanging="361"/>
      </w:pPr>
      <w:rPr>
        <w:rFonts w:hint="default"/>
        <w:lang w:val="en-US" w:eastAsia="en-US" w:bidi="en-US"/>
      </w:rPr>
    </w:lvl>
    <w:lvl w:ilvl="4" w:tplc="1ED40FCA">
      <w:numFmt w:val="bullet"/>
      <w:lvlText w:val="•"/>
      <w:lvlJc w:val="left"/>
      <w:pPr>
        <w:ind w:left="4531" w:hanging="361"/>
      </w:pPr>
      <w:rPr>
        <w:rFonts w:hint="default"/>
        <w:lang w:val="en-US" w:eastAsia="en-US" w:bidi="en-US"/>
      </w:rPr>
    </w:lvl>
    <w:lvl w:ilvl="5" w:tplc="3C9CA69C">
      <w:numFmt w:val="bullet"/>
      <w:lvlText w:val="•"/>
      <w:lvlJc w:val="left"/>
      <w:pPr>
        <w:ind w:left="5513" w:hanging="361"/>
      </w:pPr>
      <w:rPr>
        <w:rFonts w:hint="default"/>
        <w:lang w:val="en-US" w:eastAsia="en-US" w:bidi="en-US"/>
      </w:rPr>
    </w:lvl>
    <w:lvl w:ilvl="6" w:tplc="4EEAFF84">
      <w:numFmt w:val="bullet"/>
      <w:lvlText w:val="•"/>
      <w:lvlJc w:val="left"/>
      <w:pPr>
        <w:ind w:left="6496" w:hanging="361"/>
      </w:pPr>
      <w:rPr>
        <w:rFonts w:hint="default"/>
        <w:lang w:val="en-US" w:eastAsia="en-US" w:bidi="en-US"/>
      </w:rPr>
    </w:lvl>
    <w:lvl w:ilvl="7" w:tplc="EFD0C0FA">
      <w:numFmt w:val="bullet"/>
      <w:lvlText w:val="•"/>
      <w:lvlJc w:val="left"/>
      <w:pPr>
        <w:ind w:left="7479" w:hanging="361"/>
      </w:pPr>
      <w:rPr>
        <w:rFonts w:hint="default"/>
        <w:lang w:val="en-US" w:eastAsia="en-US" w:bidi="en-US"/>
      </w:rPr>
    </w:lvl>
    <w:lvl w:ilvl="8" w:tplc="DBFE4794">
      <w:numFmt w:val="bullet"/>
      <w:lvlText w:val="•"/>
      <w:lvlJc w:val="left"/>
      <w:pPr>
        <w:ind w:left="8462" w:hanging="361"/>
      </w:pPr>
      <w:rPr>
        <w:rFonts w:hint="default"/>
        <w:lang w:val="en-US" w:eastAsia="en-US" w:bidi="en-US"/>
      </w:rPr>
    </w:lvl>
  </w:abstractNum>
  <w:abstractNum w:abstractNumId="3">
    <w:nsid w:val="0DCA2EB2"/>
    <w:multiLevelType w:val="hybridMultilevel"/>
    <w:tmpl w:val="2BB04336"/>
    <w:lvl w:ilvl="0" w:tplc="DA1ABD46">
      <w:start w:val="1"/>
      <w:numFmt w:val="decimal"/>
      <w:lvlText w:val="%1."/>
      <w:lvlJc w:val="left"/>
      <w:pPr>
        <w:ind w:left="969" w:hanging="248"/>
      </w:pPr>
      <w:rPr>
        <w:rFonts w:ascii="Arial" w:eastAsia="Arial" w:hAnsi="Arial" w:cs="Arial" w:hint="default"/>
        <w:i/>
        <w:spacing w:val="-1"/>
        <w:w w:val="90"/>
        <w:sz w:val="20"/>
        <w:szCs w:val="20"/>
        <w:lang w:val="en-US" w:eastAsia="en-US" w:bidi="en-US"/>
      </w:rPr>
    </w:lvl>
    <w:lvl w:ilvl="1" w:tplc="A920C154">
      <w:numFmt w:val="bullet"/>
      <w:lvlText w:val="•"/>
      <w:lvlJc w:val="left"/>
      <w:pPr>
        <w:ind w:left="1906" w:hanging="248"/>
      </w:pPr>
      <w:rPr>
        <w:rFonts w:hint="default"/>
        <w:lang w:val="en-US" w:eastAsia="en-US" w:bidi="en-US"/>
      </w:rPr>
    </w:lvl>
    <w:lvl w:ilvl="2" w:tplc="431C1432">
      <w:numFmt w:val="bullet"/>
      <w:lvlText w:val="•"/>
      <w:lvlJc w:val="left"/>
      <w:pPr>
        <w:ind w:left="2853" w:hanging="248"/>
      </w:pPr>
      <w:rPr>
        <w:rFonts w:hint="default"/>
        <w:lang w:val="en-US" w:eastAsia="en-US" w:bidi="en-US"/>
      </w:rPr>
    </w:lvl>
    <w:lvl w:ilvl="3" w:tplc="18F4C658">
      <w:numFmt w:val="bullet"/>
      <w:lvlText w:val="•"/>
      <w:lvlJc w:val="left"/>
      <w:pPr>
        <w:ind w:left="3800" w:hanging="248"/>
      </w:pPr>
      <w:rPr>
        <w:rFonts w:hint="default"/>
        <w:lang w:val="en-US" w:eastAsia="en-US" w:bidi="en-US"/>
      </w:rPr>
    </w:lvl>
    <w:lvl w:ilvl="4" w:tplc="AF2E0932">
      <w:numFmt w:val="bullet"/>
      <w:lvlText w:val="•"/>
      <w:lvlJc w:val="left"/>
      <w:pPr>
        <w:ind w:left="4747" w:hanging="248"/>
      </w:pPr>
      <w:rPr>
        <w:rFonts w:hint="default"/>
        <w:lang w:val="en-US" w:eastAsia="en-US" w:bidi="en-US"/>
      </w:rPr>
    </w:lvl>
    <w:lvl w:ilvl="5" w:tplc="1F9AD2B8">
      <w:numFmt w:val="bullet"/>
      <w:lvlText w:val="•"/>
      <w:lvlJc w:val="left"/>
      <w:pPr>
        <w:ind w:left="5693" w:hanging="248"/>
      </w:pPr>
      <w:rPr>
        <w:rFonts w:hint="default"/>
        <w:lang w:val="en-US" w:eastAsia="en-US" w:bidi="en-US"/>
      </w:rPr>
    </w:lvl>
    <w:lvl w:ilvl="6" w:tplc="531E0B6A">
      <w:numFmt w:val="bullet"/>
      <w:lvlText w:val="•"/>
      <w:lvlJc w:val="left"/>
      <w:pPr>
        <w:ind w:left="6640" w:hanging="248"/>
      </w:pPr>
      <w:rPr>
        <w:rFonts w:hint="default"/>
        <w:lang w:val="en-US" w:eastAsia="en-US" w:bidi="en-US"/>
      </w:rPr>
    </w:lvl>
    <w:lvl w:ilvl="7" w:tplc="288AA8F2">
      <w:numFmt w:val="bullet"/>
      <w:lvlText w:val="•"/>
      <w:lvlJc w:val="left"/>
      <w:pPr>
        <w:ind w:left="7587" w:hanging="248"/>
      </w:pPr>
      <w:rPr>
        <w:rFonts w:hint="default"/>
        <w:lang w:val="en-US" w:eastAsia="en-US" w:bidi="en-US"/>
      </w:rPr>
    </w:lvl>
    <w:lvl w:ilvl="8" w:tplc="BCB85E68">
      <w:numFmt w:val="bullet"/>
      <w:lvlText w:val="•"/>
      <w:lvlJc w:val="left"/>
      <w:pPr>
        <w:ind w:left="8534" w:hanging="248"/>
      </w:pPr>
      <w:rPr>
        <w:rFonts w:hint="default"/>
        <w:lang w:val="en-US" w:eastAsia="en-US" w:bidi="en-US"/>
      </w:rPr>
    </w:lvl>
  </w:abstractNum>
  <w:abstractNum w:abstractNumId="4">
    <w:nsid w:val="12631779"/>
    <w:multiLevelType w:val="hybridMultilevel"/>
    <w:tmpl w:val="4A8EAD8A"/>
    <w:lvl w:ilvl="0" w:tplc="F7760AF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B299B"/>
    <w:multiLevelType w:val="hybridMultilevel"/>
    <w:tmpl w:val="B9023916"/>
    <w:lvl w:ilvl="0" w:tplc="6958CF56">
      <w:numFmt w:val="bullet"/>
      <w:lvlText w:val=""/>
      <w:lvlJc w:val="left"/>
      <w:pPr>
        <w:ind w:left="969" w:hanging="361"/>
      </w:pPr>
      <w:rPr>
        <w:rFonts w:ascii="Symbol" w:eastAsia="Symbol" w:hAnsi="Symbol" w:cs="Symbol" w:hint="default"/>
        <w:w w:val="100"/>
        <w:sz w:val="22"/>
        <w:szCs w:val="22"/>
        <w:lang w:val="en-US" w:eastAsia="en-US" w:bidi="en-US"/>
      </w:rPr>
    </w:lvl>
    <w:lvl w:ilvl="1" w:tplc="A0C052DA">
      <w:numFmt w:val="bullet"/>
      <w:lvlText w:val="•"/>
      <w:lvlJc w:val="left"/>
      <w:pPr>
        <w:ind w:left="1906" w:hanging="361"/>
      </w:pPr>
      <w:rPr>
        <w:rFonts w:hint="default"/>
        <w:lang w:val="en-US" w:eastAsia="en-US" w:bidi="en-US"/>
      </w:rPr>
    </w:lvl>
    <w:lvl w:ilvl="2" w:tplc="FF76E4FA">
      <w:numFmt w:val="bullet"/>
      <w:lvlText w:val="•"/>
      <w:lvlJc w:val="left"/>
      <w:pPr>
        <w:ind w:left="2853" w:hanging="361"/>
      </w:pPr>
      <w:rPr>
        <w:rFonts w:hint="default"/>
        <w:lang w:val="en-US" w:eastAsia="en-US" w:bidi="en-US"/>
      </w:rPr>
    </w:lvl>
    <w:lvl w:ilvl="3" w:tplc="F3D6F2DC">
      <w:numFmt w:val="bullet"/>
      <w:lvlText w:val="•"/>
      <w:lvlJc w:val="left"/>
      <w:pPr>
        <w:ind w:left="3800" w:hanging="361"/>
      </w:pPr>
      <w:rPr>
        <w:rFonts w:hint="default"/>
        <w:lang w:val="en-US" w:eastAsia="en-US" w:bidi="en-US"/>
      </w:rPr>
    </w:lvl>
    <w:lvl w:ilvl="4" w:tplc="871CCD30">
      <w:numFmt w:val="bullet"/>
      <w:lvlText w:val="•"/>
      <w:lvlJc w:val="left"/>
      <w:pPr>
        <w:ind w:left="4747" w:hanging="361"/>
      </w:pPr>
      <w:rPr>
        <w:rFonts w:hint="default"/>
        <w:lang w:val="en-US" w:eastAsia="en-US" w:bidi="en-US"/>
      </w:rPr>
    </w:lvl>
    <w:lvl w:ilvl="5" w:tplc="4CF011BA">
      <w:numFmt w:val="bullet"/>
      <w:lvlText w:val="•"/>
      <w:lvlJc w:val="left"/>
      <w:pPr>
        <w:ind w:left="5693" w:hanging="361"/>
      </w:pPr>
      <w:rPr>
        <w:rFonts w:hint="default"/>
        <w:lang w:val="en-US" w:eastAsia="en-US" w:bidi="en-US"/>
      </w:rPr>
    </w:lvl>
    <w:lvl w:ilvl="6" w:tplc="7652AC52">
      <w:numFmt w:val="bullet"/>
      <w:lvlText w:val="•"/>
      <w:lvlJc w:val="left"/>
      <w:pPr>
        <w:ind w:left="6640" w:hanging="361"/>
      </w:pPr>
      <w:rPr>
        <w:rFonts w:hint="default"/>
        <w:lang w:val="en-US" w:eastAsia="en-US" w:bidi="en-US"/>
      </w:rPr>
    </w:lvl>
    <w:lvl w:ilvl="7" w:tplc="425AD3FA">
      <w:numFmt w:val="bullet"/>
      <w:lvlText w:val="•"/>
      <w:lvlJc w:val="left"/>
      <w:pPr>
        <w:ind w:left="7587" w:hanging="361"/>
      </w:pPr>
      <w:rPr>
        <w:rFonts w:hint="default"/>
        <w:lang w:val="en-US" w:eastAsia="en-US" w:bidi="en-US"/>
      </w:rPr>
    </w:lvl>
    <w:lvl w:ilvl="8" w:tplc="BBD8C944">
      <w:numFmt w:val="bullet"/>
      <w:lvlText w:val="•"/>
      <w:lvlJc w:val="left"/>
      <w:pPr>
        <w:ind w:left="8534" w:hanging="361"/>
      </w:pPr>
      <w:rPr>
        <w:rFonts w:hint="default"/>
        <w:lang w:val="en-US" w:eastAsia="en-US" w:bidi="en-US"/>
      </w:rPr>
    </w:lvl>
  </w:abstractNum>
  <w:abstractNum w:abstractNumId="6">
    <w:nsid w:val="172806C4"/>
    <w:multiLevelType w:val="hybridMultilevel"/>
    <w:tmpl w:val="FF30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52C2B"/>
    <w:multiLevelType w:val="multilevel"/>
    <w:tmpl w:val="62085014"/>
    <w:lvl w:ilvl="0">
      <w:start w:val="4"/>
      <w:numFmt w:val="upperLetter"/>
      <w:lvlText w:val="%1"/>
      <w:lvlJc w:val="left"/>
      <w:pPr>
        <w:ind w:left="643" w:hanging="394"/>
      </w:pPr>
      <w:rPr>
        <w:rFonts w:hint="default"/>
        <w:lang w:val="en-US" w:eastAsia="en-US" w:bidi="en-US"/>
      </w:rPr>
    </w:lvl>
    <w:lvl w:ilvl="1">
      <w:start w:val="1"/>
      <w:numFmt w:val="decimal"/>
      <w:lvlText w:val="%1.%2"/>
      <w:lvlJc w:val="left"/>
      <w:pPr>
        <w:ind w:left="643" w:hanging="394"/>
      </w:pPr>
      <w:rPr>
        <w:rFonts w:hint="default"/>
        <w:b/>
        <w:bCs/>
        <w:spacing w:val="-1"/>
        <w:w w:val="81"/>
        <w:lang w:val="en-US" w:eastAsia="en-US" w:bidi="en-US"/>
      </w:rPr>
    </w:lvl>
    <w:lvl w:ilvl="2">
      <w:numFmt w:val="bullet"/>
      <w:lvlText w:val="•"/>
      <w:lvlJc w:val="left"/>
      <w:pPr>
        <w:ind w:left="2597" w:hanging="394"/>
      </w:pPr>
      <w:rPr>
        <w:rFonts w:hint="default"/>
        <w:lang w:val="en-US" w:eastAsia="en-US" w:bidi="en-US"/>
      </w:rPr>
    </w:lvl>
    <w:lvl w:ilvl="3">
      <w:numFmt w:val="bullet"/>
      <w:lvlText w:val="•"/>
      <w:lvlJc w:val="left"/>
      <w:pPr>
        <w:ind w:left="3576" w:hanging="394"/>
      </w:pPr>
      <w:rPr>
        <w:rFonts w:hint="default"/>
        <w:lang w:val="en-US" w:eastAsia="en-US" w:bidi="en-US"/>
      </w:rPr>
    </w:lvl>
    <w:lvl w:ilvl="4">
      <w:numFmt w:val="bullet"/>
      <w:lvlText w:val="•"/>
      <w:lvlJc w:val="left"/>
      <w:pPr>
        <w:ind w:left="4555" w:hanging="394"/>
      </w:pPr>
      <w:rPr>
        <w:rFonts w:hint="default"/>
        <w:lang w:val="en-US" w:eastAsia="en-US" w:bidi="en-US"/>
      </w:rPr>
    </w:lvl>
    <w:lvl w:ilvl="5">
      <w:numFmt w:val="bullet"/>
      <w:lvlText w:val="•"/>
      <w:lvlJc w:val="left"/>
      <w:pPr>
        <w:ind w:left="5533" w:hanging="394"/>
      </w:pPr>
      <w:rPr>
        <w:rFonts w:hint="default"/>
        <w:lang w:val="en-US" w:eastAsia="en-US" w:bidi="en-US"/>
      </w:rPr>
    </w:lvl>
    <w:lvl w:ilvl="6">
      <w:numFmt w:val="bullet"/>
      <w:lvlText w:val="•"/>
      <w:lvlJc w:val="left"/>
      <w:pPr>
        <w:ind w:left="6512" w:hanging="394"/>
      </w:pPr>
      <w:rPr>
        <w:rFonts w:hint="default"/>
        <w:lang w:val="en-US" w:eastAsia="en-US" w:bidi="en-US"/>
      </w:rPr>
    </w:lvl>
    <w:lvl w:ilvl="7">
      <w:numFmt w:val="bullet"/>
      <w:lvlText w:val="•"/>
      <w:lvlJc w:val="left"/>
      <w:pPr>
        <w:ind w:left="7491" w:hanging="394"/>
      </w:pPr>
      <w:rPr>
        <w:rFonts w:hint="default"/>
        <w:lang w:val="en-US" w:eastAsia="en-US" w:bidi="en-US"/>
      </w:rPr>
    </w:lvl>
    <w:lvl w:ilvl="8">
      <w:numFmt w:val="bullet"/>
      <w:lvlText w:val="•"/>
      <w:lvlJc w:val="left"/>
      <w:pPr>
        <w:ind w:left="8470" w:hanging="394"/>
      </w:pPr>
      <w:rPr>
        <w:rFonts w:hint="default"/>
        <w:lang w:val="en-US" w:eastAsia="en-US" w:bidi="en-US"/>
      </w:rPr>
    </w:lvl>
  </w:abstractNum>
  <w:abstractNum w:abstractNumId="8">
    <w:nsid w:val="2C032CE6"/>
    <w:multiLevelType w:val="hybridMultilevel"/>
    <w:tmpl w:val="4E06975E"/>
    <w:lvl w:ilvl="0" w:tplc="618A5152">
      <w:numFmt w:val="bullet"/>
      <w:lvlText w:val="-"/>
      <w:lvlJc w:val="left"/>
      <w:pPr>
        <w:ind w:left="969" w:hanging="360"/>
      </w:pPr>
      <w:rPr>
        <w:rFonts w:ascii="Arial" w:eastAsia="Arial" w:hAnsi="Arial" w:cs="Arial" w:hint="default"/>
        <w:w w:val="92"/>
        <w:sz w:val="22"/>
        <w:szCs w:val="22"/>
        <w:lang w:val="en-US" w:eastAsia="en-US" w:bidi="en-US"/>
      </w:rPr>
    </w:lvl>
    <w:lvl w:ilvl="1" w:tplc="1D3A8ECE">
      <w:numFmt w:val="bullet"/>
      <w:lvlText w:val="•"/>
      <w:lvlJc w:val="left"/>
      <w:pPr>
        <w:ind w:left="1906" w:hanging="360"/>
      </w:pPr>
      <w:rPr>
        <w:rFonts w:hint="default"/>
        <w:lang w:val="en-US" w:eastAsia="en-US" w:bidi="en-US"/>
      </w:rPr>
    </w:lvl>
    <w:lvl w:ilvl="2" w:tplc="DFECDD46">
      <w:numFmt w:val="bullet"/>
      <w:lvlText w:val="•"/>
      <w:lvlJc w:val="left"/>
      <w:pPr>
        <w:ind w:left="2853" w:hanging="360"/>
      </w:pPr>
      <w:rPr>
        <w:rFonts w:hint="default"/>
        <w:lang w:val="en-US" w:eastAsia="en-US" w:bidi="en-US"/>
      </w:rPr>
    </w:lvl>
    <w:lvl w:ilvl="3" w:tplc="75968CF2">
      <w:numFmt w:val="bullet"/>
      <w:lvlText w:val="•"/>
      <w:lvlJc w:val="left"/>
      <w:pPr>
        <w:ind w:left="3800" w:hanging="360"/>
      </w:pPr>
      <w:rPr>
        <w:rFonts w:hint="default"/>
        <w:lang w:val="en-US" w:eastAsia="en-US" w:bidi="en-US"/>
      </w:rPr>
    </w:lvl>
    <w:lvl w:ilvl="4" w:tplc="B6BA76B8">
      <w:numFmt w:val="bullet"/>
      <w:lvlText w:val="•"/>
      <w:lvlJc w:val="left"/>
      <w:pPr>
        <w:ind w:left="4747" w:hanging="360"/>
      </w:pPr>
      <w:rPr>
        <w:rFonts w:hint="default"/>
        <w:lang w:val="en-US" w:eastAsia="en-US" w:bidi="en-US"/>
      </w:rPr>
    </w:lvl>
    <w:lvl w:ilvl="5" w:tplc="FDE60334">
      <w:numFmt w:val="bullet"/>
      <w:lvlText w:val="•"/>
      <w:lvlJc w:val="left"/>
      <w:pPr>
        <w:ind w:left="5693" w:hanging="360"/>
      </w:pPr>
      <w:rPr>
        <w:rFonts w:hint="default"/>
        <w:lang w:val="en-US" w:eastAsia="en-US" w:bidi="en-US"/>
      </w:rPr>
    </w:lvl>
    <w:lvl w:ilvl="6" w:tplc="4F165362">
      <w:numFmt w:val="bullet"/>
      <w:lvlText w:val="•"/>
      <w:lvlJc w:val="left"/>
      <w:pPr>
        <w:ind w:left="6640" w:hanging="360"/>
      </w:pPr>
      <w:rPr>
        <w:rFonts w:hint="default"/>
        <w:lang w:val="en-US" w:eastAsia="en-US" w:bidi="en-US"/>
      </w:rPr>
    </w:lvl>
    <w:lvl w:ilvl="7" w:tplc="435C9938">
      <w:numFmt w:val="bullet"/>
      <w:lvlText w:val="•"/>
      <w:lvlJc w:val="left"/>
      <w:pPr>
        <w:ind w:left="7587" w:hanging="360"/>
      </w:pPr>
      <w:rPr>
        <w:rFonts w:hint="default"/>
        <w:lang w:val="en-US" w:eastAsia="en-US" w:bidi="en-US"/>
      </w:rPr>
    </w:lvl>
    <w:lvl w:ilvl="8" w:tplc="5E60F292">
      <w:numFmt w:val="bullet"/>
      <w:lvlText w:val="•"/>
      <w:lvlJc w:val="left"/>
      <w:pPr>
        <w:ind w:left="8534" w:hanging="360"/>
      </w:pPr>
      <w:rPr>
        <w:rFonts w:hint="default"/>
        <w:lang w:val="en-US" w:eastAsia="en-US" w:bidi="en-US"/>
      </w:rPr>
    </w:lvl>
  </w:abstractNum>
  <w:abstractNum w:abstractNumId="9">
    <w:nsid w:val="2F0507C2"/>
    <w:multiLevelType w:val="hybridMultilevel"/>
    <w:tmpl w:val="8ED05B1E"/>
    <w:lvl w:ilvl="0" w:tplc="0BB09B28">
      <w:numFmt w:val="bullet"/>
      <w:lvlText w:val="-"/>
      <w:lvlJc w:val="left"/>
      <w:pPr>
        <w:ind w:left="248" w:hanging="173"/>
      </w:pPr>
      <w:rPr>
        <w:rFonts w:ascii="Arial" w:eastAsia="Arial" w:hAnsi="Arial" w:cs="Arial" w:hint="default"/>
        <w:w w:val="92"/>
        <w:sz w:val="22"/>
        <w:szCs w:val="22"/>
        <w:lang w:val="en-US" w:eastAsia="en-US" w:bidi="en-US"/>
      </w:rPr>
    </w:lvl>
    <w:lvl w:ilvl="1" w:tplc="EC82E42C">
      <w:numFmt w:val="bullet"/>
      <w:lvlText w:val="-"/>
      <w:lvlJc w:val="left"/>
      <w:pPr>
        <w:ind w:left="969" w:hanging="360"/>
      </w:pPr>
      <w:rPr>
        <w:rFonts w:ascii="Arial" w:eastAsia="Arial" w:hAnsi="Arial" w:cs="Arial" w:hint="default"/>
        <w:w w:val="91"/>
        <w:sz w:val="20"/>
        <w:szCs w:val="20"/>
        <w:lang w:val="en-US" w:eastAsia="en-US" w:bidi="en-US"/>
      </w:rPr>
    </w:lvl>
    <w:lvl w:ilvl="2" w:tplc="193EC306">
      <w:numFmt w:val="bullet"/>
      <w:lvlText w:val="•"/>
      <w:lvlJc w:val="left"/>
      <w:pPr>
        <w:ind w:left="2011" w:hanging="360"/>
      </w:pPr>
      <w:rPr>
        <w:rFonts w:hint="default"/>
        <w:lang w:val="en-US" w:eastAsia="en-US" w:bidi="en-US"/>
      </w:rPr>
    </w:lvl>
    <w:lvl w:ilvl="3" w:tplc="768EC728">
      <w:numFmt w:val="bullet"/>
      <w:lvlText w:val="•"/>
      <w:lvlJc w:val="left"/>
      <w:pPr>
        <w:ind w:left="3063" w:hanging="360"/>
      </w:pPr>
      <w:rPr>
        <w:rFonts w:hint="default"/>
        <w:lang w:val="en-US" w:eastAsia="en-US" w:bidi="en-US"/>
      </w:rPr>
    </w:lvl>
    <w:lvl w:ilvl="4" w:tplc="ECA2B52A">
      <w:numFmt w:val="bullet"/>
      <w:lvlText w:val="•"/>
      <w:lvlJc w:val="left"/>
      <w:pPr>
        <w:ind w:left="4115" w:hanging="360"/>
      </w:pPr>
      <w:rPr>
        <w:rFonts w:hint="default"/>
        <w:lang w:val="en-US" w:eastAsia="en-US" w:bidi="en-US"/>
      </w:rPr>
    </w:lvl>
    <w:lvl w:ilvl="5" w:tplc="BDA2851C">
      <w:numFmt w:val="bullet"/>
      <w:lvlText w:val="•"/>
      <w:lvlJc w:val="left"/>
      <w:pPr>
        <w:ind w:left="5167" w:hanging="360"/>
      </w:pPr>
      <w:rPr>
        <w:rFonts w:hint="default"/>
        <w:lang w:val="en-US" w:eastAsia="en-US" w:bidi="en-US"/>
      </w:rPr>
    </w:lvl>
    <w:lvl w:ilvl="6" w:tplc="2BBE778A">
      <w:numFmt w:val="bullet"/>
      <w:lvlText w:val="•"/>
      <w:lvlJc w:val="left"/>
      <w:pPr>
        <w:ind w:left="6219" w:hanging="360"/>
      </w:pPr>
      <w:rPr>
        <w:rFonts w:hint="default"/>
        <w:lang w:val="en-US" w:eastAsia="en-US" w:bidi="en-US"/>
      </w:rPr>
    </w:lvl>
    <w:lvl w:ilvl="7" w:tplc="50EE3334">
      <w:numFmt w:val="bullet"/>
      <w:lvlText w:val="•"/>
      <w:lvlJc w:val="left"/>
      <w:pPr>
        <w:ind w:left="7271" w:hanging="360"/>
      </w:pPr>
      <w:rPr>
        <w:rFonts w:hint="default"/>
        <w:lang w:val="en-US" w:eastAsia="en-US" w:bidi="en-US"/>
      </w:rPr>
    </w:lvl>
    <w:lvl w:ilvl="8" w:tplc="D91CBD9C">
      <w:numFmt w:val="bullet"/>
      <w:lvlText w:val="•"/>
      <w:lvlJc w:val="left"/>
      <w:pPr>
        <w:ind w:left="8323" w:hanging="360"/>
      </w:pPr>
      <w:rPr>
        <w:rFonts w:hint="default"/>
        <w:lang w:val="en-US" w:eastAsia="en-US" w:bidi="en-US"/>
      </w:rPr>
    </w:lvl>
  </w:abstractNum>
  <w:abstractNum w:abstractNumId="10">
    <w:nsid w:val="47781845"/>
    <w:multiLevelType w:val="hybridMultilevel"/>
    <w:tmpl w:val="A45CFC60"/>
    <w:lvl w:ilvl="0" w:tplc="93EA0708">
      <w:numFmt w:val="bullet"/>
      <w:lvlText w:val=""/>
      <w:lvlJc w:val="left"/>
      <w:pPr>
        <w:ind w:left="969" w:hanging="361"/>
      </w:pPr>
      <w:rPr>
        <w:rFonts w:ascii="Symbol" w:eastAsia="Symbol" w:hAnsi="Symbol" w:cs="Symbol" w:hint="default"/>
        <w:w w:val="100"/>
        <w:sz w:val="22"/>
        <w:szCs w:val="22"/>
        <w:lang w:val="en-US" w:eastAsia="en-US" w:bidi="en-US"/>
      </w:rPr>
    </w:lvl>
    <w:lvl w:ilvl="1" w:tplc="059A2980">
      <w:numFmt w:val="bullet"/>
      <w:lvlText w:val="•"/>
      <w:lvlJc w:val="left"/>
      <w:pPr>
        <w:ind w:left="1906" w:hanging="361"/>
      </w:pPr>
      <w:rPr>
        <w:rFonts w:hint="default"/>
        <w:lang w:val="en-US" w:eastAsia="en-US" w:bidi="en-US"/>
      </w:rPr>
    </w:lvl>
    <w:lvl w:ilvl="2" w:tplc="5A922094">
      <w:numFmt w:val="bullet"/>
      <w:lvlText w:val="•"/>
      <w:lvlJc w:val="left"/>
      <w:pPr>
        <w:ind w:left="2853" w:hanging="361"/>
      </w:pPr>
      <w:rPr>
        <w:rFonts w:hint="default"/>
        <w:lang w:val="en-US" w:eastAsia="en-US" w:bidi="en-US"/>
      </w:rPr>
    </w:lvl>
    <w:lvl w:ilvl="3" w:tplc="2A241994">
      <w:numFmt w:val="bullet"/>
      <w:lvlText w:val="•"/>
      <w:lvlJc w:val="left"/>
      <w:pPr>
        <w:ind w:left="3800" w:hanging="361"/>
      </w:pPr>
      <w:rPr>
        <w:rFonts w:hint="default"/>
        <w:lang w:val="en-US" w:eastAsia="en-US" w:bidi="en-US"/>
      </w:rPr>
    </w:lvl>
    <w:lvl w:ilvl="4" w:tplc="80C6A650">
      <w:numFmt w:val="bullet"/>
      <w:lvlText w:val="•"/>
      <w:lvlJc w:val="left"/>
      <w:pPr>
        <w:ind w:left="4747" w:hanging="361"/>
      </w:pPr>
      <w:rPr>
        <w:rFonts w:hint="default"/>
        <w:lang w:val="en-US" w:eastAsia="en-US" w:bidi="en-US"/>
      </w:rPr>
    </w:lvl>
    <w:lvl w:ilvl="5" w:tplc="FD66DAC4">
      <w:numFmt w:val="bullet"/>
      <w:lvlText w:val="•"/>
      <w:lvlJc w:val="left"/>
      <w:pPr>
        <w:ind w:left="5693" w:hanging="361"/>
      </w:pPr>
      <w:rPr>
        <w:rFonts w:hint="default"/>
        <w:lang w:val="en-US" w:eastAsia="en-US" w:bidi="en-US"/>
      </w:rPr>
    </w:lvl>
    <w:lvl w:ilvl="6" w:tplc="27BE1124">
      <w:numFmt w:val="bullet"/>
      <w:lvlText w:val="•"/>
      <w:lvlJc w:val="left"/>
      <w:pPr>
        <w:ind w:left="6640" w:hanging="361"/>
      </w:pPr>
      <w:rPr>
        <w:rFonts w:hint="default"/>
        <w:lang w:val="en-US" w:eastAsia="en-US" w:bidi="en-US"/>
      </w:rPr>
    </w:lvl>
    <w:lvl w:ilvl="7" w:tplc="E9E0EABA">
      <w:numFmt w:val="bullet"/>
      <w:lvlText w:val="•"/>
      <w:lvlJc w:val="left"/>
      <w:pPr>
        <w:ind w:left="7587" w:hanging="361"/>
      </w:pPr>
      <w:rPr>
        <w:rFonts w:hint="default"/>
        <w:lang w:val="en-US" w:eastAsia="en-US" w:bidi="en-US"/>
      </w:rPr>
    </w:lvl>
    <w:lvl w:ilvl="8" w:tplc="855EEEA6">
      <w:numFmt w:val="bullet"/>
      <w:lvlText w:val="•"/>
      <w:lvlJc w:val="left"/>
      <w:pPr>
        <w:ind w:left="8534" w:hanging="361"/>
      </w:pPr>
      <w:rPr>
        <w:rFonts w:hint="default"/>
        <w:lang w:val="en-US" w:eastAsia="en-US" w:bidi="en-US"/>
      </w:rPr>
    </w:lvl>
  </w:abstractNum>
  <w:abstractNum w:abstractNumId="11">
    <w:nsid w:val="4B734794"/>
    <w:multiLevelType w:val="hybridMultilevel"/>
    <w:tmpl w:val="6402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7F22B0"/>
    <w:multiLevelType w:val="hybridMultilevel"/>
    <w:tmpl w:val="35A6936C"/>
    <w:lvl w:ilvl="0" w:tplc="F7760AF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2662C"/>
    <w:multiLevelType w:val="multilevel"/>
    <w:tmpl w:val="3C90BF98"/>
    <w:lvl w:ilvl="0">
      <w:start w:val="4"/>
      <w:numFmt w:val="decimal"/>
      <w:lvlText w:val="%1"/>
      <w:lvlJc w:val="left"/>
      <w:pPr>
        <w:ind w:left="583" w:hanging="334"/>
      </w:pPr>
      <w:rPr>
        <w:rFonts w:hint="default"/>
        <w:lang w:val="en-US" w:eastAsia="en-US" w:bidi="en-US"/>
      </w:rPr>
    </w:lvl>
    <w:lvl w:ilvl="1">
      <w:start w:val="1"/>
      <w:numFmt w:val="bullet"/>
      <w:lvlText w:val=""/>
      <w:lvlJc w:val="left"/>
      <w:pPr>
        <w:ind w:left="583" w:hanging="334"/>
      </w:pPr>
      <w:rPr>
        <w:rFonts w:ascii="Symbol" w:hAnsi="Symbol" w:hint="default"/>
        <w:b/>
        <w:bCs/>
        <w:spacing w:val="-2"/>
        <w:w w:val="73"/>
        <w:sz w:val="22"/>
        <w:szCs w:val="22"/>
        <w:lang w:val="en-US" w:eastAsia="en-US" w:bidi="en-US"/>
      </w:rPr>
    </w:lvl>
    <w:lvl w:ilvl="2">
      <w:start w:val="1"/>
      <w:numFmt w:val="bullet"/>
      <w:lvlText w:val=""/>
      <w:lvlJc w:val="left"/>
      <w:pPr>
        <w:ind w:left="1689" w:hanging="721"/>
      </w:pPr>
      <w:rPr>
        <w:rFonts w:ascii="Symbol" w:hAnsi="Symbol" w:hint="default"/>
        <w:i/>
        <w:spacing w:val="-1"/>
        <w:w w:val="91"/>
        <w:sz w:val="22"/>
        <w:szCs w:val="22"/>
        <w:lang w:val="en-US" w:eastAsia="en-US" w:bidi="en-US"/>
      </w:rPr>
    </w:lvl>
    <w:lvl w:ilvl="3">
      <w:numFmt w:val="bullet"/>
      <w:lvlText w:val="•"/>
      <w:lvlJc w:val="left"/>
      <w:pPr>
        <w:ind w:left="3623" w:hanging="721"/>
      </w:pPr>
      <w:rPr>
        <w:rFonts w:hint="default"/>
        <w:lang w:val="en-US" w:eastAsia="en-US" w:bidi="en-US"/>
      </w:rPr>
    </w:lvl>
    <w:lvl w:ilvl="4">
      <w:numFmt w:val="bullet"/>
      <w:lvlText w:val="•"/>
      <w:lvlJc w:val="left"/>
      <w:pPr>
        <w:ind w:left="4595" w:hanging="721"/>
      </w:pPr>
      <w:rPr>
        <w:rFonts w:hint="default"/>
        <w:lang w:val="en-US" w:eastAsia="en-US" w:bidi="en-US"/>
      </w:rPr>
    </w:lvl>
    <w:lvl w:ilvl="5">
      <w:numFmt w:val="bullet"/>
      <w:lvlText w:val="•"/>
      <w:lvlJc w:val="left"/>
      <w:pPr>
        <w:ind w:left="5567" w:hanging="721"/>
      </w:pPr>
      <w:rPr>
        <w:rFonts w:hint="default"/>
        <w:lang w:val="en-US" w:eastAsia="en-US" w:bidi="en-US"/>
      </w:rPr>
    </w:lvl>
    <w:lvl w:ilvl="6">
      <w:numFmt w:val="bullet"/>
      <w:lvlText w:val="•"/>
      <w:lvlJc w:val="left"/>
      <w:pPr>
        <w:ind w:left="6539" w:hanging="721"/>
      </w:pPr>
      <w:rPr>
        <w:rFonts w:hint="default"/>
        <w:lang w:val="en-US" w:eastAsia="en-US" w:bidi="en-US"/>
      </w:rPr>
    </w:lvl>
    <w:lvl w:ilvl="7">
      <w:numFmt w:val="bullet"/>
      <w:lvlText w:val="•"/>
      <w:lvlJc w:val="left"/>
      <w:pPr>
        <w:ind w:left="7511" w:hanging="721"/>
      </w:pPr>
      <w:rPr>
        <w:rFonts w:hint="default"/>
        <w:lang w:val="en-US" w:eastAsia="en-US" w:bidi="en-US"/>
      </w:rPr>
    </w:lvl>
    <w:lvl w:ilvl="8">
      <w:numFmt w:val="bullet"/>
      <w:lvlText w:val="•"/>
      <w:lvlJc w:val="left"/>
      <w:pPr>
        <w:ind w:left="8483" w:hanging="721"/>
      </w:pPr>
      <w:rPr>
        <w:rFonts w:hint="default"/>
        <w:lang w:val="en-US" w:eastAsia="en-US" w:bidi="en-US"/>
      </w:rPr>
    </w:lvl>
  </w:abstractNum>
  <w:abstractNum w:abstractNumId="14">
    <w:nsid w:val="5A1178E9"/>
    <w:multiLevelType w:val="hybridMultilevel"/>
    <w:tmpl w:val="AD8AF9F8"/>
    <w:lvl w:ilvl="0" w:tplc="04090011">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5">
    <w:nsid w:val="5B8014A8"/>
    <w:multiLevelType w:val="hybridMultilevel"/>
    <w:tmpl w:val="6AEA0B30"/>
    <w:lvl w:ilvl="0" w:tplc="B3F08CC4">
      <w:numFmt w:val="bullet"/>
      <w:lvlText w:val="-"/>
      <w:lvlJc w:val="left"/>
      <w:pPr>
        <w:ind w:left="970" w:hanging="360"/>
      </w:pPr>
      <w:rPr>
        <w:rFonts w:ascii="Arial" w:eastAsia="Arial" w:hAnsi="Arial" w:cs="Arial" w:hint="default"/>
        <w:w w:val="92"/>
        <w:sz w:val="22"/>
        <w:szCs w:val="22"/>
        <w:lang w:val="en-US" w:eastAsia="en-US" w:bidi="en-US"/>
      </w:rPr>
    </w:lvl>
    <w:lvl w:ilvl="1" w:tplc="9C68D77C">
      <w:numFmt w:val="bullet"/>
      <w:lvlText w:val="•"/>
      <w:lvlJc w:val="left"/>
      <w:pPr>
        <w:ind w:left="1924" w:hanging="360"/>
      </w:pPr>
      <w:rPr>
        <w:rFonts w:hint="default"/>
        <w:lang w:val="en-US" w:eastAsia="en-US" w:bidi="en-US"/>
      </w:rPr>
    </w:lvl>
    <w:lvl w:ilvl="2" w:tplc="47A8611E">
      <w:numFmt w:val="bullet"/>
      <w:lvlText w:val="•"/>
      <w:lvlJc w:val="left"/>
      <w:pPr>
        <w:ind w:left="2869" w:hanging="360"/>
      </w:pPr>
      <w:rPr>
        <w:rFonts w:hint="default"/>
        <w:lang w:val="en-US" w:eastAsia="en-US" w:bidi="en-US"/>
      </w:rPr>
    </w:lvl>
    <w:lvl w:ilvl="3" w:tplc="4D8C6046">
      <w:numFmt w:val="bullet"/>
      <w:lvlText w:val="•"/>
      <w:lvlJc w:val="left"/>
      <w:pPr>
        <w:ind w:left="3814" w:hanging="360"/>
      </w:pPr>
      <w:rPr>
        <w:rFonts w:hint="default"/>
        <w:lang w:val="en-US" w:eastAsia="en-US" w:bidi="en-US"/>
      </w:rPr>
    </w:lvl>
    <w:lvl w:ilvl="4" w:tplc="D1203088">
      <w:numFmt w:val="bullet"/>
      <w:lvlText w:val="•"/>
      <w:lvlJc w:val="left"/>
      <w:pPr>
        <w:ind w:left="4759" w:hanging="360"/>
      </w:pPr>
      <w:rPr>
        <w:rFonts w:hint="default"/>
        <w:lang w:val="en-US" w:eastAsia="en-US" w:bidi="en-US"/>
      </w:rPr>
    </w:lvl>
    <w:lvl w:ilvl="5" w:tplc="41D86A7E">
      <w:numFmt w:val="bullet"/>
      <w:lvlText w:val="•"/>
      <w:lvlJc w:val="left"/>
      <w:pPr>
        <w:ind w:left="5703" w:hanging="360"/>
      </w:pPr>
      <w:rPr>
        <w:rFonts w:hint="default"/>
        <w:lang w:val="en-US" w:eastAsia="en-US" w:bidi="en-US"/>
      </w:rPr>
    </w:lvl>
    <w:lvl w:ilvl="6" w:tplc="BC6AD672">
      <w:numFmt w:val="bullet"/>
      <w:lvlText w:val="•"/>
      <w:lvlJc w:val="left"/>
      <w:pPr>
        <w:ind w:left="6648" w:hanging="360"/>
      </w:pPr>
      <w:rPr>
        <w:rFonts w:hint="default"/>
        <w:lang w:val="en-US" w:eastAsia="en-US" w:bidi="en-US"/>
      </w:rPr>
    </w:lvl>
    <w:lvl w:ilvl="7" w:tplc="6D607626">
      <w:numFmt w:val="bullet"/>
      <w:lvlText w:val="•"/>
      <w:lvlJc w:val="left"/>
      <w:pPr>
        <w:ind w:left="7593" w:hanging="360"/>
      </w:pPr>
      <w:rPr>
        <w:rFonts w:hint="default"/>
        <w:lang w:val="en-US" w:eastAsia="en-US" w:bidi="en-US"/>
      </w:rPr>
    </w:lvl>
    <w:lvl w:ilvl="8" w:tplc="15164D04">
      <w:numFmt w:val="bullet"/>
      <w:lvlText w:val="•"/>
      <w:lvlJc w:val="left"/>
      <w:pPr>
        <w:ind w:left="8538" w:hanging="360"/>
      </w:pPr>
      <w:rPr>
        <w:rFonts w:hint="default"/>
        <w:lang w:val="en-US" w:eastAsia="en-US" w:bidi="en-US"/>
      </w:rPr>
    </w:lvl>
  </w:abstractNum>
  <w:abstractNum w:abstractNumId="16">
    <w:nsid w:val="5DBF23D3"/>
    <w:multiLevelType w:val="multilevel"/>
    <w:tmpl w:val="EDE864DC"/>
    <w:lvl w:ilvl="0">
      <w:start w:val="3"/>
      <w:numFmt w:val="upperLetter"/>
      <w:lvlText w:val="%1"/>
      <w:lvlJc w:val="left"/>
      <w:pPr>
        <w:ind w:left="619" w:hanging="370"/>
      </w:pPr>
      <w:rPr>
        <w:rFonts w:hint="default"/>
        <w:lang w:val="en-US" w:eastAsia="en-US" w:bidi="en-US"/>
      </w:rPr>
    </w:lvl>
    <w:lvl w:ilvl="1">
      <w:start w:val="1"/>
      <w:numFmt w:val="decimal"/>
      <w:lvlText w:val="%1.%2"/>
      <w:lvlJc w:val="left"/>
      <w:pPr>
        <w:ind w:left="619" w:hanging="370"/>
      </w:pPr>
      <w:rPr>
        <w:rFonts w:asciiTheme="majorBidi" w:eastAsia="Trebuchet MS" w:hAnsiTheme="majorBidi" w:cstheme="majorBidi" w:hint="default"/>
        <w:b/>
        <w:bCs/>
        <w:w w:val="72"/>
        <w:sz w:val="24"/>
        <w:szCs w:val="24"/>
        <w:lang w:val="en-US" w:eastAsia="en-US" w:bidi="en-US"/>
      </w:rPr>
    </w:lvl>
    <w:lvl w:ilvl="2">
      <w:numFmt w:val="bullet"/>
      <w:lvlText w:val="•"/>
      <w:lvlJc w:val="left"/>
      <w:pPr>
        <w:ind w:left="2581" w:hanging="370"/>
      </w:pPr>
      <w:rPr>
        <w:rFonts w:hint="default"/>
        <w:lang w:val="en-US" w:eastAsia="en-US" w:bidi="en-US"/>
      </w:rPr>
    </w:lvl>
    <w:lvl w:ilvl="3">
      <w:numFmt w:val="bullet"/>
      <w:lvlText w:val="•"/>
      <w:lvlJc w:val="left"/>
      <w:pPr>
        <w:ind w:left="3562" w:hanging="370"/>
      </w:pPr>
      <w:rPr>
        <w:rFonts w:hint="default"/>
        <w:lang w:val="en-US" w:eastAsia="en-US" w:bidi="en-US"/>
      </w:rPr>
    </w:lvl>
    <w:lvl w:ilvl="4">
      <w:numFmt w:val="bullet"/>
      <w:lvlText w:val="•"/>
      <w:lvlJc w:val="left"/>
      <w:pPr>
        <w:ind w:left="4543" w:hanging="370"/>
      </w:pPr>
      <w:rPr>
        <w:rFonts w:hint="default"/>
        <w:lang w:val="en-US" w:eastAsia="en-US" w:bidi="en-US"/>
      </w:rPr>
    </w:lvl>
    <w:lvl w:ilvl="5">
      <w:numFmt w:val="bullet"/>
      <w:lvlText w:val="•"/>
      <w:lvlJc w:val="left"/>
      <w:pPr>
        <w:ind w:left="5523" w:hanging="370"/>
      </w:pPr>
      <w:rPr>
        <w:rFonts w:hint="default"/>
        <w:lang w:val="en-US" w:eastAsia="en-US" w:bidi="en-US"/>
      </w:rPr>
    </w:lvl>
    <w:lvl w:ilvl="6">
      <w:numFmt w:val="bullet"/>
      <w:lvlText w:val="•"/>
      <w:lvlJc w:val="left"/>
      <w:pPr>
        <w:ind w:left="6504" w:hanging="370"/>
      </w:pPr>
      <w:rPr>
        <w:rFonts w:hint="default"/>
        <w:lang w:val="en-US" w:eastAsia="en-US" w:bidi="en-US"/>
      </w:rPr>
    </w:lvl>
    <w:lvl w:ilvl="7">
      <w:numFmt w:val="bullet"/>
      <w:lvlText w:val="•"/>
      <w:lvlJc w:val="left"/>
      <w:pPr>
        <w:ind w:left="7485" w:hanging="370"/>
      </w:pPr>
      <w:rPr>
        <w:rFonts w:hint="default"/>
        <w:lang w:val="en-US" w:eastAsia="en-US" w:bidi="en-US"/>
      </w:rPr>
    </w:lvl>
    <w:lvl w:ilvl="8">
      <w:numFmt w:val="bullet"/>
      <w:lvlText w:val="•"/>
      <w:lvlJc w:val="left"/>
      <w:pPr>
        <w:ind w:left="8466" w:hanging="370"/>
      </w:pPr>
      <w:rPr>
        <w:rFonts w:hint="default"/>
        <w:lang w:val="en-US" w:eastAsia="en-US" w:bidi="en-US"/>
      </w:rPr>
    </w:lvl>
  </w:abstractNum>
  <w:abstractNum w:abstractNumId="17">
    <w:nsid w:val="655B1607"/>
    <w:multiLevelType w:val="hybridMultilevel"/>
    <w:tmpl w:val="0B921DE4"/>
    <w:lvl w:ilvl="0" w:tplc="3DE4D974">
      <w:start w:val="1"/>
      <w:numFmt w:val="upperLetter"/>
      <w:lvlText w:val="%1."/>
      <w:lvlJc w:val="left"/>
      <w:pPr>
        <w:ind w:left="516" w:hanging="267"/>
      </w:pPr>
      <w:rPr>
        <w:rFonts w:asciiTheme="majorBidi" w:eastAsia="Trebuchet MS" w:hAnsiTheme="majorBidi" w:cstheme="majorBidi" w:hint="default"/>
        <w:b/>
        <w:bCs/>
        <w:w w:val="87"/>
        <w:sz w:val="24"/>
        <w:szCs w:val="24"/>
        <w:lang w:val="en-US" w:eastAsia="en-US" w:bidi="en-US"/>
      </w:rPr>
    </w:lvl>
    <w:lvl w:ilvl="1" w:tplc="B2ACDEA4">
      <w:numFmt w:val="bullet"/>
      <w:lvlText w:val="•"/>
      <w:lvlJc w:val="left"/>
      <w:pPr>
        <w:ind w:left="1510" w:hanging="267"/>
      </w:pPr>
      <w:rPr>
        <w:rFonts w:hint="default"/>
        <w:lang w:val="en-US" w:eastAsia="en-US" w:bidi="en-US"/>
      </w:rPr>
    </w:lvl>
    <w:lvl w:ilvl="2" w:tplc="BC800664">
      <w:numFmt w:val="bullet"/>
      <w:lvlText w:val="•"/>
      <w:lvlJc w:val="left"/>
      <w:pPr>
        <w:ind w:left="2501" w:hanging="267"/>
      </w:pPr>
      <w:rPr>
        <w:rFonts w:hint="default"/>
        <w:lang w:val="en-US" w:eastAsia="en-US" w:bidi="en-US"/>
      </w:rPr>
    </w:lvl>
    <w:lvl w:ilvl="3" w:tplc="A1549634">
      <w:numFmt w:val="bullet"/>
      <w:lvlText w:val="•"/>
      <w:lvlJc w:val="left"/>
      <w:pPr>
        <w:ind w:left="3492" w:hanging="267"/>
      </w:pPr>
      <w:rPr>
        <w:rFonts w:hint="default"/>
        <w:lang w:val="en-US" w:eastAsia="en-US" w:bidi="en-US"/>
      </w:rPr>
    </w:lvl>
    <w:lvl w:ilvl="4" w:tplc="B288A9EE">
      <w:numFmt w:val="bullet"/>
      <w:lvlText w:val="•"/>
      <w:lvlJc w:val="left"/>
      <w:pPr>
        <w:ind w:left="4483" w:hanging="267"/>
      </w:pPr>
      <w:rPr>
        <w:rFonts w:hint="default"/>
        <w:lang w:val="en-US" w:eastAsia="en-US" w:bidi="en-US"/>
      </w:rPr>
    </w:lvl>
    <w:lvl w:ilvl="5" w:tplc="88826C10">
      <w:numFmt w:val="bullet"/>
      <w:lvlText w:val="•"/>
      <w:lvlJc w:val="left"/>
      <w:pPr>
        <w:ind w:left="5473" w:hanging="267"/>
      </w:pPr>
      <w:rPr>
        <w:rFonts w:hint="default"/>
        <w:lang w:val="en-US" w:eastAsia="en-US" w:bidi="en-US"/>
      </w:rPr>
    </w:lvl>
    <w:lvl w:ilvl="6" w:tplc="FA427FBC">
      <w:numFmt w:val="bullet"/>
      <w:lvlText w:val="•"/>
      <w:lvlJc w:val="left"/>
      <w:pPr>
        <w:ind w:left="6464" w:hanging="267"/>
      </w:pPr>
      <w:rPr>
        <w:rFonts w:hint="default"/>
        <w:lang w:val="en-US" w:eastAsia="en-US" w:bidi="en-US"/>
      </w:rPr>
    </w:lvl>
    <w:lvl w:ilvl="7" w:tplc="EA567400">
      <w:numFmt w:val="bullet"/>
      <w:lvlText w:val="•"/>
      <w:lvlJc w:val="left"/>
      <w:pPr>
        <w:ind w:left="7455" w:hanging="267"/>
      </w:pPr>
      <w:rPr>
        <w:rFonts w:hint="default"/>
        <w:lang w:val="en-US" w:eastAsia="en-US" w:bidi="en-US"/>
      </w:rPr>
    </w:lvl>
    <w:lvl w:ilvl="8" w:tplc="A78067F6">
      <w:numFmt w:val="bullet"/>
      <w:lvlText w:val="•"/>
      <w:lvlJc w:val="left"/>
      <w:pPr>
        <w:ind w:left="8446" w:hanging="267"/>
      </w:pPr>
      <w:rPr>
        <w:rFonts w:hint="default"/>
        <w:lang w:val="en-US" w:eastAsia="en-US" w:bidi="en-US"/>
      </w:rPr>
    </w:lvl>
  </w:abstractNum>
  <w:abstractNum w:abstractNumId="18">
    <w:nsid w:val="6A371C0A"/>
    <w:multiLevelType w:val="hybridMultilevel"/>
    <w:tmpl w:val="ACAE1384"/>
    <w:lvl w:ilvl="0" w:tplc="FD2AEF40">
      <w:numFmt w:val="bullet"/>
      <w:lvlText w:val="-"/>
      <w:lvlJc w:val="left"/>
      <w:pPr>
        <w:ind w:left="361" w:hanging="360"/>
      </w:pPr>
      <w:rPr>
        <w:rFonts w:ascii="Arial" w:eastAsia="Arial" w:hAnsi="Arial" w:cs="Arial" w:hint="default"/>
        <w:w w:val="92"/>
        <w:sz w:val="22"/>
        <w:szCs w:val="22"/>
        <w:lang w:val="en-US" w:eastAsia="en-US" w:bidi="en-US"/>
      </w:rPr>
    </w:lvl>
    <w:lvl w:ilvl="1" w:tplc="FC8A086A">
      <w:numFmt w:val="bullet"/>
      <w:lvlText w:val="•"/>
      <w:lvlJc w:val="left"/>
      <w:pPr>
        <w:ind w:left="1315" w:hanging="360"/>
      </w:pPr>
      <w:rPr>
        <w:rFonts w:hint="default"/>
        <w:lang w:val="en-US" w:eastAsia="en-US" w:bidi="en-US"/>
      </w:rPr>
    </w:lvl>
    <w:lvl w:ilvl="2" w:tplc="0F92CC66">
      <w:numFmt w:val="bullet"/>
      <w:lvlText w:val="•"/>
      <w:lvlJc w:val="left"/>
      <w:pPr>
        <w:ind w:left="2260" w:hanging="360"/>
      </w:pPr>
      <w:rPr>
        <w:rFonts w:hint="default"/>
        <w:lang w:val="en-US" w:eastAsia="en-US" w:bidi="en-US"/>
      </w:rPr>
    </w:lvl>
    <w:lvl w:ilvl="3" w:tplc="153ADAAC">
      <w:numFmt w:val="bullet"/>
      <w:lvlText w:val="•"/>
      <w:lvlJc w:val="left"/>
      <w:pPr>
        <w:ind w:left="3205" w:hanging="360"/>
      </w:pPr>
      <w:rPr>
        <w:rFonts w:hint="default"/>
        <w:lang w:val="en-US" w:eastAsia="en-US" w:bidi="en-US"/>
      </w:rPr>
    </w:lvl>
    <w:lvl w:ilvl="4" w:tplc="A7CCE652">
      <w:numFmt w:val="bullet"/>
      <w:lvlText w:val="•"/>
      <w:lvlJc w:val="left"/>
      <w:pPr>
        <w:ind w:left="4150" w:hanging="360"/>
      </w:pPr>
      <w:rPr>
        <w:rFonts w:hint="default"/>
        <w:lang w:val="en-US" w:eastAsia="en-US" w:bidi="en-US"/>
      </w:rPr>
    </w:lvl>
    <w:lvl w:ilvl="5" w:tplc="7D9C4F26">
      <w:numFmt w:val="bullet"/>
      <w:lvlText w:val="•"/>
      <w:lvlJc w:val="left"/>
      <w:pPr>
        <w:ind w:left="5094" w:hanging="360"/>
      </w:pPr>
      <w:rPr>
        <w:rFonts w:hint="default"/>
        <w:lang w:val="en-US" w:eastAsia="en-US" w:bidi="en-US"/>
      </w:rPr>
    </w:lvl>
    <w:lvl w:ilvl="6" w:tplc="BEE60F00">
      <w:numFmt w:val="bullet"/>
      <w:lvlText w:val="•"/>
      <w:lvlJc w:val="left"/>
      <w:pPr>
        <w:ind w:left="6039" w:hanging="360"/>
      </w:pPr>
      <w:rPr>
        <w:rFonts w:hint="default"/>
        <w:lang w:val="en-US" w:eastAsia="en-US" w:bidi="en-US"/>
      </w:rPr>
    </w:lvl>
    <w:lvl w:ilvl="7" w:tplc="F78A2656">
      <w:numFmt w:val="bullet"/>
      <w:lvlText w:val="•"/>
      <w:lvlJc w:val="left"/>
      <w:pPr>
        <w:ind w:left="6984" w:hanging="360"/>
      </w:pPr>
      <w:rPr>
        <w:rFonts w:hint="default"/>
        <w:lang w:val="en-US" w:eastAsia="en-US" w:bidi="en-US"/>
      </w:rPr>
    </w:lvl>
    <w:lvl w:ilvl="8" w:tplc="0A4E96FC">
      <w:numFmt w:val="bullet"/>
      <w:lvlText w:val="•"/>
      <w:lvlJc w:val="left"/>
      <w:pPr>
        <w:ind w:left="7929" w:hanging="360"/>
      </w:pPr>
      <w:rPr>
        <w:rFonts w:hint="default"/>
        <w:lang w:val="en-US" w:eastAsia="en-US" w:bidi="en-US"/>
      </w:rPr>
    </w:lvl>
  </w:abstractNum>
  <w:abstractNum w:abstractNumId="19">
    <w:nsid w:val="6C430E65"/>
    <w:multiLevelType w:val="hybridMultilevel"/>
    <w:tmpl w:val="27F2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C7C28"/>
    <w:multiLevelType w:val="hybridMultilevel"/>
    <w:tmpl w:val="CDEEC970"/>
    <w:lvl w:ilvl="0" w:tplc="47D2B906">
      <w:start w:val="1"/>
      <w:numFmt w:val="decimal"/>
      <w:lvlText w:val="%1."/>
      <w:lvlJc w:val="left"/>
      <w:pPr>
        <w:ind w:left="528" w:hanging="279"/>
      </w:pPr>
      <w:rPr>
        <w:rFonts w:hint="default"/>
        <w:b/>
        <w:bCs/>
        <w:spacing w:val="-1"/>
        <w:w w:val="72"/>
        <w:lang w:val="en-US" w:eastAsia="en-US" w:bidi="en-US"/>
      </w:rPr>
    </w:lvl>
    <w:lvl w:ilvl="1" w:tplc="91A84484">
      <w:start w:val="1"/>
      <w:numFmt w:val="decimal"/>
      <w:lvlText w:val="(%2)"/>
      <w:lvlJc w:val="left"/>
      <w:pPr>
        <w:ind w:left="970" w:hanging="361"/>
      </w:pPr>
      <w:rPr>
        <w:rFonts w:ascii="Arial" w:eastAsia="Arial" w:hAnsi="Arial" w:cs="Arial" w:hint="default"/>
        <w:w w:val="91"/>
        <w:sz w:val="22"/>
        <w:szCs w:val="22"/>
        <w:lang w:val="en-US" w:eastAsia="en-US" w:bidi="en-US"/>
      </w:rPr>
    </w:lvl>
    <w:lvl w:ilvl="2" w:tplc="E0B2A3CE">
      <w:numFmt w:val="bullet"/>
      <w:lvlText w:val="•"/>
      <w:lvlJc w:val="left"/>
      <w:pPr>
        <w:ind w:left="2029" w:hanging="361"/>
      </w:pPr>
      <w:rPr>
        <w:rFonts w:hint="default"/>
        <w:lang w:val="en-US" w:eastAsia="en-US" w:bidi="en-US"/>
      </w:rPr>
    </w:lvl>
    <w:lvl w:ilvl="3" w:tplc="B47C75FE">
      <w:numFmt w:val="bullet"/>
      <w:lvlText w:val="•"/>
      <w:lvlJc w:val="left"/>
      <w:pPr>
        <w:ind w:left="3079" w:hanging="361"/>
      </w:pPr>
      <w:rPr>
        <w:rFonts w:hint="default"/>
        <w:lang w:val="en-US" w:eastAsia="en-US" w:bidi="en-US"/>
      </w:rPr>
    </w:lvl>
    <w:lvl w:ilvl="4" w:tplc="EDB61F4C">
      <w:numFmt w:val="bullet"/>
      <w:lvlText w:val="•"/>
      <w:lvlJc w:val="left"/>
      <w:pPr>
        <w:ind w:left="4129" w:hanging="361"/>
      </w:pPr>
      <w:rPr>
        <w:rFonts w:hint="default"/>
        <w:lang w:val="en-US" w:eastAsia="en-US" w:bidi="en-US"/>
      </w:rPr>
    </w:lvl>
    <w:lvl w:ilvl="5" w:tplc="06BA6DFA">
      <w:numFmt w:val="bullet"/>
      <w:lvlText w:val="•"/>
      <w:lvlJc w:val="left"/>
      <w:pPr>
        <w:ind w:left="5178" w:hanging="361"/>
      </w:pPr>
      <w:rPr>
        <w:rFonts w:hint="default"/>
        <w:lang w:val="en-US" w:eastAsia="en-US" w:bidi="en-US"/>
      </w:rPr>
    </w:lvl>
    <w:lvl w:ilvl="6" w:tplc="6CEAEA5C">
      <w:numFmt w:val="bullet"/>
      <w:lvlText w:val="•"/>
      <w:lvlJc w:val="left"/>
      <w:pPr>
        <w:ind w:left="6228" w:hanging="361"/>
      </w:pPr>
      <w:rPr>
        <w:rFonts w:hint="default"/>
        <w:lang w:val="en-US" w:eastAsia="en-US" w:bidi="en-US"/>
      </w:rPr>
    </w:lvl>
    <w:lvl w:ilvl="7" w:tplc="8F4023BC">
      <w:numFmt w:val="bullet"/>
      <w:lvlText w:val="•"/>
      <w:lvlJc w:val="left"/>
      <w:pPr>
        <w:ind w:left="7278" w:hanging="361"/>
      </w:pPr>
      <w:rPr>
        <w:rFonts w:hint="default"/>
        <w:lang w:val="en-US" w:eastAsia="en-US" w:bidi="en-US"/>
      </w:rPr>
    </w:lvl>
    <w:lvl w:ilvl="8" w:tplc="5A54CC8A">
      <w:numFmt w:val="bullet"/>
      <w:lvlText w:val="•"/>
      <w:lvlJc w:val="left"/>
      <w:pPr>
        <w:ind w:left="8328" w:hanging="361"/>
      </w:pPr>
      <w:rPr>
        <w:rFonts w:hint="default"/>
        <w:lang w:val="en-US" w:eastAsia="en-US" w:bidi="en-US"/>
      </w:rPr>
    </w:lvl>
  </w:abstractNum>
  <w:num w:numId="1">
    <w:abstractNumId w:val="10"/>
  </w:num>
  <w:num w:numId="2">
    <w:abstractNumId w:val="0"/>
  </w:num>
  <w:num w:numId="3">
    <w:abstractNumId w:val="5"/>
  </w:num>
  <w:num w:numId="4">
    <w:abstractNumId w:val="15"/>
  </w:num>
  <w:num w:numId="5">
    <w:abstractNumId w:val="3"/>
  </w:num>
  <w:num w:numId="6">
    <w:abstractNumId w:val="8"/>
  </w:num>
  <w:num w:numId="7">
    <w:abstractNumId w:val="9"/>
  </w:num>
  <w:num w:numId="8">
    <w:abstractNumId w:val="13"/>
  </w:num>
  <w:num w:numId="9">
    <w:abstractNumId w:val="2"/>
  </w:num>
  <w:num w:numId="10">
    <w:abstractNumId w:val="7"/>
  </w:num>
  <w:num w:numId="11">
    <w:abstractNumId w:val="16"/>
  </w:num>
  <w:num w:numId="12">
    <w:abstractNumId w:val="17"/>
  </w:num>
  <w:num w:numId="13">
    <w:abstractNumId w:val="20"/>
  </w:num>
  <w:num w:numId="14">
    <w:abstractNumId w:val="12"/>
  </w:num>
  <w:num w:numId="15">
    <w:abstractNumId w:val="4"/>
  </w:num>
  <w:num w:numId="16">
    <w:abstractNumId w:val="14"/>
  </w:num>
  <w:num w:numId="17">
    <w:abstractNumId w:val="1"/>
  </w:num>
  <w:num w:numId="18">
    <w:abstractNumId w:val="18"/>
  </w:num>
  <w:num w:numId="19">
    <w:abstractNumId w:val="19"/>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255A4"/>
    <w:rsid w:val="000255A4"/>
    <w:rsid w:val="0010677D"/>
    <w:rsid w:val="006A2441"/>
    <w:rsid w:val="00764D9B"/>
    <w:rsid w:val="008D1AEB"/>
    <w:rsid w:val="009C2E3C"/>
    <w:rsid w:val="009D7A41"/>
    <w:rsid w:val="00BB1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569" w:hanging="321"/>
      <w:outlineLvl w:val="0"/>
    </w:pPr>
    <w:rPr>
      <w:rFonts w:ascii="Trebuchet MS" w:eastAsia="Trebuchet MS" w:hAnsi="Trebuchet MS" w:cs="Trebuchet MS"/>
      <w:b/>
      <w:bCs/>
      <w:sz w:val="32"/>
      <w:szCs w:val="32"/>
    </w:rPr>
  </w:style>
  <w:style w:type="paragraph" w:styleId="Heading2">
    <w:name w:val="heading 2"/>
    <w:basedOn w:val="Normal"/>
    <w:uiPriority w:val="1"/>
    <w:qFormat/>
    <w:pPr>
      <w:spacing w:before="48"/>
      <w:ind w:left="528" w:hanging="280"/>
      <w:outlineLvl w:val="1"/>
    </w:pPr>
    <w:rPr>
      <w:rFonts w:ascii="Trebuchet MS" w:eastAsia="Trebuchet MS" w:hAnsi="Trebuchet MS" w:cs="Trebuchet MS"/>
      <w:b/>
      <w:bCs/>
      <w:sz w:val="28"/>
      <w:szCs w:val="28"/>
    </w:rPr>
  </w:style>
  <w:style w:type="paragraph" w:styleId="Heading3">
    <w:name w:val="heading 3"/>
    <w:basedOn w:val="Normal"/>
    <w:uiPriority w:val="1"/>
    <w:qFormat/>
    <w:pPr>
      <w:ind w:left="249"/>
      <w:outlineLvl w:val="2"/>
    </w:pPr>
    <w:rPr>
      <w:rFonts w:ascii="Trebuchet MS" w:eastAsia="Trebuchet MS" w:hAnsi="Trebuchet MS" w:cs="Trebuchet MS"/>
      <w:b/>
      <w:bCs/>
      <w:sz w:val="24"/>
      <w:szCs w:val="24"/>
    </w:rPr>
  </w:style>
  <w:style w:type="paragraph" w:styleId="Heading4">
    <w:name w:val="heading 4"/>
    <w:basedOn w:val="Normal"/>
    <w:uiPriority w:val="1"/>
    <w:qFormat/>
    <w:pPr>
      <w:ind w:left="249"/>
      <w:jc w:val="both"/>
      <w:outlineLvl w:val="3"/>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8"/>
      <w:ind w:left="189"/>
    </w:pPr>
    <w:rPr>
      <w:b/>
      <w:bCs/>
      <w:sz w:val="40"/>
      <w:szCs w:val="40"/>
    </w:rPr>
  </w:style>
  <w:style w:type="paragraph" w:styleId="ListParagraph">
    <w:name w:val="List Paragraph"/>
    <w:basedOn w:val="Normal"/>
    <w:uiPriority w:val="1"/>
    <w:qFormat/>
    <w:pPr>
      <w:ind w:left="969"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A2441"/>
    <w:rPr>
      <w:rFonts w:ascii="Tahoma" w:hAnsi="Tahoma" w:cs="Tahoma"/>
      <w:sz w:val="16"/>
      <w:szCs w:val="16"/>
    </w:rPr>
  </w:style>
  <w:style w:type="character" w:customStyle="1" w:styleId="BalloonTextChar">
    <w:name w:val="Balloon Text Char"/>
    <w:basedOn w:val="DefaultParagraphFont"/>
    <w:link w:val="BalloonText"/>
    <w:uiPriority w:val="99"/>
    <w:semiHidden/>
    <w:rsid w:val="006A2441"/>
    <w:rPr>
      <w:rFonts w:ascii="Tahoma" w:eastAsia="Arial" w:hAnsi="Tahoma" w:cs="Tahoma"/>
      <w:sz w:val="16"/>
      <w:szCs w:val="16"/>
      <w:lang w:bidi="en-US"/>
    </w:rPr>
  </w:style>
  <w:style w:type="paragraph" w:styleId="FootnoteText">
    <w:name w:val="footnote text"/>
    <w:basedOn w:val="Normal"/>
    <w:link w:val="FootnoteTextChar"/>
    <w:uiPriority w:val="99"/>
    <w:semiHidden/>
    <w:unhideWhenUsed/>
    <w:rsid w:val="00BB11D1"/>
    <w:rPr>
      <w:sz w:val="20"/>
      <w:szCs w:val="20"/>
    </w:rPr>
  </w:style>
  <w:style w:type="character" w:customStyle="1" w:styleId="FootnoteTextChar">
    <w:name w:val="Footnote Text Char"/>
    <w:basedOn w:val="DefaultParagraphFont"/>
    <w:link w:val="FootnoteText"/>
    <w:uiPriority w:val="99"/>
    <w:semiHidden/>
    <w:rsid w:val="00BB11D1"/>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BB11D1"/>
    <w:rPr>
      <w:vertAlign w:val="superscript"/>
    </w:rPr>
  </w:style>
  <w:style w:type="paragraph" w:styleId="Header">
    <w:name w:val="header"/>
    <w:basedOn w:val="Normal"/>
    <w:link w:val="HeaderChar"/>
    <w:uiPriority w:val="99"/>
    <w:unhideWhenUsed/>
    <w:rsid w:val="00BB11D1"/>
    <w:pPr>
      <w:tabs>
        <w:tab w:val="center" w:pos="4680"/>
        <w:tab w:val="right" w:pos="9360"/>
      </w:tabs>
    </w:pPr>
  </w:style>
  <w:style w:type="character" w:customStyle="1" w:styleId="HeaderChar">
    <w:name w:val="Header Char"/>
    <w:basedOn w:val="DefaultParagraphFont"/>
    <w:link w:val="Header"/>
    <w:uiPriority w:val="99"/>
    <w:rsid w:val="00BB11D1"/>
    <w:rPr>
      <w:rFonts w:ascii="Arial" w:eastAsia="Arial" w:hAnsi="Arial" w:cs="Arial"/>
      <w:lang w:bidi="en-US"/>
    </w:rPr>
  </w:style>
  <w:style w:type="paragraph" w:styleId="Footer">
    <w:name w:val="footer"/>
    <w:basedOn w:val="Normal"/>
    <w:link w:val="FooterChar"/>
    <w:uiPriority w:val="99"/>
    <w:unhideWhenUsed/>
    <w:rsid w:val="00BB11D1"/>
    <w:pPr>
      <w:tabs>
        <w:tab w:val="center" w:pos="4680"/>
        <w:tab w:val="right" w:pos="9360"/>
      </w:tabs>
    </w:pPr>
  </w:style>
  <w:style w:type="character" w:customStyle="1" w:styleId="FooterChar">
    <w:name w:val="Footer Char"/>
    <w:basedOn w:val="DefaultParagraphFont"/>
    <w:link w:val="Footer"/>
    <w:uiPriority w:val="99"/>
    <w:rsid w:val="00BB11D1"/>
    <w:rPr>
      <w:rFonts w:ascii="Arial" w:eastAsia="Arial" w:hAnsi="Arial" w:cs="Arial"/>
      <w:lang w:bidi="en-US"/>
    </w:rPr>
  </w:style>
  <w:style w:type="character" w:styleId="Hyperlink">
    <w:name w:val="Hyperlink"/>
    <w:basedOn w:val="DefaultParagraphFont"/>
    <w:uiPriority w:val="99"/>
    <w:unhideWhenUsed/>
    <w:rsid w:val="00BB11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ulrich.bindseil@ecb.europa.eu"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cb.europa.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ecb.europa.eu/pub/research/working-papers/html/index.e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hyperlink" Target="http://www.ecb.europa.e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deas.repec.org/s/ecb/ecbwp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mailto:ulrich.bindseil@ecb.europa.eu" TargetMode="External"/><Relationship Id="rId30" Type="http://schemas.openxmlformats.org/officeDocument/2006/relationships/hyperlink" Target="http://ssrn.com/"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cb.europa.eu/paym/erms/html/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E5887-5296-4BA5-8DB2-B5801DEE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51</Pages>
  <Words>16322</Words>
  <Characters>93037</Characters>
  <Application>Microsoft Office Word</Application>
  <DocSecurity>0</DocSecurity>
  <Lines>775</Lines>
  <Paragraphs>218</Paragraphs>
  <ScaleCrop>false</ScaleCrop>
  <Company/>
  <LinksUpToDate>false</LinksUpToDate>
  <CharactersWithSpaces>109141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Tiered CBDC and the financial system</dc:title>
  <dc:subject>IT progress and its application to the financial industry have inspired central banks and academics to analyse the merits of central bank digital currencies (CBDC) accessible to the broad public. This paper first reviews the advantages and risks of such CBDC. It then discusses two prominent arguments against CBDC, namely (i) risk of structural disintermediation of banks and centralization of the credit allocation process within the central bank and (ii) risk of facilitation systemic runs on banks in crisis situations. Two-tier remuneration of CBDC is proposed as solution to both issues, and a comparison is provided with a simple cap solution and the solution of Kumhof and Noone (2018). Finally, the paper compares the financial account implications of CBDC with the ones of crypto assets, Stablecoins, and narrow bank digital money, in a domestic and international context.</dc:subject>
  <dc:creator>Ulrich Bindseil</dc:creator>
  <cp:keywords>central bank digital currencies, central banks, financial instability, financial accounts</cp:keywords>
  <cp:lastModifiedBy>Hadi El-Jibbawi</cp:lastModifiedBy>
  <cp:revision>7</cp:revision>
  <dcterms:created xsi:type="dcterms:W3CDTF">2020-02-18T07:49:00Z</dcterms:created>
  <dcterms:modified xsi:type="dcterms:W3CDTF">2020-02-19T11:57:00Z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2016-07-04T00:00:00Z</vt:filetime>
  </property>
  <property fmtid="{D5CDD505-2E9C-101B-9397-08002B2CF9AE}" pid="3" name="Creator">
    <vt:lpwstr>Acrobat PDFMaker 19 for Word</vt:lpwstr>
  </property>
  <property fmtid="{D5CDD505-2E9C-101B-9397-08002B2CF9AE}" pid="4" name="LastSaved">
    <vt:filetime>2020-02-18T00:00:00Z</vt:filetime>
  </property>
</Properties>
</file>