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215"/>
        <w:rPr>
          <w:rFonts w:ascii="Times New Roman"/>
          <w:sz w:val="20"/>
        </w:rPr>
      </w:pPr>
    </w:p>
    <w:p>
      <w:pPr>
        <w:pStyle w:val="BodyText"/>
        <w:spacing w:line="20" w:lineRule="exact"/>
        <w:ind w:left="2"/>
        <w:rPr>
          <w:rFonts w:ascii="Times New Roman"/>
          <w:sz w:val="2"/>
        </w:rPr>
      </w:pPr>
      <w:r>
        <w:rPr>
          <w:rFonts w:ascii="Times New Roman"/>
          <w:sz w:val="2"/>
        </w:rPr>
        <mc:AlternateContent>
          <mc:Choice Requires="wps">
            <w:drawing>
              <wp:inline distT="0" distB="0" distL="0" distR="0">
                <wp:extent cx="5830570" cy="13335"/>
                <wp:effectExtent l="0" t="0" r="0" b="0"/>
                <wp:docPr id="1" name="Group 1"/>
                <wp:cNvGraphicFramePr>
                  <a:graphicFrameLocks/>
                </wp:cNvGraphicFramePr>
                <a:graphic>
                  <a:graphicData uri="http://schemas.microsoft.com/office/word/2010/wordprocessingGroup">
                    <wpg:wgp>
                      <wpg:cNvPr id="1" name="Group 1"/>
                      <wpg:cNvGrpSpPr/>
                      <wpg:grpSpPr>
                        <a:xfrm>
                          <a:off x="0" y="0"/>
                          <a:ext cx="5830570" cy="13335"/>
                          <a:chExt cx="5830570" cy="13335"/>
                        </a:xfrm>
                      </wpg:grpSpPr>
                      <wps:wsp>
                        <wps:cNvPr id="2" name="Graphic 2"/>
                        <wps:cNvSpPr/>
                        <wps:spPr>
                          <a:xfrm>
                            <a:off x="0" y="0"/>
                            <a:ext cx="5830570" cy="13335"/>
                          </a:xfrm>
                          <a:custGeom>
                            <a:avLst/>
                            <a:gdLst/>
                            <a:ahLst/>
                            <a:cxnLst/>
                            <a:rect l="l" t="t" r="r" b="b"/>
                            <a:pathLst>
                              <a:path w="5830570" h="13335">
                                <a:moveTo>
                                  <a:pt x="5830062" y="762"/>
                                </a:moveTo>
                                <a:lnTo>
                                  <a:pt x="5829300" y="762"/>
                                </a:lnTo>
                                <a:lnTo>
                                  <a:pt x="5829300" y="0"/>
                                </a:lnTo>
                                <a:lnTo>
                                  <a:pt x="0" y="0"/>
                                </a:lnTo>
                                <a:lnTo>
                                  <a:pt x="0" y="12065"/>
                                </a:lnTo>
                                <a:lnTo>
                                  <a:pt x="762" y="12065"/>
                                </a:lnTo>
                                <a:lnTo>
                                  <a:pt x="762" y="12827"/>
                                </a:lnTo>
                                <a:lnTo>
                                  <a:pt x="5830062" y="12827"/>
                                </a:lnTo>
                                <a:lnTo>
                                  <a:pt x="5830062" y="76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9.1pt;height:1.05pt;mso-position-horizontal-relative:char;mso-position-vertical-relative:line" id="docshapegroup1" coordorigin="0,0" coordsize="9182,21">
                <v:shape style="position:absolute;left:0;top:0;width:9182;height:21" id="docshape2" coordorigin="0,0" coordsize="9182,21" path="m9181,1l9180,1,9180,0,0,0,0,19,1,19,1,20,9181,20,9181,1xe" filled="true" fillcolor="#000000" stroked="false">
                  <v:path arrowok="t"/>
                  <v:fill type="solid"/>
                </v:shape>
              </v:group>
            </w:pict>
          </mc:Fallback>
        </mc:AlternateContent>
      </w:r>
      <w:r>
        <w:rPr>
          <w:rFonts w:ascii="Times New Roman"/>
          <w:sz w:val="2"/>
        </w:rPr>
      </w:r>
    </w:p>
    <w:p>
      <w:pPr>
        <w:pStyle w:val="BodyText"/>
        <w:spacing w:before="53"/>
        <w:rPr>
          <w:rFonts w:ascii="Times New Roman"/>
          <w:sz w:val="42"/>
        </w:rPr>
      </w:pPr>
    </w:p>
    <w:p>
      <w:pPr>
        <w:pStyle w:val="Heading1"/>
        <w:spacing w:before="1"/>
        <w:ind w:left="2" w:right="5319"/>
      </w:pPr>
      <w:r>
        <w:rPr/>
        <w:drawing>
          <wp:anchor distT="0" distB="0" distL="0" distR="0" allowOverlap="1" layoutInCell="1" locked="0" behindDoc="0" simplePos="0" relativeHeight="15729664">
            <wp:simplePos x="0" y="0"/>
            <wp:positionH relativeFrom="page">
              <wp:posOffset>5352415</wp:posOffset>
            </wp:positionH>
            <wp:positionV relativeFrom="paragraph">
              <wp:posOffset>-1810346</wp:posOffset>
            </wp:positionV>
            <wp:extent cx="1840230" cy="810755"/>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1840230" cy="810755"/>
                    </a:xfrm>
                    <a:prstGeom prst="rect">
                      <a:avLst/>
                    </a:prstGeom>
                  </pic:spPr>
                </pic:pic>
              </a:graphicData>
            </a:graphic>
          </wp:anchor>
        </w:drawing>
      </w:r>
      <w:r>
        <w:rPr/>
        <w:t>Circular 2013/8 Market conduct rules</w:t>
      </w:r>
    </w:p>
    <w:p>
      <w:pPr>
        <w:spacing w:before="476"/>
        <w:ind w:left="2" w:right="125" w:firstLine="0"/>
        <w:jc w:val="left"/>
        <w:rPr>
          <w:sz w:val="42"/>
        </w:rPr>
      </w:pPr>
      <w:r>
        <w:rPr>
          <w:spacing w:val="12"/>
          <w:sz w:val="42"/>
        </w:rPr>
        <w:t>Supervisory </w:t>
      </w:r>
      <w:r>
        <w:rPr>
          <w:spacing w:val="11"/>
          <w:sz w:val="42"/>
        </w:rPr>
        <w:t>rules </w:t>
      </w:r>
      <w:r>
        <w:rPr>
          <w:sz w:val="42"/>
        </w:rPr>
        <w:t>on </w:t>
      </w:r>
      <w:r>
        <w:rPr>
          <w:spacing w:val="11"/>
          <w:sz w:val="42"/>
        </w:rPr>
        <w:t>market </w:t>
      </w:r>
      <w:r>
        <w:rPr>
          <w:spacing w:val="12"/>
          <w:sz w:val="42"/>
        </w:rPr>
        <w:t>conduct </w:t>
      </w:r>
      <w:r>
        <w:rPr>
          <w:sz w:val="42"/>
        </w:rPr>
        <w:t>in </w:t>
      </w:r>
      <w:r>
        <w:rPr>
          <w:spacing w:val="12"/>
          <w:sz w:val="42"/>
        </w:rPr>
        <w:t>securities trading</w:t>
      </w:r>
    </w:p>
    <w:p>
      <w:pPr>
        <w:pStyle w:val="BodyText"/>
        <w:rPr>
          <w:sz w:val="20"/>
        </w:rPr>
      </w:pPr>
    </w:p>
    <w:p>
      <w:pPr>
        <w:pStyle w:val="BodyText"/>
        <w:spacing w:before="192"/>
        <w:rPr>
          <w:sz w:val="20"/>
        </w:rPr>
      </w:pPr>
      <w:r>
        <w:rPr>
          <w:sz w:val="20"/>
        </w:rPr>
        <mc:AlternateContent>
          <mc:Choice Requires="wps">
            <w:drawing>
              <wp:anchor distT="0" distB="0" distL="0" distR="0" allowOverlap="1" layoutInCell="1" locked="0" behindDoc="1" simplePos="0" relativeHeight="487588352">
                <wp:simplePos x="0" y="0"/>
                <wp:positionH relativeFrom="page">
                  <wp:posOffset>1080770</wp:posOffset>
                </wp:positionH>
                <wp:positionV relativeFrom="paragraph">
                  <wp:posOffset>283352</wp:posOffset>
                </wp:positionV>
                <wp:extent cx="5761990" cy="13335"/>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761990" cy="13335"/>
                        </a:xfrm>
                        <a:custGeom>
                          <a:avLst/>
                          <a:gdLst/>
                          <a:ahLst/>
                          <a:cxnLst/>
                          <a:rect l="l" t="t" r="r" b="b"/>
                          <a:pathLst>
                            <a:path w="5761990" h="13335">
                              <a:moveTo>
                                <a:pt x="5761482" y="774"/>
                              </a:moveTo>
                              <a:lnTo>
                                <a:pt x="5760720" y="774"/>
                              </a:lnTo>
                              <a:lnTo>
                                <a:pt x="5760720" y="0"/>
                              </a:lnTo>
                              <a:lnTo>
                                <a:pt x="0" y="0"/>
                              </a:lnTo>
                              <a:lnTo>
                                <a:pt x="0" y="12065"/>
                              </a:lnTo>
                              <a:lnTo>
                                <a:pt x="762" y="12065"/>
                              </a:lnTo>
                              <a:lnTo>
                                <a:pt x="762" y="12827"/>
                              </a:lnTo>
                              <a:lnTo>
                                <a:pt x="5761482" y="12827"/>
                              </a:lnTo>
                              <a:lnTo>
                                <a:pt x="5761482" y="77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100006pt;margin-top:22.311207pt;width:453.7pt;height:1.05pt;mso-position-horizontal-relative:page;mso-position-vertical-relative:paragraph;z-index:-15728128;mso-wrap-distance-left:0;mso-wrap-distance-right:0" id="docshape3" coordorigin="1702,446" coordsize="9074,21" path="m10775,447l10774,447,10774,446,1702,446,1702,465,1703,465,1703,466,10775,466,10775,447xe" filled="true" fillcolor="#000000" stroked="false">
                <v:path arrowok="t"/>
                <v:fill type="solid"/>
                <w10:wrap type="topAndBottom"/>
              </v:shape>
            </w:pict>
          </mc:Fallback>
        </mc:AlternateContent>
      </w:r>
    </w:p>
    <w:p>
      <w:pPr>
        <w:pStyle w:val="BodyText"/>
        <w:spacing w:before="80"/>
      </w:pPr>
    </w:p>
    <w:p>
      <w:pPr>
        <w:pStyle w:val="BodyText"/>
        <w:tabs>
          <w:tab w:pos="2269" w:val="left" w:leader="none"/>
        </w:tabs>
        <w:spacing w:before="1"/>
        <w:ind w:left="2"/>
      </w:pPr>
      <w:r>
        <w:rPr>
          <w:spacing w:val="-2"/>
        </w:rPr>
        <w:t>Reference:</w:t>
      </w:r>
      <w:r>
        <w:rPr/>
        <w:tab/>
        <w:t>FINMA</w:t>
      </w:r>
      <w:r>
        <w:rPr>
          <w:spacing w:val="-4"/>
        </w:rPr>
        <w:t> </w:t>
      </w:r>
      <w:r>
        <w:rPr/>
        <w:t>Circ.</w:t>
      </w:r>
      <w:r>
        <w:rPr>
          <w:spacing w:val="-4"/>
        </w:rPr>
        <w:t> </w:t>
      </w:r>
      <w:r>
        <w:rPr/>
        <w:t>13/8</w:t>
      </w:r>
      <w:r>
        <w:rPr>
          <w:spacing w:val="-5"/>
        </w:rPr>
        <w:t> </w:t>
      </w:r>
      <w:r>
        <w:rPr/>
        <w:t>“Market</w:t>
      </w:r>
      <w:r>
        <w:rPr>
          <w:spacing w:val="-5"/>
        </w:rPr>
        <w:t> </w:t>
      </w:r>
      <w:r>
        <w:rPr/>
        <w:t>conduct</w:t>
      </w:r>
      <w:r>
        <w:rPr>
          <w:spacing w:val="-5"/>
        </w:rPr>
        <w:t> </w:t>
      </w:r>
      <w:r>
        <w:rPr>
          <w:spacing w:val="-2"/>
        </w:rPr>
        <w:t>rules”</w:t>
      </w:r>
    </w:p>
    <w:p>
      <w:pPr>
        <w:pStyle w:val="BodyText"/>
        <w:tabs>
          <w:tab w:pos="2269" w:val="left" w:leader="none"/>
        </w:tabs>
        <w:spacing w:before="75"/>
        <w:ind w:left="2"/>
      </w:pPr>
      <w:r>
        <w:rPr>
          <w:spacing w:val="-2"/>
        </w:rPr>
        <w:t>Date:</w:t>
      </w:r>
      <w:r>
        <w:rPr/>
        <w:tab/>
        <w:t>29</w:t>
      </w:r>
      <w:r>
        <w:rPr>
          <w:spacing w:val="-3"/>
        </w:rPr>
        <w:t> </w:t>
      </w:r>
      <w:r>
        <w:rPr/>
        <w:t>August</w:t>
      </w:r>
      <w:r>
        <w:rPr>
          <w:spacing w:val="-2"/>
        </w:rPr>
        <w:t> </w:t>
      </w:r>
      <w:r>
        <w:rPr>
          <w:spacing w:val="-4"/>
        </w:rPr>
        <w:t>2013</w:t>
      </w:r>
    </w:p>
    <w:p>
      <w:pPr>
        <w:pStyle w:val="BodyText"/>
        <w:tabs>
          <w:tab w:pos="2269" w:val="left" w:leader="none"/>
        </w:tabs>
        <w:spacing w:before="75"/>
        <w:ind w:left="2"/>
      </w:pPr>
      <w:r>
        <w:rPr/>
        <w:t>Entry</w:t>
      </w:r>
      <w:r>
        <w:rPr>
          <w:spacing w:val="-5"/>
        </w:rPr>
        <w:t> </w:t>
      </w:r>
      <w:r>
        <w:rPr/>
        <w:t>into</w:t>
      </w:r>
      <w:r>
        <w:rPr>
          <w:spacing w:val="-3"/>
        </w:rPr>
        <w:t> </w:t>
      </w:r>
      <w:r>
        <w:rPr>
          <w:spacing w:val="-2"/>
        </w:rPr>
        <w:t>force:</w:t>
      </w:r>
      <w:r>
        <w:rPr/>
        <w:tab/>
        <w:t>1</w:t>
      </w:r>
      <w:r>
        <w:rPr>
          <w:spacing w:val="-3"/>
        </w:rPr>
        <w:t> </w:t>
      </w:r>
      <w:r>
        <w:rPr/>
        <w:t>October</w:t>
      </w:r>
      <w:r>
        <w:rPr>
          <w:spacing w:val="-2"/>
        </w:rPr>
        <w:t> </w:t>
      </w:r>
      <w:r>
        <w:rPr>
          <w:spacing w:val="-4"/>
        </w:rPr>
        <w:t>2013</w:t>
      </w:r>
    </w:p>
    <w:p>
      <w:pPr>
        <w:pStyle w:val="BodyText"/>
        <w:tabs>
          <w:tab w:pos="2269" w:val="left" w:leader="none"/>
        </w:tabs>
        <w:spacing w:line="338" w:lineRule="auto" w:before="78"/>
        <w:ind w:left="2" w:right="2331"/>
        <w:jc w:val="both"/>
        <w:rPr>
          <w:i/>
        </w:rPr>
      </w:pPr>
      <w:r>
        <w:rPr/>
        <w:t>Last amendment:</w:t>
        <w:tab/>
        <w:t>4</w:t>
      </w:r>
      <w:r>
        <w:rPr>
          <w:spacing w:val="-2"/>
        </w:rPr>
        <w:t> </w:t>
      </w:r>
      <w:r>
        <w:rPr/>
        <w:t>November</w:t>
      </w:r>
      <w:r>
        <w:rPr>
          <w:spacing w:val="-2"/>
        </w:rPr>
        <w:t> </w:t>
      </w:r>
      <w:r>
        <w:rPr/>
        <w:t>2020</w:t>
      </w:r>
      <w:r>
        <w:rPr>
          <w:spacing w:val="-3"/>
        </w:rPr>
        <w:t> </w:t>
      </w:r>
      <w:r>
        <w:rPr/>
        <w:t>[Modifications are</w:t>
      </w:r>
      <w:r>
        <w:rPr>
          <w:spacing w:val="-2"/>
        </w:rPr>
        <w:t> </w:t>
      </w:r>
      <w:r>
        <w:rPr/>
        <w:t>listed</w:t>
      </w:r>
      <w:r>
        <w:rPr>
          <w:spacing w:val="-2"/>
        </w:rPr>
        <w:t> </w:t>
      </w:r>
      <w:r>
        <w:rPr/>
        <w:t>at</w:t>
      </w:r>
      <w:r>
        <w:rPr>
          <w:spacing w:val="-3"/>
        </w:rPr>
        <w:t> </w:t>
      </w:r>
      <w:r>
        <w:rPr/>
        <w:t>the</w:t>
      </w:r>
      <w:r>
        <w:rPr>
          <w:spacing w:val="-5"/>
        </w:rPr>
        <w:t> </w:t>
      </w:r>
      <w:r>
        <w:rPr/>
        <w:t>end</w:t>
      </w:r>
      <w:r>
        <w:rPr>
          <w:spacing w:val="-2"/>
        </w:rPr>
        <w:t> </w:t>
      </w:r>
      <w:r>
        <w:rPr/>
        <w:t>of</w:t>
      </w:r>
      <w:r>
        <w:rPr>
          <w:spacing w:val="-3"/>
        </w:rPr>
        <w:t> </w:t>
      </w:r>
      <w:r>
        <w:rPr/>
        <w:t>the</w:t>
      </w:r>
      <w:r>
        <w:rPr>
          <w:spacing w:val="-5"/>
        </w:rPr>
        <w:t> </w:t>
      </w:r>
      <w:r>
        <w:rPr/>
        <w:t>document.] </w:t>
      </w:r>
      <w:r>
        <w:rPr>
          <w:spacing w:val="-2"/>
        </w:rPr>
        <w:t>Concordance:</w:t>
      </w:r>
      <w:r>
        <w:rPr/>
        <w:tab/>
        <w:t>former</w:t>
      </w:r>
      <w:r>
        <w:rPr>
          <w:spacing w:val="-4"/>
        </w:rPr>
        <w:t> </w:t>
      </w:r>
      <w:r>
        <w:rPr/>
        <w:t>FINMA</w:t>
      </w:r>
      <w:r>
        <w:rPr>
          <w:spacing w:val="-4"/>
        </w:rPr>
        <w:t> </w:t>
      </w:r>
      <w:r>
        <w:rPr/>
        <w:t>Circ.</w:t>
      </w:r>
      <w:r>
        <w:rPr>
          <w:spacing w:val="-3"/>
        </w:rPr>
        <w:t> </w:t>
      </w:r>
      <w:r>
        <w:rPr/>
        <w:t>08/38</w:t>
      </w:r>
      <w:r>
        <w:rPr>
          <w:spacing w:val="-4"/>
        </w:rPr>
        <w:t> </w:t>
      </w:r>
      <w:r>
        <w:rPr/>
        <w:t>“Market</w:t>
      </w:r>
      <w:r>
        <w:rPr>
          <w:spacing w:val="-6"/>
        </w:rPr>
        <w:t> </w:t>
      </w:r>
      <w:r>
        <w:rPr/>
        <w:t>conduct</w:t>
      </w:r>
      <w:r>
        <w:rPr>
          <w:spacing w:val="-4"/>
        </w:rPr>
        <w:t> </w:t>
      </w:r>
      <w:r>
        <w:rPr/>
        <w:t>rules”</w:t>
      </w:r>
      <w:r>
        <w:rPr>
          <w:spacing w:val="-6"/>
        </w:rPr>
        <w:t> </w:t>
      </w:r>
      <w:r>
        <w:rPr/>
        <w:t>of</w:t>
      </w:r>
      <w:r>
        <w:rPr>
          <w:spacing w:val="-4"/>
        </w:rPr>
        <w:t> </w:t>
      </w:r>
      <w:r>
        <w:rPr/>
        <w:t>20</w:t>
      </w:r>
      <w:r>
        <w:rPr>
          <w:spacing w:val="-4"/>
        </w:rPr>
        <w:t> </w:t>
      </w:r>
      <w:r>
        <w:rPr/>
        <w:t>November</w:t>
      </w:r>
      <w:r>
        <w:rPr>
          <w:spacing w:val="-4"/>
        </w:rPr>
        <w:t> </w:t>
      </w:r>
      <w:r>
        <w:rPr/>
        <w:t>2008 Legal framework:</w:t>
        <w:tab/>
        <w:t>FINMASA Articles 7 para. 1 let. b, 27, 29, 33</w:t>
      </w:r>
      <w:r>
        <w:rPr>
          <w:i/>
        </w:rPr>
        <w:t>a</w:t>
      </w:r>
    </w:p>
    <w:p>
      <w:pPr>
        <w:pStyle w:val="BodyText"/>
        <w:spacing w:line="338" w:lineRule="auto" w:before="1"/>
        <w:ind w:left="2270" w:right="6057"/>
      </w:pPr>
      <w:r>
        <w:rPr/>
        <w:t>BA</w:t>
      </w:r>
      <w:r>
        <w:rPr>
          <w:spacing w:val="-12"/>
        </w:rPr>
        <w:t> </w:t>
      </w:r>
      <w:r>
        <w:rPr/>
        <w:t>Articles</w:t>
      </w:r>
      <w:r>
        <w:rPr>
          <w:spacing w:val="-10"/>
        </w:rPr>
        <w:t> </w:t>
      </w:r>
      <w:r>
        <w:rPr/>
        <w:t>3,</w:t>
      </w:r>
      <w:r>
        <w:rPr>
          <w:spacing w:val="-11"/>
        </w:rPr>
        <w:t> </w:t>
      </w:r>
      <w:r>
        <w:rPr/>
        <w:t>3</w:t>
      </w:r>
      <w:r>
        <w:rPr>
          <w:i/>
        </w:rPr>
        <w:t>f </w:t>
      </w:r>
      <w:r>
        <w:rPr/>
        <w:t>BO Article 9</w:t>
      </w:r>
    </w:p>
    <w:p>
      <w:pPr>
        <w:pStyle w:val="BodyText"/>
        <w:spacing w:line="184" w:lineRule="exact"/>
        <w:ind w:left="2270"/>
      </w:pPr>
      <w:r>
        <w:rPr/>
        <w:t>FinIA</w:t>
      </w:r>
      <w:r>
        <w:rPr>
          <w:spacing w:val="-7"/>
        </w:rPr>
        <w:t> </w:t>
      </w:r>
      <w:r>
        <w:rPr/>
        <w:t>Articles</w:t>
      </w:r>
      <w:r>
        <w:rPr>
          <w:spacing w:val="-3"/>
        </w:rPr>
        <w:t> </w:t>
      </w:r>
      <w:r>
        <w:rPr/>
        <w:t>9,</w:t>
      </w:r>
      <w:r>
        <w:rPr>
          <w:spacing w:val="-4"/>
        </w:rPr>
        <w:t> </w:t>
      </w:r>
      <w:r>
        <w:rPr/>
        <w:t>17,</w:t>
      </w:r>
      <w:r>
        <w:rPr>
          <w:spacing w:val="-2"/>
        </w:rPr>
        <w:t> </w:t>
      </w:r>
      <w:r>
        <w:rPr/>
        <w:t>24,</w:t>
      </w:r>
      <w:r>
        <w:rPr>
          <w:spacing w:val="-2"/>
        </w:rPr>
        <w:t> </w:t>
      </w:r>
      <w:r>
        <w:rPr/>
        <w:t>32,</w:t>
      </w:r>
      <w:r>
        <w:rPr>
          <w:spacing w:val="-2"/>
        </w:rPr>
        <w:t> </w:t>
      </w:r>
      <w:r>
        <w:rPr/>
        <w:t>41,</w:t>
      </w:r>
      <w:r>
        <w:rPr>
          <w:spacing w:val="-4"/>
        </w:rPr>
        <w:t> </w:t>
      </w:r>
      <w:r>
        <w:rPr>
          <w:spacing w:val="-5"/>
        </w:rPr>
        <w:t>52</w:t>
      </w:r>
    </w:p>
    <w:p>
      <w:pPr>
        <w:pStyle w:val="BodyText"/>
        <w:spacing w:before="78"/>
        <w:ind w:left="2270"/>
      </w:pPr>
      <w:r>
        <w:rPr/>
        <w:t>FinIO</w:t>
      </w:r>
      <w:r>
        <w:rPr>
          <w:spacing w:val="-6"/>
        </w:rPr>
        <w:t> </w:t>
      </w:r>
      <w:r>
        <w:rPr/>
        <w:t>Articles</w:t>
      </w:r>
      <w:r>
        <w:rPr>
          <w:spacing w:val="-1"/>
        </w:rPr>
        <w:t> </w:t>
      </w:r>
      <w:r>
        <w:rPr/>
        <w:t>9,</w:t>
      </w:r>
      <w:r>
        <w:rPr>
          <w:spacing w:val="-3"/>
        </w:rPr>
        <w:t> </w:t>
      </w:r>
      <w:r>
        <w:rPr>
          <w:spacing w:val="-5"/>
        </w:rPr>
        <w:t>12</w:t>
      </w:r>
    </w:p>
    <w:p>
      <w:pPr>
        <w:pStyle w:val="BodyText"/>
        <w:spacing w:before="76"/>
        <w:ind w:left="2270"/>
      </w:pPr>
      <w:r>
        <w:rPr/>
        <w:t>FMIA</w:t>
      </w:r>
      <w:r>
        <w:rPr>
          <w:spacing w:val="-5"/>
        </w:rPr>
        <w:t> </w:t>
      </w:r>
      <w:r>
        <w:rPr/>
        <w:t>Articles</w:t>
      </w:r>
      <w:r>
        <w:rPr>
          <w:spacing w:val="-1"/>
        </w:rPr>
        <w:t> </w:t>
      </w:r>
      <w:r>
        <w:rPr/>
        <w:t>2,</w:t>
      </w:r>
      <w:r>
        <w:rPr>
          <w:spacing w:val="-3"/>
        </w:rPr>
        <w:t> </w:t>
      </w:r>
      <w:r>
        <w:rPr/>
        <w:t>4,</w:t>
      </w:r>
      <w:r>
        <w:rPr>
          <w:spacing w:val="-5"/>
        </w:rPr>
        <w:t> </w:t>
      </w:r>
      <w:r>
        <w:rPr/>
        <w:t>26,</w:t>
      </w:r>
      <w:r>
        <w:rPr>
          <w:spacing w:val="-5"/>
        </w:rPr>
        <w:t> </w:t>
      </w:r>
      <w:r>
        <w:rPr/>
        <w:t>27,</w:t>
      </w:r>
      <w:r>
        <w:rPr>
          <w:spacing w:val="-3"/>
        </w:rPr>
        <w:t> </w:t>
      </w:r>
      <w:r>
        <w:rPr/>
        <w:t>142,</w:t>
      </w:r>
      <w:r>
        <w:rPr>
          <w:spacing w:val="-3"/>
        </w:rPr>
        <w:t> </w:t>
      </w:r>
      <w:r>
        <w:rPr/>
        <w:t>143,</w:t>
      </w:r>
      <w:r>
        <w:rPr>
          <w:spacing w:val="-2"/>
        </w:rPr>
        <w:t> </w:t>
      </w:r>
      <w:r>
        <w:rPr>
          <w:spacing w:val="-5"/>
        </w:rPr>
        <w:t>145</w:t>
      </w:r>
    </w:p>
    <w:p>
      <w:pPr>
        <w:pStyle w:val="BodyText"/>
        <w:spacing w:before="75"/>
        <w:ind w:left="2270"/>
      </w:pPr>
      <w:r>
        <w:rPr/>
        <w:t>FMIO</w:t>
      </w:r>
      <w:r>
        <w:rPr>
          <w:spacing w:val="-5"/>
        </w:rPr>
        <w:t> </w:t>
      </w:r>
      <w:r>
        <w:rPr/>
        <w:t>Articles</w:t>
      </w:r>
      <w:r>
        <w:rPr>
          <w:spacing w:val="-4"/>
        </w:rPr>
        <w:t> </w:t>
      </w:r>
      <w:r>
        <w:rPr/>
        <w:t>1,</w:t>
      </w:r>
      <w:r>
        <w:rPr>
          <w:spacing w:val="-4"/>
        </w:rPr>
        <w:t> </w:t>
      </w:r>
      <w:r>
        <w:rPr/>
        <w:t>122-</w:t>
      </w:r>
      <w:r>
        <w:rPr>
          <w:spacing w:val="-5"/>
        </w:rPr>
        <w:t>128</w:t>
      </w:r>
    </w:p>
    <w:p>
      <w:pPr>
        <w:pStyle w:val="BodyText"/>
        <w:spacing w:before="77"/>
        <w:ind w:left="2270"/>
      </w:pPr>
      <w:r>
        <w:rPr/>
        <w:t>CISA</w:t>
      </w:r>
      <w:r>
        <w:rPr>
          <w:spacing w:val="-4"/>
        </w:rPr>
        <w:t> </w:t>
      </w:r>
      <w:r>
        <w:rPr/>
        <w:t>Articles</w:t>
      </w:r>
      <w:r>
        <w:rPr>
          <w:spacing w:val="-4"/>
        </w:rPr>
        <w:t> </w:t>
      </w:r>
      <w:r>
        <w:rPr/>
        <w:t>13,</w:t>
      </w:r>
      <w:r>
        <w:rPr>
          <w:spacing w:val="-4"/>
        </w:rPr>
        <w:t> </w:t>
      </w:r>
      <w:r>
        <w:rPr/>
        <w:t>14,</w:t>
      </w:r>
      <w:r>
        <w:rPr>
          <w:spacing w:val="-3"/>
        </w:rPr>
        <w:t> </w:t>
      </w:r>
      <w:r>
        <w:rPr/>
        <w:t>20, </w:t>
      </w:r>
      <w:r>
        <w:rPr>
          <w:spacing w:val="-5"/>
        </w:rPr>
        <w:t>72</w:t>
      </w:r>
    </w:p>
    <w:p>
      <w:pPr>
        <w:pStyle w:val="BodyText"/>
        <w:spacing w:before="76"/>
        <w:ind w:left="2270"/>
      </w:pPr>
      <w:r>
        <w:rPr/>
        <w:t>CISO</w:t>
      </w:r>
      <w:r>
        <w:rPr>
          <w:spacing w:val="-6"/>
        </w:rPr>
        <w:t> </w:t>
      </w:r>
      <w:r>
        <w:rPr/>
        <w:t>Articles</w:t>
      </w:r>
      <w:r>
        <w:rPr>
          <w:spacing w:val="-2"/>
        </w:rPr>
        <w:t> </w:t>
      </w:r>
      <w:r>
        <w:rPr/>
        <w:t>10,</w:t>
      </w:r>
      <w:r>
        <w:rPr>
          <w:spacing w:val="-4"/>
        </w:rPr>
        <w:t> </w:t>
      </w:r>
      <w:r>
        <w:rPr/>
        <w:t>12,</w:t>
      </w:r>
      <w:r>
        <w:rPr>
          <w:spacing w:val="-4"/>
        </w:rPr>
        <w:t> </w:t>
      </w:r>
      <w:r>
        <w:rPr>
          <w:spacing w:val="-5"/>
        </w:rPr>
        <w:t>33</w:t>
      </w:r>
    </w:p>
    <w:p>
      <w:pPr>
        <w:pStyle w:val="BodyText"/>
        <w:spacing w:before="75"/>
        <w:ind w:left="2270"/>
      </w:pPr>
      <w:r>
        <w:rPr/>
        <w:t>ISA</w:t>
      </w:r>
      <w:r>
        <w:rPr>
          <w:spacing w:val="-4"/>
        </w:rPr>
        <w:t> </w:t>
      </w:r>
      <w:r>
        <w:rPr/>
        <w:t>Articles</w:t>
      </w:r>
      <w:r>
        <w:rPr>
          <w:spacing w:val="-4"/>
        </w:rPr>
        <w:t> </w:t>
      </w:r>
      <w:r>
        <w:rPr/>
        <w:t>14,</w:t>
      </w:r>
      <w:r>
        <w:rPr>
          <w:spacing w:val="-4"/>
        </w:rPr>
        <w:t> </w:t>
      </w:r>
      <w:r>
        <w:rPr/>
        <w:t>22,</w:t>
      </w:r>
      <w:r>
        <w:rPr>
          <w:spacing w:val="-4"/>
        </w:rPr>
        <w:t> </w:t>
      </w:r>
      <w:r>
        <w:rPr/>
        <w:t>30,</w:t>
      </w:r>
      <w:r>
        <w:rPr>
          <w:spacing w:val="-2"/>
        </w:rPr>
        <w:t> </w:t>
      </w:r>
      <w:r>
        <w:rPr/>
        <w:t>67,</w:t>
      </w:r>
      <w:r>
        <w:rPr>
          <w:spacing w:val="-1"/>
        </w:rPr>
        <w:t> </w:t>
      </w:r>
      <w:r>
        <w:rPr>
          <w:spacing w:val="-5"/>
        </w:rPr>
        <w:t>75</w:t>
      </w:r>
    </w:p>
    <w:p>
      <w:pPr>
        <w:pStyle w:val="BodyText"/>
        <w:spacing w:before="78"/>
        <w:ind w:left="2270"/>
      </w:pPr>
      <w:r>
        <w:rPr/>
        <w:t>ISO</w:t>
      </w:r>
      <w:r>
        <w:rPr>
          <w:spacing w:val="-5"/>
        </w:rPr>
        <w:t> </w:t>
      </w:r>
      <w:r>
        <w:rPr/>
        <w:t>Articles</w:t>
      </w:r>
      <w:r>
        <w:rPr>
          <w:spacing w:val="-4"/>
        </w:rPr>
        <w:t> </w:t>
      </w:r>
      <w:r>
        <w:rPr/>
        <w:t>78,</w:t>
      </w:r>
      <w:r>
        <w:rPr>
          <w:spacing w:val="-2"/>
        </w:rPr>
        <w:t> </w:t>
      </w:r>
      <w:r>
        <w:rPr/>
        <w:t>96,</w:t>
      </w:r>
      <w:r>
        <w:rPr>
          <w:spacing w:val="-3"/>
        </w:rPr>
        <w:t> </w:t>
      </w:r>
      <w:r>
        <w:rPr/>
        <w:t>97,</w:t>
      </w:r>
      <w:r>
        <w:rPr>
          <w:spacing w:val="-4"/>
        </w:rPr>
        <w:t> </w:t>
      </w:r>
      <w:r>
        <w:rPr/>
        <w:t>105,</w:t>
      </w:r>
      <w:r>
        <w:rPr>
          <w:spacing w:val="-3"/>
        </w:rPr>
        <w:t> </w:t>
      </w:r>
      <w:r>
        <w:rPr>
          <w:spacing w:val="-5"/>
        </w:rPr>
        <w:t>106</w:t>
      </w:r>
    </w:p>
    <w:p>
      <w:pPr>
        <w:pStyle w:val="BodyText"/>
        <w:spacing w:before="75"/>
        <w:ind w:left="2270"/>
      </w:pPr>
      <w:r>
        <w:rPr/>
        <w:t>AMLA</w:t>
      </w:r>
      <w:r>
        <w:rPr>
          <w:spacing w:val="-4"/>
        </w:rPr>
        <w:t> </w:t>
      </w:r>
      <w:r>
        <w:rPr/>
        <w:t>Article</w:t>
      </w:r>
      <w:r>
        <w:rPr>
          <w:spacing w:val="-1"/>
        </w:rPr>
        <w:t> </w:t>
      </w:r>
      <w:r>
        <w:rPr/>
        <w:t>14</w:t>
      </w:r>
      <w:r>
        <w:rPr>
          <w:spacing w:val="-3"/>
        </w:rPr>
        <w:t> </w:t>
      </w:r>
      <w:r>
        <w:rPr/>
        <w:t>para. 2</w:t>
      </w:r>
      <w:r>
        <w:rPr>
          <w:spacing w:val="-5"/>
        </w:rPr>
        <w:t> </w:t>
      </w:r>
      <w:r>
        <w:rPr/>
        <w:t>let.</w:t>
      </w:r>
      <w:r>
        <w:rPr>
          <w:spacing w:val="-5"/>
        </w:rPr>
        <w:t> </w:t>
      </w:r>
      <w:r>
        <w:rPr>
          <w:spacing w:val="-10"/>
        </w:rPr>
        <w:t>c</w:t>
      </w:r>
    </w:p>
    <w:p>
      <w:pPr>
        <w:pStyle w:val="BodyText"/>
        <w:spacing w:before="2"/>
        <w:rPr>
          <w:sz w:val="12"/>
        </w:rPr>
      </w:pPr>
    </w:p>
    <w:tbl>
      <w:tblPr>
        <w:tblW w:w="0" w:type="auto"/>
        <w:jc w:val="left"/>
        <w:tblInd w:w="36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02"/>
        <w:gridCol w:w="295"/>
        <w:gridCol w:w="305"/>
        <w:gridCol w:w="303"/>
        <w:gridCol w:w="301"/>
        <w:gridCol w:w="303"/>
        <w:gridCol w:w="304"/>
        <w:gridCol w:w="303"/>
        <w:gridCol w:w="303"/>
        <w:gridCol w:w="303"/>
        <w:gridCol w:w="303"/>
        <w:gridCol w:w="353"/>
        <w:gridCol w:w="300"/>
        <w:gridCol w:w="302"/>
        <w:gridCol w:w="302"/>
        <w:gridCol w:w="300"/>
        <w:gridCol w:w="302"/>
        <w:gridCol w:w="302"/>
        <w:gridCol w:w="300"/>
        <w:gridCol w:w="302"/>
        <w:gridCol w:w="302"/>
        <w:gridCol w:w="300"/>
        <w:gridCol w:w="302"/>
        <w:gridCol w:w="300"/>
        <w:gridCol w:w="237"/>
        <w:gridCol w:w="259"/>
        <w:gridCol w:w="285"/>
        <w:gridCol w:w="307"/>
      </w:tblGrid>
      <w:tr>
        <w:trPr>
          <w:trHeight w:val="247" w:hRule="atLeast"/>
        </w:trPr>
        <w:tc>
          <w:tcPr>
            <w:tcW w:w="8380" w:type="dxa"/>
            <w:gridSpan w:val="28"/>
            <w:shd w:val="clear" w:color="auto" w:fill="D5EEF9"/>
          </w:tcPr>
          <w:p>
            <w:pPr>
              <w:pStyle w:val="TableParagraph"/>
              <w:spacing w:line="227" w:lineRule="exact"/>
              <w:ind w:left="28"/>
              <w:jc w:val="center"/>
              <w:rPr>
                <w:b/>
                <w:sz w:val="20"/>
              </w:rPr>
            </w:pPr>
            <w:r>
              <w:rPr>
                <w:b/>
                <w:spacing w:val="-2"/>
                <w:sz w:val="20"/>
              </w:rPr>
              <w:t>Adressees</w:t>
            </w:r>
          </w:p>
        </w:tc>
      </w:tr>
      <w:tr>
        <w:trPr>
          <w:trHeight w:val="538" w:hRule="atLeast"/>
        </w:trPr>
        <w:tc>
          <w:tcPr>
            <w:tcW w:w="902" w:type="dxa"/>
            <w:gridSpan w:val="3"/>
            <w:textDirection w:val="btLr"/>
          </w:tcPr>
          <w:p>
            <w:pPr>
              <w:pStyle w:val="TableParagraph"/>
              <w:rPr>
                <w:sz w:val="12"/>
              </w:rPr>
            </w:pPr>
          </w:p>
          <w:p>
            <w:pPr>
              <w:pStyle w:val="TableParagraph"/>
              <w:spacing w:before="107"/>
              <w:rPr>
                <w:sz w:val="12"/>
              </w:rPr>
            </w:pPr>
          </w:p>
          <w:p>
            <w:pPr>
              <w:pStyle w:val="TableParagraph"/>
              <w:ind w:left="56"/>
              <w:rPr>
                <w:b/>
                <w:sz w:val="12"/>
              </w:rPr>
            </w:pPr>
            <w:r>
              <w:rPr>
                <w:b/>
                <w:spacing w:val="-2"/>
                <w:sz w:val="12"/>
              </w:rPr>
              <w:t>BankA</w:t>
            </w:r>
          </w:p>
        </w:tc>
        <w:tc>
          <w:tcPr>
            <w:tcW w:w="907" w:type="dxa"/>
            <w:gridSpan w:val="3"/>
            <w:textDirection w:val="btLr"/>
          </w:tcPr>
          <w:p>
            <w:pPr>
              <w:pStyle w:val="TableParagraph"/>
              <w:rPr>
                <w:sz w:val="12"/>
              </w:rPr>
            </w:pPr>
          </w:p>
          <w:p>
            <w:pPr>
              <w:pStyle w:val="TableParagraph"/>
              <w:spacing w:before="108"/>
              <w:rPr>
                <w:sz w:val="12"/>
              </w:rPr>
            </w:pPr>
          </w:p>
          <w:p>
            <w:pPr>
              <w:pStyle w:val="TableParagraph"/>
              <w:ind w:left="56"/>
              <w:rPr>
                <w:b/>
                <w:sz w:val="12"/>
              </w:rPr>
            </w:pPr>
            <w:r>
              <w:rPr>
                <w:b/>
                <w:spacing w:val="-5"/>
                <w:sz w:val="12"/>
              </w:rPr>
              <w:t>ISA</w:t>
            </w:r>
          </w:p>
        </w:tc>
        <w:tc>
          <w:tcPr>
            <w:tcW w:w="1869" w:type="dxa"/>
            <w:gridSpan w:val="6"/>
            <w:textDirection w:val="btLr"/>
          </w:tcPr>
          <w:p>
            <w:pPr>
              <w:pStyle w:val="TableParagraph"/>
              <w:rPr>
                <w:sz w:val="12"/>
              </w:rPr>
            </w:pPr>
          </w:p>
          <w:p>
            <w:pPr>
              <w:pStyle w:val="TableParagraph"/>
              <w:rPr>
                <w:sz w:val="12"/>
              </w:rPr>
            </w:pPr>
          </w:p>
          <w:p>
            <w:pPr>
              <w:pStyle w:val="TableParagraph"/>
              <w:rPr>
                <w:sz w:val="12"/>
              </w:rPr>
            </w:pPr>
          </w:p>
          <w:p>
            <w:pPr>
              <w:pStyle w:val="TableParagraph"/>
              <w:rPr>
                <w:sz w:val="12"/>
              </w:rPr>
            </w:pPr>
          </w:p>
          <w:p>
            <w:pPr>
              <w:pStyle w:val="TableParagraph"/>
              <w:rPr>
                <w:sz w:val="12"/>
              </w:rPr>
            </w:pPr>
          </w:p>
          <w:p>
            <w:pPr>
              <w:pStyle w:val="TableParagraph"/>
              <w:spacing w:before="34"/>
              <w:rPr>
                <w:sz w:val="12"/>
              </w:rPr>
            </w:pPr>
          </w:p>
          <w:p>
            <w:pPr>
              <w:pStyle w:val="TableParagraph"/>
              <w:ind w:left="56"/>
              <w:rPr>
                <w:b/>
                <w:sz w:val="12"/>
              </w:rPr>
            </w:pPr>
            <w:r>
              <w:rPr>
                <w:b/>
                <w:spacing w:val="-2"/>
                <w:sz w:val="12"/>
              </w:rPr>
              <w:t>FinIA</w:t>
            </w:r>
          </w:p>
        </w:tc>
        <w:tc>
          <w:tcPr>
            <w:tcW w:w="1808" w:type="dxa"/>
            <w:gridSpan w:val="6"/>
            <w:textDirection w:val="btLr"/>
          </w:tcPr>
          <w:p>
            <w:pPr>
              <w:pStyle w:val="TableParagraph"/>
              <w:rPr>
                <w:sz w:val="12"/>
              </w:rPr>
            </w:pPr>
          </w:p>
          <w:p>
            <w:pPr>
              <w:pStyle w:val="TableParagraph"/>
              <w:rPr>
                <w:sz w:val="12"/>
              </w:rPr>
            </w:pPr>
          </w:p>
          <w:p>
            <w:pPr>
              <w:pStyle w:val="TableParagraph"/>
              <w:rPr>
                <w:sz w:val="12"/>
              </w:rPr>
            </w:pPr>
          </w:p>
          <w:p>
            <w:pPr>
              <w:pStyle w:val="TableParagraph"/>
              <w:rPr>
                <w:sz w:val="12"/>
              </w:rPr>
            </w:pPr>
          </w:p>
          <w:p>
            <w:pPr>
              <w:pStyle w:val="TableParagraph"/>
              <w:rPr>
                <w:sz w:val="12"/>
              </w:rPr>
            </w:pPr>
          </w:p>
          <w:p>
            <w:pPr>
              <w:pStyle w:val="TableParagraph"/>
              <w:spacing w:before="1"/>
              <w:rPr>
                <w:sz w:val="12"/>
              </w:rPr>
            </w:pPr>
          </w:p>
          <w:p>
            <w:pPr>
              <w:pStyle w:val="TableParagraph"/>
              <w:spacing w:before="1"/>
              <w:ind w:left="56"/>
              <w:rPr>
                <w:b/>
                <w:sz w:val="12"/>
              </w:rPr>
            </w:pPr>
            <w:r>
              <w:rPr>
                <w:b/>
                <w:spacing w:val="-4"/>
                <w:sz w:val="12"/>
              </w:rPr>
              <w:t>FMIA</w:t>
            </w:r>
          </w:p>
        </w:tc>
        <w:tc>
          <w:tcPr>
            <w:tcW w:w="1806" w:type="dxa"/>
            <w:gridSpan w:val="6"/>
            <w:textDirection w:val="btLr"/>
          </w:tcPr>
          <w:p>
            <w:pPr>
              <w:pStyle w:val="TableParagraph"/>
              <w:rPr>
                <w:sz w:val="12"/>
              </w:rPr>
            </w:pPr>
          </w:p>
          <w:p>
            <w:pPr>
              <w:pStyle w:val="TableParagraph"/>
              <w:rPr>
                <w:sz w:val="12"/>
              </w:rPr>
            </w:pPr>
          </w:p>
          <w:p>
            <w:pPr>
              <w:pStyle w:val="TableParagraph"/>
              <w:rPr>
                <w:sz w:val="12"/>
              </w:rPr>
            </w:pPr>
          </w:p>
          <w:p>
            <w:pPr>
              <w:pStyle w:val="TableParagraph"/>
              <w:rPr>
                <w:sz w:val="12"/>
              </w:rPr>
            </w:pPr>
          </w:p>
          <w:p>
            <w:pPr>
              <w:pStyle w:val="TableParagraph"/>
              <w:spacing w:before="131"/>
              <w:rPr>
                <w:sz w:val="12"/>
              </w:rPr>
            </w:pPr>
          </w:p>
          <w:p>
            <w:pPr>
              <w:pStyle w:val="TableParagraph"/>
              <w:spacing w:before="1"/>
              <w:ind w:left="56"/>
              <w:rPr>
                <w:b/>
                <w:sz w:val="12"/>
              </w:rPr>
            </w:pPr>
            <w:r>
              <w:rPr>
                <w:b/>
                <w:spacing w:val="-4"/>
                <w:sz w:val="12"/>
              </w:rPr>
              <w:t>CISA</w:t>
            </w:r>
          </w:p>
        </w:tc>
        <w:tc>
          <w:tcPr>
            <w:tcW w:w="496" w:type="dxa"/>
            <w:gridSpan w:val="2"/>
            <w:textDirection w:val="btLr"/>
          </w:tcPr>
          <w:p>
            <w:pPr>
              <w:pStyle w:val="TableParagraph"/>
              <w:spacing w:before="40"/>
              <w:rPr>
                <w:sz w:val="12"/>
              </w:rPr>
            </w:pPr>
          </w:p>
          <w:p>
            <w:pPr>
              <w:pStyle w:val="TableParagraph"/>
              <w:ind w:left="56"/>
              <w:rPr>
                <w:b/>
                <w:sz w:val="12"/>
              </w:rPr>
            </w:pPr>
            <w:r>
              <w:rPr>
                <w:b/>
                <w:spacing w:val="-4"/>
                <w:sz w:val="12"/>
              </w:rPr>
              <w:t>AMLA</w:t>
            </w:r>
          </w:p>
        </w:tc>
        <w:tc>
          <w:tcPr>
            <w:tcW w:w="592" w:type="dxa"/>
            <w:gridSpan w:val="2"/>
            <w:textDirection w:val="btLr"/>
          </w:tcPr>
          <w:p>
            <w:pPr>
              <w:pStyle w:val="TableParagraph"/>
              <w:spacing w:before="88"/>
              <w:rPr>
                <w:sz w:val="12"/>
              </w:rPr>
            </w:pPr>
          </w:p>
          <w:p>
            <w:pPr>
              <w:pStyle w:val="TableParagraph"/>
              <w:spacing w:before="1"/>
              <w:ind w:left="56"/>
              <w:rPr>
                <w:b/>
                <w:sz w:val="12"/>
              </w:rPr>
            </w:pPr>
            <w:r>
              <w:rPr>
                <w:b/>
                <w:spacing w:val="-2"/>
                <w:sz w:val="12"/>
              </w:rPr>
              <w:t>Other</w:t>
            </w:r>
          </w:p>
        </w:tc>
      </w:tr>
      <w:tr>
        <w:trPr>
          <w:trHeight w:val="1806" w:hRule="atLeast"/>
        </w:trPr>
        <w:tc>
          <w:tcPr>
            <w:tcW w:w="302" w:type="dxa"/>
            <w:tcBorders>
              <w:bottom w:val="single" w:sz="4" w:space="0" w:color="000000"/>
              <w:right w:val="dashSmallGap" w:sz="4" w:space="0" w:color="000000"/>
            </w:tcBorders>
            <w:textDirection w:val="btLr"/>
          </w:tcPr>
          <w:p>
            <w:pPr>
              <w:pStyle w:val="TableParagraph"/>
              <w:spacing w:before="88"/>
              <w:ind w:left="57"/>
              <w:rPr>
                <w:sz w:val="12"/>
              </w:rPr>
            </w:pPr>
            <w:r>
              <w:rPr>
                <w:spacing w:val="-2"/>
                <w:sz w:val="12"/>
              </w:rPr>
              <w:t>Banks</w:t>
            </w:r>
          </w:p>
        </w:tc>
        <w:tc>
          <w:tcPr>
            <w:tcW w:w="295" w:type="dxa"/>
            <w:tcBorders>
              <w:left w:val="dashSmallGap" w:sz="4" w:space="0" w:color="000000"/>
              <w:bottom w:val="single" w:sz="4" w:space="0" w:color="000000"/>
              <w:right w:val="dashSmallGap" w:sz="4" w:space="0" w:color="000000"/>
            </w:tcBorders>
            <w:textDirection w:val="btLr"/>
          </w:tcPr>
          <w:p>
            <w:pPr>
              <w:pStyle w:val="TableParagraph"/>
              <w:spacing w:before="89"/>
              <w:ind w:left="57"/>
              <w:rPr>
                <w:sz w:val="12"/>
              </w:rPr>
            </w:pPr>
            <w:r>
              <w:rPr>
                <w:sz w:val="12"/>
              </w:rPr>
              <w:t>Financial</w:t>
            </w:r>
            <w:r>
              <w:rPr>
                <w:spacing w:val="-5"/>
                <w:sz w:val="12"/>
              </w:rPr>
              <w:t> </w:t>
            </w:r>
            <w:r>
              <w:rPr>
                <w:sz w:val="12"/>
              </w:rPr>
              <w:t>groups</w:t>
            </w:r>
            <w:r>
              <w:rPr>
                <w:spacing w:val="-3"/>
                <w:sz w:val="12"/>
              </w:rPr>
              <w:t> </w:t>
            </w:r>
            <w:r>
              <w:rPr>
                <w:sz w:val="12"/>
              </w:rPr>
              <w:t>and</w:t>
            </w:r>
            <w:r>
              <w:rPr>
                <w:spacing w:val="-3"/>
                <w:sz w:val="12"/>
              </w:rPr>
              <w:t> </w:t>
            </w:r>
            <w:r>
              <w:rPr>
                <w:spacing w:val="-2"/>
                <w:sz w:val="12"/>
              </w:rPr>
              <w:t>congl.</w:t>
            </w:r>
          </w:p>
        </w:tc>
        <w:tc>
          <w:tcPr>
            <w:tcW w:w="305" w:type="dxa"/>
            <w:tcBorders>
              <w:left w:val="dashSmallGap" w:sz="4" w:space="0" w:color="000000"/>
              <w:bottom w:val="single" w:sz="4" w:space="0" w:color="000000"/>
            </w:tcBorders>
            <w:textDirection w:val="btLr"/>
          </w:tcPr>
          <w:p>
            <w:pPr>
              <w:pStyle w:val="TableParagraph"/>
              <w:spacing w:before="89"/>
              <w:ind w:left="57"/>
              <w:rPr>
                <w:sz w:val="12"/>
              </w:rPr>
            </w:pPr>
            <w:r>
              <w:rPr>
                <w:sz w:val="12"/>
              </w:rPr>
              <w:t>Other </w:t>
            </w:r>
            <w:r>
              <w:rPr>
                <w:spacing w:val="-2"/>
                <w:sz w:val="12"/>
              </w:rPr>
              <w:t>intermediaries</w:t>
            </w:r>
          </w:p>
        </w:tc>
        <w:tc>
          <w:tcPr>
            <w:tcW w:w="303" w:type="dxa"/>
            <w:tcBorders>
              <w:bottom w:val="single" w:sz="4" w:space="0" w:color="000000"/>
              <w:right w:val="dashSmallGap" w:sz="4" w:space="0" w:color="000000"/>
            </w:tcBorders>
            <w:textDirection w:val="btLr"/>
          </w:tcPr>
          <w:p>
            <w:pPr>
              <w:pStyle w:val="TableParagraph"/>
              <w:spacing w:before="86"/>
              <w:ind w:left="57"/>
              <w:rPr>
                <w:sz w:val="12"/>
              </w:rPr>
            </w:pPr>
            <w:r>
              <w:rPr>
                <w:spacing w:val="-2"/>
                <w:sz w:val="12"/>
              </w:rPr>
              <w:t>Insurers</w:t>
            </w:r>
          </w:p>
        </w:tc>
        <w:tc>
          <w:tcPr>
            <w:tcW w:w="301" w:type="dxa"/>
            <w:tcBorders>
              <w:left w:val="dashSmallGap" w:sz="4" w:space="0" w:color="000000"/>
              <w:bottom w:val="single" w:sz="4" w:space="0" w:color="000000"/>
              <w:right w:val="dashSmallGap" w:sz="4" w:space="0" w:color="000000"/>
            </w:tcBorders>
            <w:textDirection w:val="btLr"/>
          </w:tcPr>
          <w:p>
            <w:pPr>
              <w:pStyle w:val="TableParagraph"/>
              <w:spacing w:before="91"/>
              <w:ind w:left="57"/>
              <w:rPr>
                <w:sz w:val="12"/>
              </w:rPr>
            </w:pPr>
            <w:r>
              <w:rPr>
                <w:sz w:val="12"/>
              </w:rPr>
              <w:t>Insurance</w:t>
            </w:r>
            <w:r>
              <w:rPr>
                <w:spacing w:val="-6"/>
                <w:sz w:val="12"/>
              </w:rPr>
              <w:t> </w:t>
            </w:r>
            <w:r>
              <w:rPr>
                <w:sz w:val="12"/>
              </w:rPr>
              <w:t>groups</w:t>
            </w:r>
            <w:r>
              <w:rPr>
                <w:spacing w:val="-2"/>
                <w:sz w:val="12"/>
              </w:rPr>
              <w:t> </w:t>
            </w:r>
            <w:r>
              <w:rPr>
                <w:sz w:val="12"/>
              </w:rPr>
              <w:t>and</w:t>
            </w:r>
            <w:r>
              <w:rPr>
                <w:spacing w:val="-1"/>
                <w:sz w:val="12"/>
              </w:rPr>
              <w:t> </w:t>
            </w:r>
            <w:r>
              <w:rPr>
                <w:spacing w:val="-2"/>
                <w:sz w:val="12"/>
              </w:rPr>
              <w:t>congl.</w:t>
            </w:r>
          </w:p>
        </w:tc>
        <w:tc>
          <w:tcPr>
            <w:tcW w:w="303" w:type="dxa"/>
            <w:tcBorders>
              <w:left w:val="dashSmallGap" w:sz="4" w:space="0" w:color="000000"/>
              <w:bottom w:val="single" w:sz="4" w:space="0" w:color="000000"/>
            </w:tcBorders>
            <w:textDirection w:val="btLr"/>
          </w:tcPr>
          <w:p>
            <w:pPr>
              <w:pStyle w:val="TableParagraph"/>
              <w:spacing w:before="87"/>
              <w:ind w:left="57"/>
              <w:rPr>
                <w:sz w:val="12"/>
              </w:rPr>
            </w:pPr>
            <w:r>
              <w:rPr>
                <w:spacing w:val="-2"/>
                <w:sz w:val="12"/>
              </w:rPr>
              <w:t>Intermediaries</w:t>
            </w:r>
          </w:p>
        </w:tc>
        <w:tc>
          <w:tcPr>
            <w:tcW w:w="304" w:type="dxa"/>
            <w:tcBorders>
              <w:bottom w:val="single" w:sz="4" w:space="0" w:color="000000"/>
              <w:right w:val="dashSmallGap" w:sz="4" w:space="0" w:color="000000"/>
            </w:tcBorders>
            <w:textDirection w:val="btLr"/>
          </w:tcPr>
          <w:p>
            <w:pPr>
              <w:pStyle w:val="TableParagraph"/>
              <w:spacing w:before="77"/>
              <w:ind w:left="57"/>
              <w:rPr>
                <w:sz w:val="12"/>
              </w:rPr>
            </w:pPr>
            <w:r>
              <w:rPr>
                <w:sz w:val="12"/>
              </w:rPr>
              <w:t>Portfolio</w:t>
            </w:r>
            <w:r>
              <w:rPr>
                <w:spacing w:val="-5"/>
                <w:sz w:val="12"/>
              </w:rPr>
              <w:t> </w:t>
            </w:r>
            <w:r>
              <w:rPr>
                <w:spacing w:val="-2"/>
                <w:sz w:val="12"/>
              </w:rPr>
              <w:t>managers</w:t>
            </w:r>
          </w:p>
        </w:tc>
        <w:tc>
          <w:tcPr>
            <w:tcW w:w="303" w:type="dxa"/>
            <w:tcBorders>
              <w:left w:val="dashSmallGap" w:sz="4" w:space="0" w:color="000000"/>
              <w:bottom w:val="single" w:sz="4" w:space="0" w:color="000000"/>
              <w:right w:val="dashSmallGap" w:sz="4" w:space="0" w:color="000000"/>
            </w:tcBorders>
            <w:textDirection w:val="btLr"/>
          </w:tcPr>
          <w:p>
            <w:pPr>
              <w:pStyle w:val="TableParagraph"/>
              <w:spacing w:before="91"/>
              <w:ind w:left="57"/>
              <w:rPr>
                <w:sz w:val="12"/>
              </w:rPr>
            </w:pPr>
            <w:r>
              <w:rPr>
                <w:spacing w:val="-2"/>
                <w:sz w:val="12"/>
              </w:rPr>
              <w:t>Trustees</w:t>
            </w:r>
          </w:p>
        </w:tc>
        <w:tc>
          <w:tcPr>
            <w:tcW w:w="303" w:type="dxa"/>
            <w:tcBorders>
              <w:left w:val="dashSmallGap" w:sz="4" w:space="0" w:color="000000"/>
              <w:bottom w:val="single" w:sz="4" w:space="0" w:color="000000"/>
              <w:right w:val="dashSmallGap" w:sz="4" w:space="0" w:color="000000"/>
            </w:tcBorders>
            <w:textDirection w:val="btLr"/>
          </w:tcPr>
          <w:p>
            <w:pPr>
              <w:pStyle w:val="TableParagraph"/>
              <w:spacing w:before="90"/>
              <w:ind w:left="57"/>
              <w:rPr>
                <w:sz w:val="12"/>
              </w:rPr>
            </w:pPr>
            <w:r>
              <w:rPr>
                <w:sz w:val="12"/>
              </w:rPr>
              <w:t>Managers</w:t>
            </w:r>
            <w:r>
              <w:rPr>
                <w:spacing w:val="-7"/>
                <w:sz w:val="12"/>
              </w:rPr>
              <w:t> </w:t>
            </w:r>
            <w:r>
              <w:rPr>
                <w:sz w:val="12"/>
              </w:rPr>
              <w:t>of</w:t>
            </w:r>
            <w:r>
              <w:rPr>
                <w:spacing w:val="-7"/>
                <w:sz w:val="12"/>
              </w:rPr>
              <w:t> </w:t>
            </w:r>
            <w:r>
              <w:rPr>
                <w:sz w:val="12"/>
              </w:rPr>
              <w:t>collective</w:t>
            </w:r>
            <w:r>
              <w:rPr>
                <w:spacing w:val="-7"/>
                <w:sz w:val="12"/>
              </w:rPr>
              <w:t> </w:t>
            </w:r>
            <w:r>
              <w:rPr>
                <w:spacing w:val="-2"/>
                <w:sz w:val="12"/>
              </w:rPr>
              <w:t>assets</w:t>
            </w:r>
          </w:p>
        </w:tc>
        <w:tc>
          <w:tcPr>
            <w:tcW w:w="303" w:type="dxa"/>
            <w:tcBorders>
              <w:left w:val="dashSmallGap" w:sz="4" w:space="0" w:color="000000"/>
              <w:bottom w:val="single" w:sz="4" w:space="0" w:color="000000"/>
              <w:right w:val="dashSmallGap" w:sz="4" w:space="0" w:color="000000"/>
            </w:tcBorders>
            <w:textDirection w:val="btLr"/>
          </w:tcPr>
          <w:p>
            <w:pPr>
              <w:pStyle w:val="TableParagraph"/>
              <w:spacing w:before="89"/>
              <w:ind w:left="57"/>
              <w:rPr>
                <w:sz w:val="12"/>
              </w:rPr>
            </w:pPr>
            <w:r>
              <w:rPr>
                <w:sz w:val="12"/>
              </w:rPr>
              <w:t>Fund</w:t>
            </w:r>
            <w:r>
              <w:rPr>
                <w:spacing w:val="-2"/>
                <w:sz w:val="12"/>
              </w:rPr>
              <w:t> </w:t>
            </w:r>
            <w:r>
              <w:rPr>
                <w:sz w:val="12"/>
              </w:rPr>
              <w:t>management</w:t>
            </w:r>
            <w:r>
              <w:rPr>
                <w:spacing w:val="-2"/>
                <w:sz w:val="12"/>
              </w:rPr>
              <w:t> companies</w:t>
            </w:r>
          </w:p>
        </w:tc>
        <w:tc>
          <w:tcPr>
            <w:tcW w:w="303" w:type="dxa"/>
            <w:tcBorders>
              <w:left w:val="dashSmallGap" w:sz="4" w:space="0" w:color="000000"/>
              <w:bottom w:val="single" w:sz="4" w:space="0" w:color="000000"/>
              <w:right w:val="dashSmallGap" w:sz="4" w:space="0" w:color="000000"/>
            </w:tcBorders>
            <w:textDirection w:val="btLr"/>
          </w:tcPr>
          <w:p>
            <w:pPr>
              <w:pStyle w:val="TableParagraph"/>
              <w:spacing w:line="140" w:lineRule="atLeast"/>
              <w:ind w:left="57" w:right="118"/>
              <w:rPr>
                <w:sz w:val="12"/>
              </w:rPr>
            </w:pPr>
            <w:r>
              <w:rPr>
                <w:sz w:val="12"/>
              </w:rPr>
              <w:t>Investment</w:t>
            </w:r>
            <w:r>
              <w:rPr>
                <w:spacing w:val="-9"/>
                <w:sz w:val="12"/>
              </w:rPr>
              <w:t> </w:t>
            </w:r>
            <w:r>
              <w:rPr>
                <w:sz w:val="12"/>
              </w:rPr>
              <w:t>firms</w:t>
            </w:r>
            <w:r>
              <w:rPr>
                <w:spacing w:val="-8"/>
                <w:sz w:val="12"/>
              </w:rPr>
              <w:t> </w:t>
            </w:r>
            <w:r>
              <w:rPr>
                <w:sz w:val="12"/>
              </w:rPr>
              <w:t>(proprietarian</w:t>
            </w:r>
            <w:r>
              <w:rPr>
                <w:spacing w:val="40"/>
                <w:sz w:val="12"/>
              </w:rPr>
              <w:t> </w:t>
            </w:r>
            <w:r>
              <w:rPr>
                <w:spacing w:val="-2"/>
                <w:sz w:val="12"/>
              </w:rPr>
              <w:t>trading)</w:t>
            </w:r>
          </w:p>
        </w:tc>
        <w:tc>
          <w:tcPr>
            <w:tcW w:w="353" w:type="dxa"/>
            <w:tcBorders>
              <w:left w:val="dashSmallGap" w:sz="4" w:space="0" w:color="000000"/>
              <w:bottom w:val="single" w:sz="4" w:space="0" w:color="000000"/>
            </w:tcBorders>
            <w:textDirection w:val="btLr"/>
          </w:tcPr>
          <w:p>
            <w:pPr>
              <w:pStyle w:val="TableParagraph"/>
              <w:spacing w:line="140" w:lineRule="atLeast" w:before="33"/>
              <w:ind w:left="57"/>
              <w:rPr>
                <w:sz w:val="12"/>
              </w:rPr>
            </w:pPr>
            <w:r>
              <w:rPr>
                <w:sz w:val="12"/>
              </w:rPr>
              <w:t>Investment</w:t>
            </w:r>
            <w:r>
              <w:rPr>
                <w:spacing w:val="-11"/>
                <w:sz w:val="12"/>
              </w:rPr>
              <w:t> </w:t>
            </w:r>
            <w:r>
              <w:rPr>
                <w:sz w:val="12"/>
              </w:rPr>
              <w:t>firms</w:t>
            </w:r>
            <w:r>
              <w:rPr>
                <w:spacing w:val="-8"/>
                <w:sz w:val="12"/>
              </w:rPr>
              <w:t> </w:t>
            </w:r>
            <w:r>
              <w:rPr>
                <w:sz w:val="12"/>
              </w:rPr>
              <w:t>(non</w:t>
            </w:r>
            <w:r>
              <w:rPr>
                <w:spacing w:val="-8"/>
                <w:sz w:val="12"/>
              </w:rPr>
              <w:t> </w:t>
            </w:r>
            <w:r>
              <w:rPr>
                <w:sz w:val="12"/>
              </w:rPr>
              <w:t>propriet.</w:t>
            </w:r>
            <w:r>
              <w:rPr>
                <w:spacing w:val="40"/>
                <w:sz w:val="12"/>
              </w:rPr>
              <w:t> </w:t>
            </w:r>
            <w:r>
              <w:rPr>
                <w:spacing w:val="-2"/>
                <w:sz w:val="12"/>
              </w:rPr>
              <w:t>trading)</w:t>
            </w:r>
          </w:p>
        </w:tc>
        <w:tc>
          <w:tcPr>
            <w:tcW w:w="300" w:type="dxa"/>
            <w:tcBorders>
              <w:bottom w:val="single" w:sz="4" w:space="0" w:color="000000"/>
              <w:right w:val="dashSmallGap" w:sz="4" w:space="0" w:color="000000"/>
            </w:tcBorders>
            <w:textDirection w:val="btLr"/>
          </w:tcPr>
          <w:p>
            <w:pPr>
              <w:pStyle w:val="TableParagraph"/>
              <w:spacing w:before="80"/>
              <w:ind w:left="57"/>
              <w:rPr>
                <w:sz w:val="12"/>
              </w:rPr>
            </w:pPr>
            <w:r>
              <w:rPr>
                <w:sz w:val="12"/>
              </w:rPr>
              <w:t>Trading</w:t>
            </w:r>
            <w:r>
              <w:rPr>
                <w:spacing w:val="-3"/>
                <w:sz w:val="12"/>
              </w:rPr>
              <w:t> </w:t>
            </w:r>
            <w:r>
              <w:rPr>
                <w:spacing w:val="-2"/>
                <w:sz w:val="12"/>
              </w:rPr>
              <w:t>venues</w:t>
            </w:r>
          </w:p>
        </w:tc>
        <w:tc>
          <w:tcPr>
            <w:tcW w:w="302" w:type="dxa"/>
            <w:tcBorders>
              <w:left w:val="dashSmallGap" w:sz="4" w:space="0" w:color="000000"/>
              <w:bottom w:val="single" w:sz="4" w:space="0" w:color="000000"/>
              <w:right w:val="dashSmallGap" w:sz="4" w:space="0" w:color="000000"/>
            </w:tcBorders>
            <w:textDirection w:val="btLr"/>
          </w:tcPr>
          <w:p>
            <w:pPr>
              <w:pStyle w:val="TableParagraph"/>
              <w:spacing w:before="88"/>
              <w:ind w:left="57"/>
              <w:rPr>
                <w:sz w:val="12"/>
              </w:rPr>
            </w:pPr>
            <w:r>
              <w:rPr>
                <w:sz w:val="12"/>
              </w:rPr>
              <w:t>Central</w:t>
            </w:r>
            <w:r>
              <w:rPr>
                <w:spacing w:val="-7"/>
                <w:sz w:val="12"/>
              </w:rPr>
              <w:t> </w:t>
            </w:r>
            <w:r>
              <w:rPr>
                <w:spacing w:val="-2"/>
                <w:sz w:val="12"/>
              </w:rPr>
              <w:t>counterparties</w:t>
            </w:r>
          </w:p>
        </w:tc>
        <w:tc>
          <w:tcPr>
            <w:tcW w:w="302" w:type="dxa"/>
            <w:tcBorders>
              <w:left w:val="dashSmallGap" w:sz="4" w:space="0" w:color="000000"/>
              <w:bottom w:val="single" w:sz="4" w:space="0" w:color="000000"/>
              <w:right w:val="dashSmallGap" w:sz="4" w:space="0" w:color="000000"/>
            </w:tcBorders>
            <w:textDirection w:val="btLr"/>
          </w:tcPr>
          <w:p>
            <w:pPr>
              <w:pStyle w:val="TableParagraph"/>
              <w:spacing w:before="86"/>
              <w:ind w:left="57"/>
              <w:rPr>
                <w:sz w:val="12"/>
              </w:rPr>
            </w:pPr>
            <w:r>
              <w:rPr>
                <w:sz w:val="12"/>
              </w:rPr>
              <w:t>Central</w:t>
            </w:r>
            <w:r>
              <w:rPr>
                <w:spacing w:val="-8"/>
                <w:sz w:val="12"/>
              </w:rPr>
              <w:t> </w:t>
            </w:r>
            <w:r>
              <w:rPr>
                <w:sz w:val="12"/>
              </w:rPr>
              <w:t>securities</w:t>
            </w:r>
            <w:r>
              <w:rPr>
                <w:spacing w:val="-8"/>
                <w:sz w:val="12"/>
              </w:rPr>
              <w:t> </w:t>
            </w:r>
            <w:r>
              <w:rPr>
                <w:spacing w:val="-2"/>
                <w:sz w:val="12"/>
              </w:rPr>
              <w:t>depositories</w:t>
            </w:r>
          </w:p>
        </w:tc>
        <w:tc>
          <w:tcPr>
            <w:tcW w:w="300" w:type="dxa"/>
            <w:tcBorders>
              <w:left w:val="dashSmallGap" w:sz="4" w:space="0" w:color="000000"/>
              <w:bottom w:val="single" w:sz="4" w:space="0" w:color="000000"/>
              <w:right w:val="dashSmallGap" w:sz="4" w:space="0" w:color="000000"/>
            </w:tcBorders>
            <w:textDirection w:val="btLr"/>
          </w:tcPr>
          <w:p>
            <w:pPr>
              <w:pStyle w:val="TableParagraph"/>
              <w:spacing w:before="87"/>
              <w:ind w:left="57"/>
              <w:rPr>
                <w:sz w:val="12"/>
              </w:rPr>
            </w:pPr>
            <w:r>
              <w:rPr>
                <w:sz w:val="12"/>
              </w:rPr>
              <w:t>Trade</w:t>
            </w:r>
            <w:r>
              <w:rPr>
                <w:spacing w:val="-4"/>
                <w:sz w:val="12"/>
              </w:rPr>
              <w:t> </w:t>
            </w:r>
            <w:r>
              <w:rPr>
                <w:spacing w:val="-2"/>
                <w:sz w:val="12"/>
              </w:rPr>
              <w:t>repositories</w:t>
            </w:r>
          </w:p>
        </w:tc>
        <w:tc>
          <w:tcPr>
            <w:tcW w:w="302" w:type="dxa"/>
            <w:tcBorders>
              <w:left w:val="dashSmallGap" w:sz="4" w:space="0" w:color="000000"/>
              <w:bottom w:val="single" w:sz="4" w:space="0" w:color="000000"/>
              <w:right w:val="dashSmallGap" w:sz="4" w:space="0" w:color="000000"/>
            </w:tcBorders>
            <w:textDirection w:val="btLr"/>
          </w:tcPr>
          <w:p>
            <w:pPr>
              <w:pStyle w:val="TableParagraph"/>
              <w:spacing w:before="89"/>
              <w:ind w:left="57"/>
              <w:rPr>
                <w:sz w:val="12"/>
              </w:rPr>
            </w:pPr>
            <w:r>
              <w:rPr>
                <w:sz w:val="12"/>
              </w:rPr>
              <w:t>Payment</w:t>
            </w:r>
            <w:r>
              <w:rPr>
                <w:spacing w:val="-1"/>
                <w:sz w:val="12"/>
              </w:rPr>
              <w:t> </w:t>
            </w:r>
            <w:r>
              <w:rPr>
                <w:spacing w:val="-2"/>
                <w:sz w:val="12"/>
              </w:rPr>
              <w:t>systems</w:t>
            </w:r>
          </w:p>
        </w:tc>
        <w:tc>
          <w:tcPr>
            <w:tcW w:w="302" w:type="dxa"/>
            <w:tcBorders>
              <w:left w:val="dashSmallGap" w:sz="4" w:space="0" w:color="000000"/>
              <w:bottom w:val="single" w:sz="4" w:space="0" w:color="000000"/>
            </w:tcBorders>
            <w:textDirection w:val="btLr"/>
          </w:tcPr>
          <w:p>
            <w:pPr>
              <w:pStyle w:val="TableParagraph"/>
              <w:spacing w:before="82"/>
              <w:ind w:left="57"/>
              <w:rPr>
                <w:sz w:val="12"/>
              </w:rPr>
            </w:pPr>
            <w:r>
              <w:rPr>
                <w:spacing w:val="-2"/>
                <w:sz w:val="12"/>
              </w:rPr>
              <w:t>Participants</w:t>
            </w:r>
          </w:p>
        </w:tc>
        <w:tc>
          <w:tcPr>
            <w:tcW w:w="300" w:type="dxa"/>
            <w:tcBorders>
              <w:bottom w:val="single" w:sz="4" w:space="0" w:color="000000"/>
              <w:right w:val="dashSmallGap" w:sz="4" w:space="0" w:color="000000"/>
            </w:tcBorders>
            <w:textDirection w:val="btLr"/>
          </w:tcPr>
          <w:p>
            <w:pPr>
              <w:pStyle w:val="TableParagraph"/>
              <w:spacing w:before="73"/>
              <w:ind w:left="57"/>
              <w:rPr>
                <w:sz w:val="12"/>
              </w:rPr>
            </w:pPr>
            <w:r>
              <w:rPr>
                <w:spacing w:val="-2"/>
                <w:sz w:val="12"/>
              </w:rPr>
              <w:t>SICAVs</w:t>
            </w:r>
          </w:p>
        </w:tc>
        <w:tc>
          <w:tcPr>
            <w:tcW w:w="302" w:type="dxa"/>
            <w:tcBorders>
              <w:left w:val="dashSmallGap" w:sz="4" w:space="0" w:color="000000"/>
              <w:bottom w:val="single" w:sz="4" w:space="0" w:color="000000"/>
              <w:right w:val="dashSmallGap" w:sz="4" w:space="0" w:color="000000"/>
            </w:tcBorders>
            <w:textDirection w:val="btLr"/>
          </w:tcPr>
          <w:p>
            <w:pPr>
              <w:pStyle w:val="TableParagraph"/>
              <w:spacing w:before="90"/>
              <w:ind w:left="57"/>
              <w:rPr>
                <w:sz w:val="12"/>
              </w:rPr>
            </w:pPr>
            <w:r>
              <w:rPr>
                <w:sz w:val="12"/>
              </w:rPr>
              <w:t>Limited</w:t>
            </w:r>
            <w:r>
              <w:rPr>
                <w:spacing w:val="-4"/>
                <w:sz w:val="12"/>
              </w:rPr>
              <w:t> </w:t>
            </w:r>
            <w:r>
              <w:rPr>
                <w:sz w:val="12"/>
              </w:rPr>
              <w:t>partnerships</w:t>
            </w:r>
            <w:r>
              <w:rPr>
                <w:spacing w:val="-3"/>
                <w:sz w:val="12"/>
              </w:rPr>
              <w:t> </w:t>
            </w:r>
            <w:r>
              <w:rPr>
                <w:sz w:val="12"/>
              </w:rPr>
              <w:t>for</w:t>
            </w:r>
            <w:r>
              <w:rPr>
                <w:spacing w:val="-5"/>
                <w:sz w:val="12"/>
              </w:rPr>
              <w:t> </w:t>
            </w:r>
            <w:r>
              <w:rPr>
                <w:spacing w:val="-4"/>
                <w:sz w:val="12"/>
              </w:rPr>
              <w:t>CISs</w:t>
            </w:r>
          </w:p>
        </w:tc>
        <w:tc>
          <w:tcPr>
            <w:tcW w:w="302" w:type="dxa"/>
            <w:tcBorders>
              <w:left w:val="dashSmallGap" w:sz="4" w:space="0" w:color="000000"/>
              <w:bottom w:val="single" w:sz="4" w:space="0" w:color="000000"/>
              <w:right w:val="dashSmallGap" w:sz="4" w:space="0" w:color="000000"/>
            </w:tcBorders>
            <w:textDirection w:val="btLr"/>
          </w:tcPr>
          <w:p>
            <w:pPr>
              <w:pStyle w:val="TableParagraph"/>
              <w:spacing w:before="88"/>
              <w:ind w:left="57"/>
              <w:rPr>
                <w:sz w:val="12"/>
              </w:rPr>
            </w:pPr>
            <w:r>
              <w:rPr>
                <w:spacing w:val="-2"/>
                <w:sz w:val="12"/>
              </w:rPr>
              <w:t>SICAFs</w:t>
            </w:r>
          </w:p>
        </w:tc>
        <w:tc>
          <w:tcPr>
            <w:tcW w:w="300" w:type="dxa"/>
            <w:tcBorders>
              <w:left w:val="dashSmallGap" w:sz="4" w:space="0" w:color="000000"/>
              <w:bottom w:val="single" w:sz="4" w:space="0" w:color="000000"/>
              <w:right w:val="dashSmallGap" w:sz="4" w:space="0" w:color="000000"/>
            </w:tcBorders>
            <w:textDirection w:val="btLr"/>
          </w:tcPr>
          <w:p>
            <w:pPr>
              <w:pStyle w:val="TableParagraph"/>
              <w:spacing w:before="88"/>
              <w:ind w:left="57"/>
              <w:rPr>
                <w:sz w:val="12"/>
              </w:rPr>
            </w:pPr>
            <w:r>
              <w:rPr>
                <w:sz w:val="12"/>
              </w:rPr>
              <w:t>Custodian</w:t>
            </w:r>
            <w:r>
              <w:rPr>
                <w:spacing w:val="-8"/>
                <w:sz w:val="12"/>
              </w:rPr>
              <w:t> </w:t>
            </w:r>
            <w:r>
              <w:rPr>
                <w:spacing w:val="-2"/>
                <w:sz w:val="12"/>
              </w:rPr>
              <w:t>banks</w:t>
            </w:r>
          </w:p>
        </w:tc>
        <w:tc>
          <w:tcPr>
            <w:tcW w:w="302" w:type="dxa"/>
            <w:tcBorders>
              <w:left w:val="dashSmallGap" w:sz="4" w:space="0" w:color="000000"/>
              <w:bottom w:val="single" w:sz="4" w:space="0" w:color="000000"/>
              <w:right w:val="dashSmallGap" w:sz="4" w:space="0" w:color="000000"/>
            </w:tcBorders>
            <w:textDirection w:val="btLr"/>
          </w:tcPr>
          <w:p>
            <w:pPr>
              <w:pStyle w:val="TableParagraph"/>
              <w:spacing w:line="140" w:lineRule="atLeast"/>
              <w:ind w:left="57" w:right="141"/>
              <w:rPr>
                <w:sz w:val="12"/>
              </w:rPr>
            </w:pPr>
            <w:r>
              <w:rPr>
                <w:sz w:val="12"/>
              </w:rPr>
              <w:t>Representatives</w:t>
            </w:r>
            <w:r>
              <w:rPr>
                <w:spacing w:val="-9"/>
                <w:sz w:val="12"/>
              </w:rPr>
              <w:t> </w:t>
            </w:r>
            <w:r>
              <w:rPr>
                <w:sz w:val="12"/>
              </w:rPr>
              <w:t>of</w:t>
            </w:r>
            <w:r>
              <w:rPr>
                <w:spacing w:val="-8"/>
                <w:sz w:val="12"/>
              </w:rPr>
              <w:t> </w:t>
            </w:r>
            <w:r>
              <w:rPr>
                <w:sz w:val="12"/>
              </w:rPr>
              <w:t>foreign</w:t>
            </w:r>
            <w:r>
              <w:rPr>
                <w:spacing w:val="40"/>
                <w:sz w:val="12"/>
              </w:rPr>
              <w:t> </w:t>
            </w:r>
            <w:r>
              <w:rPr>
                <w:spacing w:val="-4"/>
                <w:sz w:val="12"/>
              </w:rPr>
              <w:t>CISs</w:t>
            </w:r>
          </w:p>
        </w:tc>
        <w:tc>
          <w:tcPr>
            <w:tcW w:w="300" w:type="dxa"/>
            <w:tcBorders>
              <w:left w:val="dashSmallGap" w:sz="4" w:space="0" w:color="000000"/>
              <w:bottom w:val="single" w:sz="4" w:space="0" w:color="000000"/>
            </w:tcBorders>
            <w:textDirection w:val="btLr"/>
          </w:tcPr>
          <w:p>
            <w:pPr>
              <w:pStyle w:val="TableParagraph"/>
              <w:spacing w:before="84"/>
              <w:ind w:left="57"/>
              <w:rPr>
                <w:sz w:val="12"/>
              </w:rPr>
            </w:pPr>
            <w:r>
              <w:rPr>
                <w:sz w:val="12"/>
              </w:rPr>
              <w:t>Other </w:t>
            </w:r>
            <w:r>
              <w:rPr>
                <w:spacing w:val="-2"/>
                <w:sz w:val="12"/>
              </w:rPr>
              <w:t>intermediaries</w:t>
            </w:r>
          </w:p>
        </w:tc>
        <w:tc>
          <w:tcPr>
            <w:tcW w:w="237" w:type="dxa"/>
            <w:tcBorders>
              <w:bottom w:val="single" w:sz="4" w:space="0" w:color="000000"/>
              <w:right w:val="dashSmallGap" w:sz="4" w:space="0" w:color="000000"/>
            </w:tcBorders>
            <w:textDirection w:val="btLr"/>
          </w:tcPr>
          <w:p>
            <w:pPr>
              <w:pStyle w:val="TableParagraph"/>
              <w:spacing w:before="53"/>
              <w:ind w:left="57"/>
              <w:rPr>
                <w:sz w:val="12"/>
              </w:rPr>
            </w:pPr>
            <w:r>
              <w:rPr>
                <w:spacing w:val="-5"/>
                <w:sz w:val="12"/>
              </w:rPr>
              <w:t>SRO</w:t>
            </w:r>
          </w:p>
        </w:tc>
        <w:tc>
          <w:tcPr>
            <w:tcW w:w="259" w:type="dxa"/>
            <w:tcBorders>
              <w:left w:val="dashSmallGap" w:sz="4" w:space="0" w:color="000000"/>
              <w:bottom w:val="single" w:sz="4" w:space="0" w:color="000000"/>
            </w:tcBorders>
            <w:textDirection w:val="btLr"/>
          </w:tcPr>
          <w:p>
            <w:pPr>
              <w:pStyle w:val="TableParagraph"/>
              <w:spacing w:before="66"/>
              <w:ind w:left="57"/>
              <w:rPr>
                <w:sz w:val="12"/>
              </w:rPr>
            </w:pPr>
            <w:r>
              <w:rPr>
                <w:sz w:val="12"/>
              </w:rPr>
              <w:t>SRO-supervised</w:t>
            </w:r>
            <w:r>
              <w:rPr>
                <w:spacing w:val="-6"/>
                <w:sz w:val="12"/>
              </w:rPr>
              <w:t> </w:t>
            </w:r>
            <w:r>
              <w:rPr>
                <w:spacing w:val="-2"/>
                <w:sz w:val="12"/>
              </w:rPr>
              <w:t>institutions</w:t>
            </w:r>
          </w:p>
        </w:tc>
        <w:tc>
          <w:tcPr>
            <w:tcW w:w="285" w:type="dxa"/>
            <w:tcBorders>
              <w:bottom w:val="single" w:sz="4" w:space="0" w:color="000000"/>
              <w:right w:val="dashSmallGap" w:sz="4" w:space="0" w:color="000000"/>
            </w:tcBorders>
            <w:textDirection w:val="btLr"/>
          </w:tcPr>
          <w:p>
            <w:pPr>
              <w:pStyle w:val="TableParagraph"/>
              <w:spacing w:before="78"/>
              <w:ind w:left="57"/>
              <w:rPr>
                <w:sz w:val="12"/>
              </w:rPr>
            </w:pPr>
            <w:r>
              <w:rPr>
                <w:sz w:val="12"/>
              </w:rPr>
              <w:t>Audit</w:t>
            </w:r>
            <w:r>
              <w:rPr>
                <w:spacing w:val="-1"/>
                <w:sz w:val="12"/>
              </w:rPr>
              <w:t> </w:t>
            </w:r>
            <w:r>
              <w:rPr>
                <w:spacing w:val="-2"/>
                <w:sz w:val="12"/>
              </w:rPr>
              <w:t>firms</w:t>
            </w:r>
          </w:p>
        </w:tc>
        <w:tc>
          <w:tcPr>
            <w:tcW w:w="307" w:type="dxa"/>
            <w:tcBorders>
              <w:left w:val="dashSmallGap" w:sz="4" w:space="0" w:color="000000"/>
              <w:bottom w:val="single" w:sz="4" w:space="0" w:color="000000"/>
            </w:tcBorders>
            <w:textDirection w:val="btLr"/>
          </w:tcPr>
          <w:p>
            <w:pPr>
              <w:pStyle w:val="TableParagraph"/>
              <w:spacing w:before="88"/>
              <w:ind w:left="57"/>
              <w:rPr>
                <w:sz w:val="12"/>
              </w:rPr>
            </w:pPr>
            <w:r>
              <w:rPr>
                <w:sz w:val="12"/>
              </w:rPr>
              <w:t>Rating</w:t>
            </w:r>
            <w:r>
              <w:rPr>
                <w:spacing w:val="-4"/>
                <w:sz w:val="12"/>
              </w:rPr>
              <w:t> </w:t>
            </w:r>
            <w:r>
              <w:rPr>
                <w:spacing w:val="-2"/>
                <w:sz w:val="12"/>
              </w:rPr>
              <w:t>agencies</w:t>
            </w:r>
          </w:p>
        </w:tc>
      </w:tr>
      <w:tr>
        <w:trPr>
          <w:trHeight w:val="304" w:hRule="atLeast"/>
        </w:trPr>
        <w:tc>
          <w:tcPr>
            <w:tcW w:w="302" w:type="dxa"/>
            <w:tcBorders>
              <w:top w:val="single" w:sz="4" w:space="0" w:color="000000"/>
              <w:right w:val="dashSmallGap" w:sz="4" w:space="0" w:color="000000"/>
            </w:tcBorders>
          </w:tcPr>
          <w:p>
            <w:pPr>
              <w:pStyle w:val="TableParagraph"/>
              <w:spacing w:line="163" w:lineRule="exact" w:before="121"/>
              <w:ind w:left="157"/>
              <w:rPr>
                <w:b/>
                <w:sz w:val="16"/>
              </w:rPr>
            </w:pPr>
            <w:r>
              <w:rPr>
                <w:b/>
                <w:spacing w:val="-10"/>
                <w:sz w:val="16"/>
              </w:rPr>
              <w:t>X</w:t>
            </w:r>
          </w:p>
        </w:tc>
        <w:tc>
          <w:tcPr>
            <w:tcW w:w="295" w:type="dxa"/>
            <w:tcBorders>
              <w:top w:val="single" w:sz="4" w:space="0" w:color="000000"/>
              <w:left w:val="dashSmallGap" w:sz="4" w:space="0" w:color="000000"/>
              <w:right w:val="dashSmallGap" w:sz="4" w:space="0" w:color="000000"/>
            </w:tcBorders>
          </w:tcPr>
          <w:p>
            <w:pPr>
              <w:pStyle w:val="TableParagraph"/>
              <w:spacing w:line="163" w:lineRule="exact" w:before="121"/>
              <w:ind w:left="158"/>
              <w:rPr>
                <w:b/>
                <w:sz w:val="16"/>
              </w:rPr>
            </w:pPr>
            <w:r>
              <w:rPr>
                <w:b/>
                <w:spacing w:val="-10"/>
                <w:sz w:val="16"/>
              </w:rPr>
              <w:t>X</w:t>
            </w:r>
          </w:p>
        </w:tc>
        <w:tc>
          <w:tcPr>
            <w:tcW w:w="305" w:type="dxa"/>
            <w:tcBorders>
              <w:top w:val="single" w:sz="4" w:space="0" w:color="000000"/>
              <w:left w:val="dashSmallGap" w:sz="4" w:space="0" w:color="000000"/>
            </w:tcBorders>
          </w:tcPr>
          <w:p>
            <w:pPr>
              <w:pStyle w:val="TableParagraph"/>
              <w:rPr>
                <w:rFonts w:ascii="Times New Roman"/>
                <w:sz w:val="16"/>
              </w:rPr>
            </w:pPr>
          </w:p>
        </w:tc>
        <w:tc>
          <w:tcPr>
            <w:tcW w:w="303" w:type="dxa"/>
            <w:tcBorders>
              <w:top w:val="single" w:sz="4" w:space="0" w:color="000000"/>
              <w:right w:val="dashSmallGap" w:sz="4" w:space="0" w:color="000000"/>
            </w:tcBorders>
          </w:tcPr>
          <w:p>
            <w:pPr>
              <w:pStyle w:val="TableParagraph"/>
              <w:spacing w:line="163" w:lineRule="exact" w:before="121"/>
              <w:ind w:left="155"/>
              <w:rPr>
                <w:b/>
                <w:sz w:val="16"/>
              </w:rPr>
            </w:pPr>
            <w:r>
              <w:rPr>
                <w:b/>
                <w:spacing w:val="-10"/>
                <w:sz w:val="16"/>
              </w:rPr>
              <w:t>X</w:t>
            </w:r>
          </w:p>
        </w:tc>
        <w:tc>
          <w:tcPr>
            <w:tcW w:w="301" w:type="dxa"/>
            <w:tcBorders>
              <w:top w:val="single" w:sz="4" w:space="0" w:color="000000"/>
              <w:left w:val="dashSmallGap" w:sz="4" w:space="0" w:color="000000"/>
              <w:right w:val="dashSmallGap" w:sz="4" w:space="0" w:color="000000"/>
            </w:tcBorders>
          </w:tcPr>
          <w:p>
            <w:pPr>
              <w:pStyle w:val="TableParagraph"/>
              <w:spacing w:line="163" w:lineRule="exact" w:before="121"/>
              <w:ind w:left="160"/>
              <w:rPr>
                <w:b/>
                <w:sz w:val="16"/>
              </w:rPr>
            </w:pPr>
            <w:r>
              <w:rPr>
                <w:b/>
                <w:spacing w:val="-10"/>
                <w:sz w:val="16"/>
              </w:rPr>
              <w:t>X</w:t>
            </w:r>
          </w:p>
        </w:tc>
        <w:tc>
          <w:tcPr>
            <w:tcW w:w="303" w:type="dxa"/>
            <w:tcBorders>
              <w:top w:val="single" w:sz="4" w:space="0" w:color="000000"/>
              <w:left w:val="dashSmallGap" w:sz="4" w:space="0" w:color="000000"/>
            </w:tcBorders>
          </w:tcPr>
          <w:p>
            <w:pPr>
              <w:pStyle w:val="TableParagraph"/>
              <w:rPr>
                <w:rFonts w:ascii="Times New Roman"/>
                <w:sz w:val="16"/>
              </w:rPr>
            </w:pPr>
          </w:p>
        </w:tc>
        <w:tc>
          <w:tcPr>
            <w:tcW w:w="304" w:type="dxa"/>
            <w:tcBorders>
              <w:top w:val="single" w:sz="4" w:space="0" w:color="000000"/>
              <w:right w:val="dashSmallGap" w:sz="4" w:space="0" w:color="000000"/>
            </w:tcBorders>
          </w:tcPr>
          <w:p>
            <w:pPr>
              <w:pStyle w:val="TableParagraph"/>
              <w:spacing w:line="163" w:lineRule="exact" w:before="121"/>
              <w:ind w:left="144"/>
              <w:rPr>
                <w:b/>
                <w:sz w:val="16"/>
              </w:rPr>
            </w:pPr>
            <w:r>
              <w:rPr>
                <w:b/>
                <w:spacing w:val="-10"/>
                <w:sz w:val="16"/>
              </w:rPr>
              <w:t>X</w:t>
            </w:r>
          </w:p>
        </w:tc>
        <w:tc>
          <w:tcPr>
            <w:tcW w:w="303" w:type="dxa"/>
            <w:tcBorders>
              <w:top w:val="single" w:sz="4" w:space="0" w:color="000000"/>
              <w:left w:val="dashSmallGap" w:sz="4" w:space="0" w:color="000000"/>
              <w:right w:val="dashSmallGap" w:sz="4" w:space="0" w:color="000000"/>
            </w:tcBorders>
          </w:tcPr>
          <w:p>
            <w:pPr>
              <w:pStyle w:val="TableParagraph"/>
              <w:spacing w:line="163" w:lineRule="exact" w:before="121"/>
              <w:ind w:left="160"/>
              <w:rPr>
                <w:b/>
                <w:sz w:val="16"/>
              </w:rPr>
            </w:pPr>
            <w:r>
              <w:rPr>
                <w:b/>
                <w:spacing w:val="-10"/>
                <w:sz w:val="16"/>
              </w:rPr>
              <w:t>X</w:t>
            </w:r>
          </w:p>
        </w:tc>
        <w:tc>
          <w:tcPr>
            <w:tcW w:w="303" w:type="dxa"/>
            <w:tcBorders>
              <w:top w:val="single" w:sz="4" w:space="0" w:color="000000"/>
              <w:left w:val="dashSmallGap" w:sz="4" w:space="0" w:color="000000"/>
              <w:right w:val="dashSmallGap" w:sz="4" w:space="0" w:color="000000"/>
            </w:tcBorders>
          </w:tcPr>
          <w:p>
            <w:pPr>
              <w:pStyle w:val="TableParagraph"/>
              <w:spacing w:line="163" w:lineRule="exact" w:before="121"/>
              <w:ind w:left="157"/>
              <w:rPr>
                <w:b/>
                <w:sz w:val="16"/>
              </w:rPr>
            </w:pPr>
            <w:r>
              <w:rPr>
                <w:b/>
                <w:spacing w:val="-10"/>
                <w:sz w:val="16"/>
              </w:rPr>
              <w:t>X</w:t>
            </w:r>
          </w:p>
        </w:tc>
        <w:tc>
          <w:tcPr>
            <w:tcW w:w="303" w:type="dxa"/>
            <w:tcBorders>
              <w:top w:val="single" w:sz="4" w:space="0" w:color="000000"/>
              <w:left w:val="dashSmallGap" w:sz="4" w:space="0" w:color="000000"/>
              <w:right w:val="dashSmallGap" w:sz="4" w:space="0" w:color="000000"/>
            </w:tcBorders>
          </w:tcPr>
          <w:p>
            <w:pPr>
              <w:pStyle w:val="TableParagraph"/>
              <w:spacing w:line="163" w:lineRule="exact" w:before="121"/>
              <w:ind w:left="156"/>
              <w:rPr>
                <w:b/>
                <w:sz w:val="16"/>
              </w:rPr>
            </w:pPr>
            <w:r>
              <w:rPr>
                <w:b/>
                <w:spacing w:val="-10"/>
                <w:sz w:val="16"/>
              </w:rPr>
              <w:t>X</w:t>
            </w:r>
          </w:p>
        </w:tc>
        <w:tc>
          <w:tcPr>
            <w:tcW w:w="303" w:type="dxa"/>
            <w:tcBorders>
              <w:top w:val="single" w:sz="4" w:space="0" w:color="000000"/>
              <w:left w:val="dashSmallGap" w:sz="4" w:space="0" w:color="000000"/>
              <w:right w:val="dashSmallGap" w:sz="4" w:space="0" w:color="000000"/>
            </w:tcBorders>
          </w:tcPr>
          <w:p>
            <w:pPr>
              <w:pStyle w:val="TableParagraph"/>
              <w:spacing w:line="163" w:lineRule="exact" w:before="121"/>
              <w:ind w:left="184"/>
              <w:rPr>
                <w:b/>
                <w:sz w:val="16"/>
              </w:rPr>
            </w:pPr>
            <w:r>
              <w:rPr>
                <w:b/>
                <w:spacing w:val="-10"/>
                <w:sz w:val="16"/>
              </w:rPr>
              <w:t>X</w:t>
            </w:r>
          </w:p>
        </w:tc>
        <w:tc>
          <w:tcPr>
            <w:tcW w:w="353" w:type="dxa"/>
            <w:tcBorders>
              <w:top w:val="single" w:sz="4" w:space="0" w:color="000000"/>
              <w:left w:val="dashSmallGap" w:sz="4" w:space="0" w:color="000000"/>
            </w:tcBorders>
          </w:tcPr>
          <w:p>
            <w:pPr>
              <w:pStyle w:val="TableParagraph"/>
              <w:spacing w:line="163" w:lineRule="exact" w:before="121"/>
              <w:ind w:left="205"/>
              <w:rPr>
                <w:b/>
                <w:sz w:val="16"/>
              </w:rPr>
            </w:pPr>
            <w:r>
              <w:rPr>
                <w:b/>
                <w:spacing w:val="-10"/>
                <w:sz w:val="16"/>
              </w:rPr>
              <w:t>X</w:t>
            </w:r>
          </w:p>
        </w:tc>
        <w:tc>
          <w:tcPr>
            <w:tcW w:w="300" w:type="dxa"/>
            <w:tcBorders>
              <w:top w:val="single" w:sz="4" w:space="0" w:color="000000"/>
              <w:right w:val="dashSmallGap" w:sz="4" w:space="0" w:color="000000"/>
            </w:tcBorders>
          </w:tcPr>
          <w:p>
            <w:pPr>
              <w:pStyle w:val="TableParagraph"/>
              <w:spacing w:line="163" w:lineRule="exact" w:before="121"/>
              <w:ind w:left="150"/>
              <w:rPr>
                <w:b/>
                <w:sz w:val="16"/>
              </w:rPr>
            </w:pPr>
            <w:r>
              <w:rPr>
                <w:b/>
                <w:spacing w:val="-10"/>
                <w:sz w:val="16"/>
              </w:rPr>
              <w:t>X</w:t>
            </w:r>
          </w:p>
        </w:tc>
        <w:tc>
          <w:tcPr>
            <w:tcW w:w="302" w:type="dxa"/>
            <w:tcBorders>
              <w:top w:val="single" w:sz="4" w:space="0" w:color="000000"/>
              <w:left w:val="dashSmallGap" w:sz="4" w:space="0" w:color="000000"/>
              <w:right w:val="dashSmallGap" w:sz="4" w:space="0" w:color="000000"/>
            </w:tcBorders>
          </w:tcPr>
          <w:p>
            <w:pPr>
              <w:pStyle w:val="TableParagraph"/>
              <w:spacing w:line="163" w:lineRule="exact" w:before="121"/>
              <w:ind w:left="155"/>
              <w:rPr>
                <w:b/>
                <w:sz w:val="16"/>
              </w:rPr>
            </w:pPr>
            <w:r>
              <w:rPr>
                <w:b/>
                <w:spacing w:val="-10"/>
                <w:sz w:val="16"/>
              </w:rPr>
              <w:t>X</w:t>
            </w:r>
          </w:p>
        </w:tc>
        <w:tc>
          <w:tcPr>
            <w:tcW w:w="302" w:type="dxa"/>
            <w:tcBorders>
              <w:top w:val="single" w:sz="4" w:space="0" w:color="000000"/>
              <w:left w:val="dashSmallGap" w:sz="4" w:space="0" w:color="000000"/>
              <w:right w:val="dashSmallGap" w:sz="4" w:space="0" w:color="000000"/>
            </w:tcBorders>
          </w:tcPr>
          <w:p>
            <w:pPr>
              <w:pStyle w:val="TableParagraph"/>
              <w:spacing w:line="163" w:lineRule="exact" w:before="121"/>
              <w:ind w:left="155"/>
              <w:rPr>
                <w:b/>
                <w:sz w:val="16"/>
              </w:rPr>
            </w:pPr>
            <w:r>
              <w:rPr>
                <w:b/>
                <w:spacing w:val="-10"/>
                <w:sz w:val="16"/>
              </w:rPr>
              <w:t>X</w:t>
            </w:r>
          </w:p>
        </w:tc>
        <w:tc>
          <w:tcPr>
            <w:tcW w:w="300" w:type="dxa"/>
            <w:tcBorders>
              <w:top w:val="single" w:sz="4" w:space="0" w:color="000000"/>
              <w:left w:val="dashSmallGap" w:sz="4" w:space="0" w:color="000000"/>
              <w:right w:val="dashSmallGap" w:sz="4" w:space="0" w:color="000000"/>
            </w:tcBorders>
          </w:tcPr>
          <w:p>
            <w:pPr>
              <w:pStyle w:val="TableParagraph"/>
              <w:spacing w:line="163" w:lineRule="exact" w:before="121"/>
              <w:ind w:left="156"/>
              <w:rPr>
                <w:b/>
                <w:sz w:val="16"/>
              </w:rPr>
            </w:pPr>
            <w:r>
              <w:rPr>
                <w:b/>
                <w:spacing w:val="-10"/>
                <w:sz w:val="16"/>
              </w:rPr>
              <w:t>X</w:t>
            </w:r>
          </w:p>
        </w:tc>
        <w:tc>
          <w:tcPr>
            <w:tcW w:w="302" w:type="dxa"/>
            <w:tcBorders>
              <w:top w:val="single" w:sz="4" w:space="0" w:color="000000"/>
              <w:left w:val="dashSmallGap" w:sz="4" w:space="0" w:color="000000"/>
              <w:right w:val="dashSmallGap" w:sz="4" w:space="0" w:color="000000"/>
            </w:tcBorders>
          </w:tcPr>
          <w:p>
            <w:pPr>
              <w:pStyle w:val="TableParagraph"/>
              <w:spacing w:line="163" w:lineRule="exact" w:before="121"/>
              <w:ind w:left="158"/>
              <w:rPr>
                <w:b/>
                <w:sz w:val="16"/>
              </w:rPr>
            </w:pPr>
            <w:r>
              <w:rPr>
                <w:b/>
                <w:spacing w:val="-10"/>
                <w:sz w:val="16"/>
              </w:rPr>
              <w:t>X</w:t>
            </w:r>
          </w:p>
        </w:tc>
        <w:tc>
          <w:tcPr>
            <w:tcW w:w="302" w:type="dxa"/>
            <w:tcBorders>
              <w:top w:val="single" w:sz="4" w:space="0" w:color="000000"/>
              <w:left w:val="dashSmallGap" w:sz="4" w:space="0" w:color="000000"/>
            </w:tcBorders>
          </w:tcPr>
          <w:p>
            <w:pPr>
              <w:pStyle w:val="TableParagraph"/>
              <w:spacing w:line="163" w:lineRule="exact" w:before="121"/>
              <w:ind w:left="151"/>
              <w:rPr>
                <w:b/>
                <w:sz w:val="16"/>
              </w:rPr>
            </w:pPr>
            <w:r>
              <w:rPr>
                <w:b/>
                <w:spacing w:val="-10"/>
                <w:sz w:val="16"/>
              </w:rPr>
              <w:t>X</w:t>
            </w:r>
          </w:p>
        </w:tc>
        <w:tc>
          <w:tcPr>
            <w:tcW w:w="300" w:type="dxa"/>
            <w:tcBorders>
              <w:top w:val="single" w:sz="4" w:space="0" w:color="000000"/>
              <w:right w:val="dashSmallGap" w:sz="4" w:space="0" w:color="000000"/>
            </w:tcBorders>
          </w:tcPr>
          <w:p>
            <w:pPr>
              <w:pStyle w:val="TableParagraph"/>
              <w:spacing w:line="163" w:lineRule="exact" w:before="121"/>
              <w:ind w:left="142"/>
              <w:rPr>
                <w:b/>
                <w:sz w:val="16"/>
              </w:rPr>
            </w:pPr>
            <w:r>
              <w:rPr>
                <w:b/>
                <w:spacing w:val="-10"/>
                <w:sz w:val="16"/>
              </w:rPr>
              <w:t>X</w:t>
            </w:r>
          </w:p>
        </w:tc>
        <w:tc>
          <w:tcPr>
            <w:tcW w:w="302" w:type="dxa"/>
            <w:tcBorders>
              <w:top w:val="single" w:sz="4" w:space="0" w:color="000000"/>
              <w:left w:val="dashSmallGap" w:sz="4" w:space="0" w:color="000000"/>
              <w:right w:val="dashSmallGap" w:sz="4" w:space="0" w:color="000000"/>
            </w:tcBorders>
          </w:tcPr>
          <w:p>
            <w:pPr>
              <w:pStyle w:val="TableParagraph"/>
              <w:spacing w:line="163" w:lineRule="exact" w:before="121"/>
              <w:ind w:left="159"/>
              <w:rPr>
                <w:b/>
                <w:sz w:val="16"/>
              </w:rPr>
            </w:pPr>
            <w:r>
              <w:rPr>
                <w:b/>
                <w:spacing w:val="-10"/>
                <w:sz w:val="16"/>
              </w:rPr>
              <w:t>X</w:t>
            </w:r>
          </w:p>
        </w:tc>
        <w:tc>
          <w:tcPr>
            <w:tcW w:w="302" w:type="dxa"/>
            <w:tcBorders>
              <w:top w:val="single" w:sz="4" w:space="0" w:color="000000"/>
              <w:left w:val="dashSmallGap" w:sz="4" w:space="0" w:color="000000"/>
              <w:right w:val="dashSmallGap" w:sz="4" w:space="0" w:color="000000"/>
            </w:tcBorders>
          </w:tcPr>
          <w:p>
            <w:pPr>
              <w:pStyle w:val="TableParagraph"/>
              <w:spacing w:line="163" w:lineRule="exact" w:before="121"/>
              <w:ind w:left="157"/>
              <w:rPr>
                <w:b/>
                <w:sz w:val="16"/>
              </w:rPr>
            </w:pPr>
            <w:r>
              <w:rPr>
                <w:b/>
                <w:spacing w:val="-10"/>
                <w:sz w:val="16"/>
              </w:rPr>
              <w:t>X</w:t>
            </w:r>
          </w:p>
        </w:tc>
        <w:tc>
          <w:tcPr>
            <w:tcW w:w="300" w:type="dxa"/>
            <w:tcBorders>
              <w:top w:val="single" w:sz="4" w:space="0" w:color="000000"/>
              <w:left w:val="dashSmallGap" w:sz="4" w:space="0" w:color="000000"/>
              <w:right w:val="dashSmallGap" w:sz="4" w:space="0" w:color="000000"/>
            </w:tcBorders>
          </w:tcPr>
          <w:p>
            <w:pPr>
              <w:pStyle w:val="TableParagraph"/>
              <w:spacing w:line="163" w:lineRule="exact" w:before="121"/>
              <w:ind w:left="157"/>
              <w:rPr>
                <w:b/>
                <w:sz w:val="16"/>
              </w:rPr>
            </w:pPr>
            <w:r>
              <w:rPr>
                <w:b/>
                <w:spacing w:val="-10"/>
                <w:sz w:val="16"/>
              </w:rPr>
              <w:t>X</w:t>
            </w:r>
          </w:p>
        </w:tc>
        <w:tc>
          <w:tcPr>
            <w:tcW w:w="302" w:type="dxa"/>
            <w:tcBorders>
              <w:top w:val="single" w:sz="4" w:space="0" w:color="000000"/>
              <w:left w:val="dashSmallGap" w:sz="4" w:space="0" w:color="000000"/>
              <w:right w:val="dashSmallGap" w:sz="4" w:space="0" w:color="000000"/>
            </w:tcBorders>
          </w:tcPr>
          <w:p>
            <w:pPr>
              <w:pStyle w:val="TableParagraph"/>
              <w:rPr>
                <w:rFonts w:ascii="Times New Roman"/>
                <w:sz w:val="16"/>
              </w:rPr>
            </w:pPr>
          </w:p>
        </w:tc>
        <w:tc>
          <w:tcPr>
            <w:tcW w:w="300" w:type="dxa"/>
            <w:tcBorders>
              <w:top w:val="single" w:sz="4" w:space="0" w:color="000000"/>
              <w:left w:val="dashSmallGap" w:sz="4" w:space="0" w:color="000000"/>
            </w:tcBorders>
          </w:tcPr>
          <w:p>
            <w:pPr>
              <w:pStyle w:val="TableParagraph"/>
              <w:rPr>
                <w:rFonts w:ascii="Times New Roman"/>
                <w:sz w:val="16"/>
              </w:rPr>
            </w:pPr>
          </w:p>
        </w:tc>
        <w:tc>
          <w:tcPr>
            <w:tcW w:w="237" w:type="dxa"/>
            <w:tcBorders>
              <w:top w:val="single" w:sz="4" w:space="0" w:color="000000"/>
              <w:right w:val="dashSmallGap" w:sz="4" w:space="0" w:color="000000"/>
            </w:tcBorders>
          </w:tcPr>
          <w:p>
            <w:pPr>
              <w:pStyle w:val="TableParagraph"/>
              <w:rPr>
                <w:rFonts w:ascii="Times New Roman"/>
                <w:sz w:val="16"/>
              </w:rPr>
            </w:pPr>
          </w:p>
        </w:tc>
        <w:tc>
          <w:tcPr>
            <w:tcW w:w="259" w:type="dxa"/>
            <w:tcBorders>
              <w:top w:val="single" w:sz="4" w:space="0" w:color="000000"/>
              <w:left w:val="dashSmallGap" w:sz="4" w:space="0" w:color="000000"/>
            </w:tcBorders>
          </w:tcPr>
          <w:p>
            <w:pPr>
              <w:pStyle w:val="TableParagraph"/>
              <w:rPr>
                <w:rFonts w:ascii="Times New Roman"/>
                <w:sz w:val="16"/>
              </w:rPr>
            </w:pPr>
          </w:p>
        </w:tc>
        <w:tc>
          <w:tcPr>
            <w:tcW w:w="285" w:type="dxa"/>
            <w:tcBorders>
              <w:top w:val="single" w:sz="4" w:space="0" w:color="000000"/>
              <w:right w:val="dashSmallGap" w:sz="4" w:space="0" w:color="000000"/>
            </w:tcBorders>
          </w:tcPr>
          <w:p>
            <w:pPr>
              <w:pStyle w:val="TableParagraph"/>
              <w:rPr>
                <w:rFonts w:ascii="Times New Roman"/>
                <w:sz w:val="16"/>
              </w:rPr>
            </w:pPr>
          </w:p>
        </w:tc>
        <w:tc>
          <w:tcPr>
            <w:tcW w:w="307" w:type="dxa"/>
            <w:tcBorders>
              <w:top w:val="single" w:sz="4" w:space="0" w:color="000000"/>
              <w:left w:val="dashSmallGap" w:sz="4" w:space="0" w:color="000000"/>
            </w:tcBorders>
          </w:tcPr>
          <w:p>
            <w:pPr>
              <w:pStyle w:val="TableParagraph"/>
              <w:rPr>
                <w:rFonts w:ascii="Times New Roman"/>
                <w:sz w:val="16"/>
              </w:rPr>
            </w:pP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
      </w:pPr>
    </w:p>
    <w:p>
      <w:pPr>
        <w:pStyle w:val="BodyText"/>
        <w:spacing w:before="1"/>
        <w:ind w:left="2"/>
      </w:pPr>
      <w:r>
        <w:rPr/>
        <w:t>Laupenstrasse</w:t>
      </w:r>
      <w:r>
        <w:rPr>
          <w:spacing w:val="-6"/>
        </w:rPr>
        <w:t> </w:t>
      </w:r>
      <w:r>
        <w:rPr/>
        <w:t>27,</w:t>
      </w:r>
      <w:r>
        <w:rPr>
          <w:spacing w:val="-6"/>
        </w:rPr>
        <w:t> </w:t>
      </w:r>
      <w:r>
        <w:rPr/>
        <w:t>3003</w:t>
      </w:r>
      <w:r>
        <w:rPr>
          <w:spacing w:val="-6"/>
        </w:rPr>
        <w:t> </w:t>
      </w:r>
      <w:r>
        <w:rPr>
          <w:spacing w:val="-4"/>
        </w:rPr>
        <w:t>Bern</w:t>
      </w:r>
    </w:p>
    <w:p>
      <w:pPr>
        <w:pStyle w:val="BodyText"/>
        <w:ind w:left="2"/>
      </w:pPr>
      <w:r>
        <w:rPr/>
        <w:t>Phone</w:t>
      </w:r>
      <w:r>
        <w:rPr>
          <w:spacing w:val="-4"/>
        </w:rPr>
        <w:t> </w:t>
      </w:r>
      <w:r>
        <w:rPr/>
        <w:t>+41</w:t>
      </w:r>
      <w:r>
        <w:rPr>
          <w:spacing w:val="-3"/>
        </w:rPr>
        <w:t> </w:t>
      </w:r>
      <w:r>
        <w:rPr/>
        <w:t>(0)31</w:t>
      </w:r>
      <w:r>
        <w:rPr>
          <w:spacing w:val="-3"/>
        </w:rPr>
        <w:t> </w:t>
      </w:r>
      <w:r>
        <w:rPr/>
        <w:t>327</w:t>
      </w:r>
      <w:r>
        <w:rPr>
          <w:spacing w:val="-3"/>
        </w:rPr>
        <w:t> </w:t>
      </w:r>
      <w:r>
        <w:rPr/>
        <w:t>9100,</w:t>
      </w:r>
      <w:r>
        <w:rPr>
          <w:spacing w:val="-4"/>
        </w:rPr>
        <w:t> </w:t>
      </w:r>
      <w:r>
        <w:rPr/>
        <w:t>Fax</w:t>
      </w:r>
      <w:r>
        <w:rPr>
          <w:spacing w:val="-1"/>
        </w:rPr>
        <w:t> </w:t>
      </w:r>
      <w:r>
        <w:rPr/>
        <w:t>+41</w:t>
      </w:r>
      <w:r>
        <w:rPr>
          <w:spacing w:val="-3"/>
        </w:rPr>
        <w:t> </w:t>
      </w:r>
      <w:r>
        <w:rPr/>
        <w:t>(0)31</w:t>
      </w:r>
      <w:r>
        <w:rPr>
          <w:spacing w:val="-3"/>
        </w:rPr>
        <w:t> </w:t>
      </w:r>
      <w:r>
        <w:rPr/>
        <w:t>327</w:t>
      </w:r>
      <w:r>
        <w:rPr>
          <w:spacing w:val="-3"/>
        </w:rPr>
        <w:t> </w:t>
      </w:r>
      <w:r>
        <w:rPr>
          <w:spacing w:val="-4"/>
        </w:rPr>
        <w:t>9101</w:t>
      </w:r>
    </w:p>
    <w:p>
      <w:pPr>
        <w:pStyle w:val="BodyText"/>
        <w:spacing w:before="1"/>
        <w:ind w:left="2"/>
      </w:pPr>
      <w:hyperlink r:id="rId6">
        <w:r>
          <w:rPr>
            <w:spacing w:val="-2"/>
          </w:rPr>
          <w:t>www.finma.ch</w:t>
        </w:r>
      </w:hyperlink>
    </w:p>
    <w:p>
      <w:pPr>
        <w:pStyle w:val="BodyText"/>
        <w:spacing w:after="0"/>
        <w:sectPr>
          <w:type w:val="continuous"/>
          <w:pgSz w:w="11910" w:h="16840"/>
          <w:pgMar w:top="780" w:bottom="0" w:left="1700" w:right="566"/>
        </w:sectPr>
      </w:pPr>
    </w:p>
    <w:p>
      <w:pPr>
        <w:pStyle w:val="Heading1"/>
      </w:pPr>
      <w:r>
        <w:rPr/>
        <w:drawing>
          <wp:anchor distT="0" distB="0" distL="0" distR="0" allowOverlap="1" layoutInCell="1" locked="0" behindDoc="0" simplePos="0" relativeHeight="15730176">
            <wp:simplePos x="0" y="0"/>
            <wp:positionH relativeFrom="page">
              <wp:posOffset>5220334</wp:posOffset>
            </wp:positionH>
            <wp:positionV relativeFrom="paragraph">
              <wp:posOffset>3301</wp:posOffset>
            </wp:positionV>
            <wp:extent cx="1610101" cy="363696"/>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1610101" cy="363696"/>
                    </a:xfrm>
                    <a:prstGeom prst="rect">
                      <a:avLst/>
                    </a:prstGeom>
                  </pic:spPr>
                </pic:pic>
              </a:graphicData>
            </a:graphic>
          </wp:anchor>
        </w:drawing>
      </w:r>
      <w:r>
        <w:rPr>
          <w:spacing w:val="-2"/>
        </w:rPr>
        <w:t>Index</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22"/>
        <w:rPr>
          <w:b/>
          <w:sz w:val="20"/>
        </w:r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644"/>
        <w:gridCol w:w="1649"/>
        <w:gridCol w:w="818"/>
      </w:tblGrid>
      <w:tr>
        <w:trPr>
          <w:trHeight w:val="393" w:hRule="atLeast"/>
        </w:trPr>
        <w:tc>
          <w:tcPr>
            <w:tcW w:w="6644" w:type="dxa"/>
          </w:tcPr>
          <w:p>
            <w:pPr>
              <w:pStyle w:val="TableParagraph"/>
              <w:tabs>
                <w:tab w:pos="616" w:val="left" w:leader="none"/>
              </w:tabs>
              <w:spacing w:line="272" w:lineRule="exact"/>
              <w:ind w:left="50"/>
              <w:rPr>
                <w:b/>
                <w:sz w:val="24"/>
              </w:rPr>
            </w:pPr>
            <w:r>
              <w:rPr>
                <w:b/>
                <w:spacing w:val="-5"/>
                <w:sz w:val="24"/>
              </w:rPr>
              <w:t>I.</w:t>
            </w:r>
            <w:r>
              <w:rPr>
                <w:b/>
                <w:sz w:val="24"/>
              </w:rPr>
              <w:tab/>
            </w:r>
            <w:r>
              <w:rPr>
                <w:b/>
                <w:spacing w:val="-2"/>
                <w:sz w:val="24"/>
              </w:rPr>
              <w:t>Purpose</w:t>
            </w:r>
          </w:p>
        </w:tc>
        <w:tc>
          <w:tcPr>
            <w:tcW w:w="1649" w:type="dxa"/>
          </w:tcPr>
          <w:p>
            <w:pPr>
              <w:pStyle w:val="TableParagraph"/>
              <w:spacing w:line="223" w:lineRule="exact"/>
              <w:ind w:right="209"/>
              <w:jc w:val="right"/>
              <w:rPr>
                <w:sz w:val="20"/>
              </w:rPr>
            </w:pPr>
            <w:r>
              <w:rPr>
                <w:sz w:val="20"/>
              </w:rPr>
              <w:t>Margin</w:t>
            </w:r>
            <w:r>
              <w:rPr>
                <w:spacing w:val="-11"/>
                <w:sz w:val="20"/>
              </w:rPr>
              <w:t> </w:t>
            </w:r>
            <w:r>
              <w:rPr>
                <w:spacing w:val="-5"/>
                <w:sz w:val="20"/>
              </w:rPr>
              <w:t>no.</w:t>
            </w:r>
          </w:p>
        </w:tc>
        <w:tc>
          <w:tcPr>
            <w:tcW w:w="818" w:type="dxa"/>
          </w:tcPr>
          <w:p>
            <w:pPr>
              <w:pStyle w:val="TableParagraph"/>
              <w:spacing w:line="223" w:lineRule="exact"/>
              <w:ind w:right="49"/>
              <w:jc w:val="right"/>
              <w:rPr>
                <w:sz w:val="20"/>
              </w:rPr>
            </w:pPr>
            <w:r>
              <w:rPr>
                <w:spacing w:val="-5"/>
                <w:sz w:val="20"/>
              </w:rPr>
              <w:t>1–2</w:t>
            </w:r>
          </w:p>
        </w:tc>
      </w:tr>
      <w:tr>
        <w:trPr>
          <w:trHeight w:val="515" w:hRule="atLeast"/>
        </w:trPr>
        <w:tc>
          <w:tcPr>
            <w:tcW w:w="6644" w:type="dxa"/>
          </w:tcPr>
          <w:p>
            <w:pPr>
              <w:pStyle w:val="TableParagraph"/>
              <w:tabs>
                <w:tab w:pos="616" w:val="left" w:leader="none"/>
              </w:tabs>
              <w:spacing w:before="118"/>
              <w:ind w:left="50"/>
              <w:rPr>
                <w:b/>
                <w:sz w:val="24"/>
              </w:rPr>
            </w:pPr>
            <w:r>
              <w:rPr>
                <w:b/>
                <w:spacing w:val="-5"/>
                <w:sz w:val="24"/>
              </w:rPr>
              <w:t>II.</w:t>
            </w:r>
            <w:r>
              <w:rPr>
                <w:b/>
                <w:sz w:val="24"/>
              </w:rPr>
              <w:tab/>
              <w:t>Scope</w:t>
            </w:r>
            <w:r>
              <w:rPr>
                <w:b/>
                <w:spacing w:val="-1"/>
                <w:sz w:val="24"/>
              </w:rPr>
              <w:t> </w:t>
            </w:r>
            <w:r>
              <w:rPr>
                <w:b/>
                <w:sz w:val="24"/>
              </w:rPr>
              <w:t>of</w:t>
            </w:r>
            <w:r>
              <w:rPr>
                <w:b/>
                <w:spacing w:val="-2"/>
                <w:sz w:val="24"/>
              </w:rPr>
              <w:t> application</w:t>
            </w:r>
          </w:p>
        </w:tc>
        <w:tc>
          <w:tcPr>
            <w:tcW w:w="1649" w:type="dxa"/>
          </w:tcPr>
          <w:p>
            <w:pPr>
              <w:pStyle w:val="TableParagraph"/>
              <w:spacing w:before="114"/>
              <w:ind w:right="209"/>
              <w:jc w:val="right"/>
              <w:rPr>
                <w:sz w:val="20"/>
              </w:rPr>
            </w:pPr>
            <w:r>
              <w:rPr>
                <w:sz w:val="20"/>
              </w:rPr>
              <w:t>Margin</w:t>
            </w:r>
            <w:r>
              <w:rPr>
                <w:spacing w:val="-11"/>
                <w:sz w:val="20"/>
              </w:rPr>
              <w:t> </w:t>
            </w:r>
            <w:r>
              <w:rPr>
                <w:spacing w:val="-5"/>
                <w:sz w:val="20"/>
              </w:rPr>
              <w:t>no.</w:t>
            </w:r>
          </w:p>
        </w:tc>
        <w:tc>
          <w:tcPr>
            <w:tcW w:w="818" w:type="dxa"/>
          </w:tcPr>
          <w:p>
            <w:pPr>
              <w:pStyle w:val="TableParagraph"/>
              <w:spacing w:before="114"/>
              <w:ind w:right="49"/>
              <w:jc w:val="right"/>
              <w:rPr>
                <w:sz w:val="20"/>
              </w:rPr>
            </w:pPr>
            <w:r>
              <w:rPr>
                <w:spacing w:val="-5"/>
                <w:sz w:val="20"/>
              </w:rPr>
              <w:t>3–5</w:t>
            </w:r>
          </w:p>
        </w:tc>
      </w:tr>
      <w:tr>
        <w:trPr>
          <w:trHeight w:val="516" w:hRule="atLeast"/>
        </w:trPr>
        <w:tc>
          <w:tcPr>
            <w:tcW w:w="6644" w:type="dxa"/>
          </w:tcPr>
          <w:p>
            <w:pPr>
              <w:pStyle w:val="TableParagraph"/>
              <w:tabs>
                <w:tab w:pos="616" w:val="left" w:leader="none"/>
              </w:tabs>
              <w:spacing w:before="118"/>
              <w:ind w:left="50"/>
              <w:rPr>
                <w:b/>
                <w:sz w:val="24"/>
              </w:rPr>
            </w:pPr>
            <w:r>
              <w:rPr>
                <w:b/>
                <w:spacing w:val="-4"/>
                <w:sz w:val="24"/>
              </w:rPr>
              <w:t>III.</w:t>
            </w:r>
            <w:r>
              <w:rPr>
                <w:b/>
                <w:sz w:val="24"/>
              </w:rPr>
              <w:tab/>
              <w:t>Insider</w:t>
            </w:r>
            <w:r>
              <w:rPr>
                <w:b/>
                <w:spacing w:val="-5"/>
                <w:sz w:val="24"/>
              </w:rPr>
              <w:t> </w:t>
            </w:r>
            <w:r>
              <w:rPr>
                <w:b/>
                <w:sz w:val="24"/>
              </w:rPr>
              <w:t>information</w:t>
            </w:r>
            <w:r>
              <w:rPr>
                <w:b/>
                <w:spacing w:val="-3"/>
                <w:sz w:val="24"/>
              </w:rPr>
              <w:t> </w:t>
            </w:r>
            <w:r>
              <w:rPr>
                <w:b/>
                <w:sz w:val="24"/>
              </w:rPr>
              <w:t>(Art.</w:t>
            </w:r>
            <w:r>
              <w:rPr>
                <w:b/>
                <w:spacing w:val="-3"/>
                <w:sz w:val="24"/>
              </w:rPr>
              <w:t> </w:t>
            </w:r>
            <w:r>
              <w:rPr>
                <w:b/>
                <w:sz w:val="24"/>
              </w:rPr>
              <w:t>2</w:t>
            </w:r>
            <w:r>
              <w:rPr>
                <w:b/>
                <w:spacing w:val="-3"/>
                <w:sz w:val="24"/>
              </w:rPr>
              <w:t> </w:t>
            </w:r>
            <w:r>
              <w:rPr>
                <w:b/>
                <w:sz w:val="24"/>
              </w:rPr>
              <w:t>let.</w:t>
            </w:r>
            <w:r>
              <w:rPr>
                <w:b/>
                <w:spacing w:val="-5"/>
                <w:sz w:val="24"/>
              </w:rPr>
              <w:t> </w:t>
            </w:r>
            <w:r>
              <w:rPr>
                <w:b/>
                <w:sz w:val="24"/>
              </w:rPr>
              <w:t>j</w:t>
            </w:r>
            <w:r>
              <w:rPr>
                <w:b/>
                <w:spacing w:val="-3"/>
                <w:sz w:val="24"/>
              </w:rPr>
              <w:t> </w:t>
            </w:r>
            <w:r>
              <w:rPr>
                <w:b/>
                <w:spacing w:val="-4"/>
                <w:sz w:val="24"/>
              </w:rPr>
              <w:t>FMIA)</w:t>
            </w:r>
          </w:p>
        </w:tc>
        <w:tc>
          <w:tcPr>
            <w:tcW w:w="1649" w:type="dxa"/>
          </w:tcPr>
          <w:p>
            <w:pPr>
              <w:pStyle w:val="TableParagraph"/>
              <w:spacing w:before="114"/>
              <w:ind w:right="209"/>
              <w:jc w:val="right"/>
              <w:rPr>
                <w:sz w:val="20"/>
              </w:rPr>
            </w:pPr>
            <w:r>
              <w:rPr>
                <w:sz w:val="20"/>
              </w:rPr>
              <w:t>Margin</w:t>
            </w:r>
            <w:r>
              <w:rPr>
                <w:spacing w:val="-11"/>
                <w:sz w:val="20"/>
              </w:rPr>
              <w:t> </w:t>
            </w:r>
            <w:r>
              <w:rPr>
                <w:spacing w:val="-5"/>
                <w:sz w:val="20"/>
              </w:rPr>
              <w:t>no.</w:t>
            </w:r>
          </w:p>
        </w:tc>
        <w:tc>
          <w:tcPr>
            <w:tcW w:w="818" w:type="dxa"/>
          </w:tcPr>
          <w:p>
            <w:pPr>
              <w:pStyle w:val="TableParagraph"/>
              <w:spacing w:before="114"/>
              <w:ind w:right="50"/>
              <w:jc w:val="right"/>
              <w:rPr>
                <w:sz w:val="20"/>
              </w:rPr>
            </w:pPr>
            <w:r>
              <w:rPr>
                <w:spacing w:val="-4"/>
                <w:sz w:val="20"/>
              </w:rPr>
              <w:t>8–11</w:t>
            </w:r>
          </w:p>
        </w:tc>
      </w:tr>
      <w:tr>
        <w:trPr>
          <w:trHeight w:val="516" w:hRule="atLeast"/>
        </w:trPr>
        <w:tc>
          <w:tcPr>
            <w:tcW w:w="6644" w:type="dxa"/>
          </w:tcPr>
          <w:p>
            <w:pPr>
              <w:pStyle w:val="TableParagraph"/>
              <w:tabs>
                <w:tab w:pos="616" w:val="left" w:leader="none"/>
              </w:tabs>
              <w:spacing w:before="118"/>
              <w:ind w:left="50"/>
              <w:rPr>
                <w:b/>
                <w:sz w:val="24"/>
              </w:rPr>
            </w:pPr>
            <w:r>
              <w:rPr>
                <w:b/>
                <w:spacing w:val="-5"/>
                <w:sz w:val="24"/>
              </w:rPr>
              <w:t>IV.</w:t>
            </w:r>
            <w:r>
              <w:rPr>
                <w:b/>
                <w:sz w:val="24"/>
              </w:rPr>
              <w:tab/>
              <w:t>Misuse</w:t>
            </w:r>
            <w:r>
              <w:rPr>
                <w:b/>
                <w:spacing w:val="-4"/>
                <w:sz w:val="24"/>
              </w:rPr>
              <w:t> </w:t>
            </w:r>
            <w:r>
              <w:rPr>
                <w:b/>
                <w:sz w:val="24"/>
              </w:rPr>
              <w:t>of</w:t>
            </w:r>
            <w:r>
              <w:rPr>
                <w:b/>
                <w:spacing w:val="-4"/>
                <w:sz w:val="24"/>
              </w:rPr>
              <w:t> </w:t>
            </w:r>
            <w:r>
              <w:rPr>
                <w:b/>
                <w:sz w:val="24"/>
              </w:rPr>
              <w:t>insider</w:t>
            </w:r>
            <w:r>
              <w:rPr>
                <w:b/>
                <w:spacing w:val="-6"/>
                <w:sz w:val="24"/>
              </w:rPr>
              <w:t> </w:t>
            </w:r>
            <w:r>
              <w:rPr>
                <w:b/>
                <w:sz w:val="24"/>
              </w:rPr>
              <w:t>information</w:t>
            </w:r>
            <w:r>
              <w:rPr>
                <w:b/>
                <w:spacing w:val="-3"/>
                <w:sz w:val="24"/>
              </w:rPr>
              <w:t> </w:t>
            </w:r>
            <w:r>
              <w:rPr>
                <w:b/>
                <w:sz w:val="24"/>
              </w:rPr>
              <w:t>(Art.</w:t>
            </w:r>
            <w:r>
              <w:rPr>
                <w:b/>
                <w:spacing w:val="-4"/>
                <w:sz w:val="24"/>
              </w:rPr>
              <w:t> </w:t>
            </w:r>
            <w:r>
              <w:rPr>
                <w:b/>
                <w:sz w:val="24"/>
              </w:rPr>
              <w:t>142</w:t>
            </w:r>
            <w:r>
              <w:rPr>
                <w:b/>
                <w:spacing w:val="-4"/>
                <w:sz w:val="24"/>
              </w:rPr>
              <w:t> </w:t>
            </w:r>
            <w:r>
              <w:rPr>
                <w:b/>
                <w:spacing w:val="-2"/>
                <w:sz w:val="24"/>
              </w:rPr>
              <w:t>FMIA)</w:t>
            </w:r>
          </w:p>
        </w:tc>
        <w:tc>
          <w:tcPr>
            <w:tcW w:w="1649" w:type="dxa"/>
          </w:tcPr>
          <w:p>
            <w:pPr>
              <w:pStyle w:val="TableParagraph"/>
              <w:spacing w:before="115"/>
              <w:ind w:right="209"/>
              <w:jc w:val="right"/>
              <w:rPr>
                <w:sz w:val="20"/>
              </w:rPr>
            </w:pPr>
            <w:r>
              <w:rPr>
                <w:sz w:val="20"/>
              </w:rPr>
              <w:t>Margin</w:t>
            </w:r>
            <w:r>
              <w:rPr>
                <w:spacing w:val="-11"/>
                <w:sz w:val="20"/>
              </w:rPr>
              <w:t> </w:t>
            </w:r>
            <w:r>
              <w:rPr>
                <w:spacing w:val="-5"/>
                <w:sz w:val="20"/>
              </w:rPr>
              <w:t>no.</w:t>
            </w:r>
          </w:p>
        </w:tc>
        <w:tc>
          <w:tcPr>
            <w:tcW w:w="818" w:type="dxa"/>
          </w:tcPr>
          <w:p>
            <w:pPr>
              <w:pStyle w:val="TableParagraph"/>
              <w:spacing w:before="115"/>
              <w:ind w:right="47"/>
              <w:jc w:val="right"/>
              <w:rPr>
                <w:sz w:val="20"/>
              </w:rPr>
            </w:pPr>
            <w:r>
              <w:rPr>
                <w:spacing w:val="-4"/>
                <w:sz w:val="20"/>
              </w:rPr>
              <w:t>12–15</w:t>
            </w:r>
          </w:p>
        </w:tc>
      </w:tr>
      <w:tr>
        <w:trPr>
          <w:trHeight w:val="515" w:hRule="atLeast"/>
        </w:trPr>
        <w:tc>
          <w:tcPr>
            <w:tcW w:w="6644" w:type="dxa"/>
          </w:tcPr>
          <w:p>
            <w:pPr>
              <w:pStyle w:val="TableParagraph"/>
              <w:tabs>
                <w:tab w:pos="616" w:val="left" w:leader="none"/>
              </w:tabs>
              <w:spacing w:before="118"/>
              <w:ind w:left="50"/>
              <w:rPr>
                <w:b/>
                <w:sz w:val="24"/>
              </w:rPr>
            </w:pPr>
            <w:r>
              <w:rPr>
                <w:b/>
                <w:spacing w:val="-5"/>
                <w:sz w:val="24"/>
              </w:rPr>
              <w:t>V.</w:t>
            </w:r>
            <w:r>
              <w:rPr>
                <w:b/>
                <w:sz w:val="24"/>
              </w:rPr>
              <w:tab/>
              <w:t>Market</w:t>
            </w:r>
            <w:r>
              <w:rPr>
                <w:b/>
                <w:spacing w:val="-4"/>
                <w:sz w:val="24"/>
              </w:rPr>
              <w:t> </w:t>
            </w:r>
            <w:r>
              <w:rPr>
                <w:b/>
                <w:sz w:val="24"/>
              </w:rPr>
              <w:t>manipulation</w:t>
            </w:r>
            <w:r>
              <w:rPr>
                <w:b/>
                <w:spacing w:val="-6"/>
                <w:sz w:val="24"/>
              </w:rPr>
              <w:t> </w:t>
            </w:r>
            <w:r>
              <w:rPr>
                <w:b/>
                <w:sz w:val="24"/>
              </w:rPr>
              <w:t>(Art.</w:t>
            </w:r>
            <w:r>
              <w:rPr>
                <w:b/>
                <w:spacing w:val="-4"/>
                <w:sz w:val="24"/>
              </w:rPr>
              <w:t> </w:t>
            </w:r>
            <w:r>
              <w:rPr>
                <w:b/>
                <w:sz w:val="24"/>
              </w:rPr>
              <w:t>143</w:t>
            </w:r>
            <w:r>
              <w:rPr>
                <w:b/>
                <w:spacing w:val="-3"/>
                <w:sz w:val="24"/>
              </w:rPr>
              <w:t> </w:t>
            </w:r>
            <w:r>
              <w:rPr>
                <w:b/>
                <w:spacing w:val="-2"/>
                <w:sz w:val="24"/>
              </w:rPr>
              <w:t>FMIA)</w:t>
            </w:r>
          </w:p>
        </w:tc>
        <w:tc>
          <w:tcPr>
            <w:tcW w:w="1649" w:type="dxa"/>
          </w:tcPr>
          <w:p>
            <w:pPr>
              <w:pStyle w:val="TableParagraph"/>
              <w:spacing w:before="114"/>
              <w:ind w:right="209"/>
              <w:jc w:val="right"/>
              <w:rPr>
                <w:sz w:val="20"/>
              </w:rPr>
            </w:pPr>
            <w:r>
              <w:rPr>
                <w:sz w:val="20"/>
              </w:rPr>
              <w:t>Margin</w:t>
            </w:r>
            <w:r>
              <w:rPr>
                <w:spacing w:val="-11"/>
                <w:sz w:val="20"/>
              </w:rPr>
              <w:t> </w:t>
            </w:r>
            <w:r>
              <w:rPr>
                <w:spacing w:val="-5"/>
                <w:sz w:val="20"/>
              </w:rPr>
              <w:t>no.</w:t>
            </w:r>
          </w:p>
        </w:tc>
        <w:tc>
          <w:tcPr>
            <w:tcW w:w="818" w:type="dxa"/>
          </w:tcPr>
          <w:p>
            <w:pPr>
              <w:pStyle w:val="TableParagraph"/>
              <w:spacing w:before="114"/>
              <w:ind w:right="47"/>
              <w:jc w:val="right"/>
              <w:rPr>
                <w:sz w:val="20"/>
              </w:rPr>
            </w:pPr>
            <w:r>
              <w:rPr>
                <w:spacing w:val="-4"/>
                <w:sz w:val="20"/>
              </w:rPr>
              <w:t>16–40</w:t>
            </w:r>
          </w:p>
        </w:tc>
      </w:tr>
      <w:tr>
        <w:trPr>
          <w:trHeight w:val="792" w:hRule="atLeast"/>
        </w:trPr>
        <w:tc>
          <w:tcPr>
            <w:tcW w:w="6644" w:type="dxa"/>
          </w:tcPr>
          <w:p>
            <w:pPr>
              <w:pStyle w:val="TableParagraph"/>
              <w:tabs>
                <w:tab w:pos="616" w:val="left" w:leader="none"/>
              </w:tabs>
              <w:spacing w:before="118"/>
              <w:ind w:left="616" w:right="492" w:hanging="567"/>
              <w:rPr>
                <w:b/>
                <w:sz w:val="24"/>
              </w:rPr>
            </w:pPr>
            <w:r>
              <w:rPr>
                <w:b/>
                <w:spacing w:val="-4"/>
                <w:sz w:val="24"/>
              </w:rPr>
              <w:t>VI.</w:t>
            </w:r>
            <w:r>
              <w:rPr>
                <w:b/>
                <w:sz w:val="24"/>
              </w:rPr>
              <w:tab/>
              <w:t>Market</w:t>
            </w:r>
            <w:r>
              <w:rPr>
                <w:b/>
                <w:spacing w:val="-5"/>
                <w:sz w:val="24"/>
              </w:rPr>
              <w:t> </w:t>
            </w:r>
            <w:r>
              <w:rPr>
                <w:b/>
                <w:sz w:val="24"/>
              </w:rPr>
              <w:t>abuse</w:t>
            </w:r>
            <w:r>
              <w:rPr>
                <w:b/>
                <w:spacing w:val="-5"/>
                <w:sz w:val="24"/>
              </w:rPr>
              <w:t> </w:t>
            </w:r>
            <w:r>
              <w:rPr>
                <w:b/>
                <w:sz w:val="24"/>
              </w:rPr>
              <w:t>in</w:t>
            </w:r>
            <w:r>
              <w:rPr>
                <w:b/>
                <w:spacing w:val="-5"/>
                <w:sz w:val="24"/>
              </w:rPr>
              <w:t> </w:t>
            </w:r>
            <w:r>
              <w:rPr>
                <w:b/>
                <w:sz w:val="24"/>
              </w:rPr>
              <w:t>the</w:t>
            </w:r>
            <w:r>
              <w:rPr>
                <w:b/>
                <w:spacing w:val="-8"/>
                <w:sz w:val="24"/>
              </w:rPr>
              <w:t> </w:t>
            </w:r>
            <w:r>
              <w:rPr>
                <w:b/>
                <w:sz w:val="24"/>
              </w:rPr>
              <w:t>primary</w:t>
            </w:r>
            <w:r>
              <w:rPr>
                <w:b/>
                <w:spacing w:val="-6"/>
                <w:sz w:val="24"/>
              </w:rPr>
              <w:t> </w:t>
            </w:r>
            <w:r>
              <w:rPr>
                <w:b/>
                <w:sz w:val="24"/>
              </w:rPr>
              <w:t>market,</w:t>
            </w:r>
            <w:r>
              <w:rPr>
                <w:b/>
                <w:spacing w:val="-5"/>
                <w:sz w:val="24"/>
              </w:rPr>
              <w:t> </w:t>
            </w:r>
            <w:r>
              <w:rPr>
                <w:b/>
                <w:sz w:val="24"/>
              </w:rPr>
              <w:t>with</w:t>
            </w:r>
            <w:r>
              <w:rPr>
                <w:b/>
                <w:spacing w:val="-6"/>
                <w:sz w:val="24"/>
              </w:rPr>
              <w:t> </w:t>
            </w:r>
            <w:r>
              <w:rPr>
                <w:b/>
                <w:sz w:val="24"/>
              </w:rPr>
              <w:t>foreign securities or in other markets</w:t>
            </w:r>
          </w:p>
        </w:tc>
        <w:tc>
          <w:tcPr>
            <w:tcW w:w="1649" w:type="dxa"/>
          </w:tcPr>
          <w:p>
            <w:pPr>
              <w:pStyle w:val="TableParagraph"/>
              <w:spacing w:before="114"/>
              <w:ind w:right="209"/>
              <w:jc w:val="right"/>
              <w:rPr>
                <w:sz w:val="20"/>
              </w:rPr>
            </w:pPr>
            <w:r>
              <w:rPr>
                <w:sz w:val="20"/>
              </w:rPr>
              <w:t>Margin</w:t>
            </w:r>
            <w:r>
              <w:rPr>
                <w:spacing w:val="-11"/>
                <w:sz w:val="20"/>
              </w:rPr>
              <w:t> </w:t>
            </w:r>
            <w:r>
              <w:rPr>
                <w:spacing w:val="-5"/>
                <w:sz w:val="20"/>
              </w:rPr>
              <w:t>no.</w:t>
            </w:r>
          </w:p>
        </w:tc>
        <w:tc>
          <w:tcPr>
            <w:tcW w:w="818" w:type="dxa"/>
          </w:tcPr>
          <w:p>
            <w:pPr>
              <w:pStyle w:val="TableParagraph"/>
              <w:spacing w:before="114"/>
              <w:ind w:right="47"/>
              <w:jc w:val="right"/>
              <w:rPr>
                <w:sz w:val="20"/>
              </w:rPr>
            </w:pPr>
            <w:r>
              <w:rPr>
                <w:spacing w:val="-4"/>
                <w:sz w:val="20"/>
              </w:rPr>
              <w:t>41–44</w:t>
            </w:r>
          </w:p>
        </w:tc>
      </w:tr>
      <w:tr>
        <w:trPr>
          <w:trHeight w:val="457" w:hRule="atLeast"/>
        </w:trPr>
        <w:tc>
          <w:tcPr>
            <w:tcW w:w="6644" w:type="dxa"/>
          </w:tcPr>
          <w:p>
            <w:pPr>
              <w:pStyle w:val="TableParagraph"/>
              <w:tabs>
                <w:tab w:pos="616" w:val="left" w:leader="none"/>
              </w:tabs>
              <w:spacing w:before="118"/>
              <w:ind w:left="50"/>
              <w:rPr>
                <w:b/>
                <w:sz w:val="24"/>
              </w:rPr>
            </w:pPr>
            <w:r>
              <w:rPr>
                <w:b/>
                <w:spacing w:val="-4"/>
                <w:sz w:val="24"/>
              </w:rPr>
              <w:t>VII.</w:t>
            </w:r>
            <w:r>
              <w:rPr>
                <w:b/>
                <w:sz w:val="24"/>
              </w:rPr>
              <w:tab/>
              <w:t>Organisational</w:t>
            </w:r>
            <w:r>
              <w:rPr>
                <w:b/>
                <w:spacing w:val="-8"/>
                <w:sz w:val="24"/>
              </w:rPr>
              <w:t> </w:t>
            </w:r>
            <w:r>
              <w:rPr>
                <w:b/>
                <w:spacing w:val="-2"/>
                <w:sz w:val="24"/>
              </w:rPr>
              <w:t>requirements</w:t>
            </w:r>
          </w:p>
        </w:tc>
        <w:tc>
          <w:tcPr>
            <w:tcW w:w="1649" w:type="dxa"/>
          </w:tcPr>
          <w:p>
            <w:pPr>
              <w:pStyle w:val="TableParagraph"/>
              <w:spacing w:before="114"/>
              <w:ind w:right="209"/>
              <w:jc w:val="right"/>
              <w:rPr>
                <w:sz w:val="20"/>
              </w:rPr>
            </w:pPr>
            <w:r>
              <w:rPr>
                <w:sz w:val="20"/>
              </w:rPr>
              <w:t>Margin</w:t>
            </w:r>
            <w:r>
              <w:rPr>
                <w:spacing w:val="-11"/>
                <w:sz w:val="20"/>
              </w:rPr>
              <w:t> </w:t>
            </w:r>
            <w:r>
              <w:rPr>
                <w:spacing w:val="-5"/>
                <w:sz w:val="20"/>
              </w:rPr>
              <w:t>no.</w:t>
            </w:r>
          </w:p>
        </w:tc>
        <w:tc>
          <w:tcPr>
            <w:tcW w:w="818" w:type="dxa"/>
          </w:tcPr>
          <w:p>
            <w:pPr>
              <w:pStyle w:val="TableParagraph"/>
              <w:spacing w:before="114"/>
              <w:ind w:right="47"/>
              <w:jc w:val="right"/>
              <w:rPr>
                <w:sz w:val="20"/>
              </w:rPr>
            </w:pPr>
            <w:r>
              <w:rPr>
                <w:spacing w:val="-4"/>
                <w:sz w:val="20"/>
              </w:rPr>
              <w:t>45–64</w:t>
            </w:r>
          </w:p>
        </w:tc>
      </w:tr>
      <w:tr>
        <w:trPr>
          <w:trHeight w:val="422" w:hRule="atLeast"/>
        </w:trPr>
        <w:tc>
          <w:tcPr>
            <w:tcW w:w="6644" w:type="dxa"/>
          </w:tcPr>
          <w:p>
            <w:pPr>
              <w:pStyle w:val="TableParagraph"/>
              <w:tabs>
                <w:tab w:pos="616" w:val="left" w:leader="none"/>
              </w:tabs>
              <w:spacing w:before="56"/>
              <w:ind w:left="50"/>
              <w:rPr>
                <w:sz w:val="24"/>
              </w:rPr>
            </w:pPr>
            <w:r>
              <w:rPr>
                <w:spacing w:val="-5"/>
                <w:sz w:val="24"/>
              </w:rPr>
              <w:t>A.</w:t>
            </w:r>
            <w:r>
              <w:rPr>
                <w:sz w:val="24"/>
              </w:rPr>
              <w:tab/>
            </w:r>
            <w:r>
              <w:rPr>
                <w:spacing w:val="-4"/>
                <w:sz w:val="24"/>
              </w:rPr>
              <w:t>Scope</w:t>
            </w:r>
          </w:p>
        </w:tc>
        <w:tc>
          <w:tcPr>
            <w:tcW w:w="1649" w:type="dxa"/>
          </w:tcPr>
          <w:p>
            <w:pPr>
              <w:pStyle w:val="TableParagraph"/>
              <w:spacing w:before="93"/>
              <w:ind w:right="209"/>
              <w:jc w:val="right"/>
              <w:rPr>
                <w:sz w:val="20"/>
              </w:rPr>
            </w:pPr>
            <w:r>
              <w:rPr>
                <w:sz w:val="20"/>
              </w:rPr>
              <w:t>Margin</w:t>
            </w:r>
            <w:r>
              <w:rPr>
                <w:spacing w:val="-11"/>
                <w:sz w:val="20"/>
              </w:rPr>
              <w:t> </w:t>
            </w:r>
            <w:r>
              <w:rPr>
                <w:spacing w:val="-5"/>
                <w:sz w:val="20"/>
              </w:rPr>
              <w:t>no.</w:t>
            </w:r>
          </w:p>
        </w:tc>
        <w:tc>
          <w:tcPr>
            <w:tcW w:w="818" w:type="dxa"/>
          </w:tcPr>
          <w:p>
            <w:pPr>
              <w:pStyle w:val="TableParagraph"/>
              <w:spacing w:before="91"/>
              <w:ind w:right="47"/>
              <w:jc w:val="right"/>
              <w:rPr>
                <w:sz w:val="20"/>
              </w:rPr>
            </w:pPr>
            <w:r>
              <w:rPr>
                <w:spacing w:val="-4"/>
                <w:sz w:val="20"/>
              </w:rPr>
              <w:t>45–46</w:t>
            </w:r>
          </w:p>
        </w:tc>
      </w:tr>
      <w:tr>
        <w:trPr>
          <w:trHeight w:val="456" w:hRule="atLeast"/>
        </w:trPr>
        <w:tc>
          <w:tcPr>
            <w:tcW w:w="6644" w:type="dxa"/>
          </w:tcPr>
          <w:p>
            <w:pPr>
              <w:pStyle w:val="TableParagraph"/>
              <w:tabs>
                <w:tab w:pos="616" w:val="left" w:leader="none"/>
              </w:tabs>
              <w:spacing w:before="89"/>
              <w:ind w:left="50"/>
              <w:rPr>
                <w:sz w:val="24"/>
              </w:rPr>
            </w:pPr>
            <w:r>
              <w:rPr>
                <w:spacing w:val="-5"/>
                <w:sz w:val="24"/>
              </w:rPr>
              <w:t>B.</w:t>
            </w:r>
            <w:r>
              <w:rPr>
                <w:sz w:val="24"/>
              </w:rPr>
              <w:tab/>
              <w:t>Dealing</w:t>
            </w:r>
            <w:r>
              <w:rPr>
                <w:spacing w:val="-3"/>
                <w:sz w:val="24"/>
              </w:rPr>
              <w:t> </w:t>
            </w:r>
            <w:r>
              <w:rPr>
                <w:sz w:val="24"/>
              </w:rPr>
              <w:t>with</w:t>
            </w:r>
            <w:r>
              <w:rPr>
                <w:spacing w:val="-4"/>
                <w:sz w:val="24"/>
              </w:rPr>
              <w:t> </w:t>
            </w:r>
            <w:r>
              <w:rPr>
                <w:sz w:val="24"/>
              </w:rPr>
              <w:t>market</w:t>
            </w:r>
            <w:r>
              <w:rPr>
                <w:spacing w:val="-2"/>
                <w:sz w:val="24"/>
              </w:rPr>
              <w:t> </w:t>
            </w:r>
            <w:r>
              <w:rPr>
                <w:spacing w:val="-4"/>
                <w:sz w:val="24"/>
              </w:rPr>
              <w:t>abuse</w:t>
            </w:r>
          </w:p>
        </w:tc>
        <w:tc>
          <w:tcPr>
            <w:tcW w:w="1649" w:type="dxa"/>
          </w:tcPr>
          <w:p>
            <w:pPr>
              <w:pStyle w:val="TableParagraph"/>
              <w:spacing w:before="86"/>
              <w:ind w:right="209"/>
              <w:jc w:val="right"/>
              <w:rPr>
                <w:sz w:val="20"/>
              </w:rPr>
            </w:pPr>
            <w:r>
              <w:rPr>
                <w:sz w:val="20"/>
              </w:rPr>
              <w:t>Margin</w:t>
            </w:r>
            <w:r>
              <w:rPr>
                <w:spacing w:val="-11"/>
                <w:sz w:val="20"/>
              </w:rPr>
              <w:t> </w:t>
            </w:r>
            <w:r>
              <w:rPr>
                <w:spacing w:val="-5"/>
                <w:sz w:val="20"/>
              </w:rPr>
              <w:t>no.</w:t>
            </w:r>
          </w:p>
        </w:tc>
        <w:tc>
          <w:tcPr>
            <w:tcW w:w="818" w:type="dxa"/>
          </w:tcPr>
          <w:p>
            <w:pPr>
              <w:pStyle w:val="TableParagraph"/>
              <w:spacing w:before="83"/>
              <w:ind w:right="47"/>
              <w:jc w:val="right"/>
              <w:rPr>
                <w:sz w:val="20"/>
              </w:rPr>
            </w:pPr>
            <w:r>
              <w:rPr>
                <w:spacing w:val="-4"/>
                <w:sz w:val="20"/>
              </w:rPr>
              <w:t>47–48</w:t>
            </w:r>
          </w:p>
        </w:tc>
      </w:tr>
      <w:tr>
        <w:trPr>
          <w:trHeight w:val="453" w:hRule="atLeast"/>
        </w:trPr>
        <w:tc>
          <w:tcPr>
            <w:tcW w:w="6644" w:type="dxa"/>
          </w:tcPr>
          <w:p>
            <w:pPr>
              <w:pStyle w:val="TableParagraph"/>
              <w:tabs>
                <w:tab w:pos="616" w:val="left" w:leader="none"/>
              </w:tabs>
              <w:spacing w:before="87"/>
              <w:ind w:left="50"/>
              <w:rPr>
                <w:sz w:val="24"/>
              </w:rPr>
            </w:pPr>
            <w:r>
              <w:rPr>
                <w:spacing w:val="-5"/>
                <w:sz w:val="24"/>
              </w:rPr>
              <w:t>C.</w:t>
            </w:r>
            <w:r>
              <w:rPr>
                <w:sz w:val="24"/>
              </w:rPr>
              <w:tab/>
              <w:t>Information</w:t>
            </w:r>
            <w:r>
              <w:rPr>
                <w:spacing w:val="-6"/>
                <w:sz w:val="24"/>
              </w:rPr>
              <w:t> </w:t>
            </w:r>
            <w:r>
              <w:rPr>
                <w:sz w:val="24"/>
              </w:rPr>
              <w:t>barriers/areas</w:t>
            </w:r>
            <w:r>
              <w:rPr>
                <w:spacing w:val="-6"/>
                <w:sz w:val="24"/>
              </w:rPr>
              <w:t> </w:t>
            </w:r>
            <w:r>
              <w:rPr>
                <w:sz w:val="24"/>
              </w:rPr>
              <w:t>of</w:t>
            </w:r>
            <w:r>
              <w:rPr>
                <w:spacing w:val="-6"/>
                <w:sz w:val="24"/>
              </w:rPr>
              <w:t> </w:t>
            </w:r>
            <w:r>
              <w:rPr>
                <w:spacing w:val="-2"/>
                <w:sz w:val="24"/>
              </w:rPr>
              <w:t>confidentiality</w:t>
            </w:r>
          </w:p>
        </w:tc>
        <w:tc>
          <w:tcPr>
            <w:tcW w:w="1649" w:type="dxa"/>
          </w:tcPr>
          <w:p>
            <w:pPr>
              <w:pStyle w:val="TableParagraph"/>
              <w:spacing w:before="83"/>
              <w:ind w:right="209"/>
              <w:jc w:val="right"/>
              <w:rPr>
                <w:sz w:val="20"/>
              </w:rPr>
            </w:pPr>
            <w:r>
              <w:rPr>
                <w:sz w:val="20"/>
              </w:rPr>
              <w:t>Margin</w:t>
            </w:r>
            <w:r>
              <w:rPr>
                <w:spacing w:val="-11"/>
                <w:sz w:val="20"/>
              </w:rPr>
              <w:t> </w:t>
            </w:r>
            <w:r>
              <w:rPr>
                <w:spacing w:val="-5"/>
                <w:sz w:val="20"/>
              </w:rPr>
              <w:t>no.</w:t>
            </w:r>
          </w:p>
        </w:tc>
        <w:tc>
          <w:tcPr>
            <w:tcW w:w="818" w:type="dxa"/>
          </w:tcPr>
          <w:p>
            <w:pPr>
              <w:pStyle w:val="TableParagraph"/>
              <w:spacing w:before="83"/>
              <w:ind w:right="47"/>
              <w:jc w:val="right"/>
              <w:rPr>
                <w:sz w:val="20"/>
              </w:rPr>
            </w:pPr>
            <w:r>
              <w:rPr>
                <w:spacing w:val="-4"/>
                <w:sz w:val="20"/>
              </w:rPr>
              <w:t>49–52</w:t>
            </w:r>
          </w:p>
        </w:tc>
      </w:tr>
      <w:tr>
        <w:trPr>
          <w:trHeight w:val="453" w:hRule="atLeast"/>
        </w:trPr>
        <w:tc>
          <w:tcPr>
            <w:tcW w:w="6644" w:type="dxa"/>
          </w:tcPr>
          <w:p>
            <w:pPr>
              <w:pStyle w:val="TableParagraph"/>
              <w:tabs>
                <w:tab w:pos="616" w:val="left" w:leader="none"/>
              </w:tabs>
              <w:spacing w:before="87"/>
              <w:ind w:left="50"/>
              <w:rPr>
                <w:sz w:val="24"/>
              </w:rPr>
            </w:pPr>
            <w:r>
              <w:rPr>
                <w:spacing w:val="-5"/>
                <w:sz w:val="24"/>
              </w:rPr>
              <w:t>D.</w:t>
            </w:r>
            <w:r>
              <w:rPr>
                <w:sz w:val="24"/>
              </w:rPr>
              <w:tab/>
              <w:t>Surveillance</w:t>
            </w:r>
            <w:r>
              <w:rPr>
                <w:spacing w:val="-6"/>
                <w:sz w:val="24"/>
              </w:rPr>
              <w:t> </w:t>
            </w:r>
            <w:r>
              <w:rPr>
                <w:sz w:val="24"/>
              </w:rPr>
              <w:t>of</w:t>
            </w:r>
            <w:r>
              <w:rPr>
                <w:spacing w:val="-6"/>
                <w:sz w:val="24"/>
              </w:rPr>
              <w:t> </w:t>
            </w:r>
            <w:r>
              <w:rPr>
                <w:sz w:val="24"/>
              </w:rPr>
              <w:t>employee</w:t>
            </w:r>
            <w:r>
              <w:rPr>
                <w:spacing w:val="-3"/>
                <w:sz w:val="24"/>
              </w:rPr>
              <w:t> </w:t>
            </w:r>
            <w:r>
              <w:rPr>
                <w:spacing w:val="-2"/>
                <w:sz w:val="24"/>
              </w:rPr>
              <w:t>transactions</w:t>
            </w:r>
          </w:p>
        </w:tc>
        <w:tc>
          <w:tcPr>
            <w:tcW w:w="1649" w:type="dxa"/>
          </w:tcPr>
          <w:p>
            <w:pPr>
              <w:pStyle w:val="TableParagraph"/>
              <w:spacing w:before="83"/>
              <w:ind w:right="209"/>
              <w:jc w:val="right"/>
              <w:rPr>
                <w:sz w:val="20"/>
              </w:rPr>
            </w:pPr>
            <w:r>
              <w:rPr>
                <w:sz w:val="20"/>
              </w:rPr>
              <w:t>Margin</w:t>
            </w:r>
            <w:r>
              <w:rPr>
                <w:spacing w:val="-11"/>
                <w:sz w:val="20"/>
              </w:rPr>
              <w:t> </w:t>
            </w:r>
            <w:r>
              <w:rPr>
                <w:spacing w:val="-5"/>
                <w:sz w:val="20"/>
              </w:rPr>
              <w:t>no.</w:t>
            </w:r>
          </w:p>
        </w:tc>
        <w:tc>
          <w:tcPr>
            <w:tcW w:w="818" w:type="dxa"/>
          </w:tcPr>
          <w:p>
            <w:pPr>
              <w:pStyle w:val="TableParagraph"/>
              <w:spacing w:before="83"/>
              <w:ind w:right="47"/>
              <w:jc w:val="right"/>
              <w:rPr>
                <w:sz w:val="20"/>
              </w:rPr>
            </w:pPr>
            <w:r>
              <w:rPr>
                <w:spacing w:val="-4"/>
                <w:sz w:val="20"/>
              </w:rPr>
              <w:t>53–55</w:t>
            </w:r>
          </w:p>
        </w:tc>
      </w:tr>
      <w:tr>
        <w:trPr>
          <w:trHeight w:val="453" w:hRule="atLeast"/>
        </w:trPr>
        <w:tc>
          <w:tcPr>
            <w:tcW w:w="6644" w:type="dxa"/>
          </w:tcPr>
          <w:p>
            <w:pPr>
              <w:pStyle w:val="TableParagraph"/>
              <w:tabs>
                <w:tab w:pos="616" w:val="left" w:leader="none"/>
              </w:tabs>
              <w:spacing w:before="87"/>
              <w:ind w:left="50"/>
              <w:rPr>
                <w:i/>
                <w:sz w:val="24"/>
              </w:rPr>
            </w:pPr>
            <w:r>
              <w:rPr>
                <w:spacing w:val="-5"/>
                <w:sz w:val="24"/>
              </w:rPr>
              <w:t>E.</w:t>
            </w:r>
            <w:r>
              <w:rPr>
                <w:sz w:val="24"/>
              </w:rPr>
              <w:tab/>
            </w:r>
            <w:r>
              <w:rPr>
                <w:i/>
                <w:sz w:val="24"/>
              </w:rPr>
              <w:t>Watch</w:t>
            </w:r>
            <w:r>
              <w:rPr>
                <w:i/>
                <w:spacing w:val="-3"/>
                <w:sz w:val="24"/>
              </w:rPr>
              <w:t> </w:t>
            </w:r>
            <w:r>
              <w:rPr>
                <w:i/>
                <w:sz w:val="24"/>
              </w:rPr>
              <w:t>list</w:t>
            </w:r>
            <w:r>
              <w:rPr>
                <w:i/>
                <w:spacing w:val="-3"/>
                <w:sz w:val="24"/>
              </w:rPr>
              <w:t> </w:t>
            </w:r>
            <w:r>
              <w:rPr>
                <w:i/>
                <w:sz w:val="24"/>
              </w:rPr>
              <w:t>and</w:t>
            </w:r>
            <w:r>
              <w:rPr>
                <w:i/>
                <w:spacing w:val="-3"/>
                <w:sz w:val="24"/>
              </w:rPr>
              <w:t> </w:t>
            </w:r>
            <w:r>
              <w:rPr>
                <w:i/>
                <w:sz w:val="24"/>
              </w:rPr>
              <w:t>restricted</w:t>
            </w:r>
            <w:r>
              <w:rPr>
                <w:i/>
                <w:spacing w:val="-2"/>
                <w:sz w:val="24"/>
              </w:rPr>
              <w:t> </w:t>
            </w:r>
            <w:r>
              <w:rPr>
                <w:i/>
                <w:spacing w:val="-4"/>
                <w:sz w:val="24"/>
              </w:rPr>
              <w:t>list</w:t>
            </w:r>
          </w:p>
        </w:tc>
        <w:tc>
          <w:tcPr>
            <w:tcW w:w="1649" w:type="dxa"/>
          </w:tcPr>
          <w:p>
            <w:pPr>
              <w:pStyle w:val="TableParagraph"/>
              <w:spacing w:before="83"/>
              <w:ind w:right="209"/>
              <w:jc w:val="right"/>
              <w:rPr>
                <w:sz w:val="20"/>
              </w:rPr>
            </w:pPr>
            <w:r>
              <w:rPr>
                <w:sz w:val="20"/>
              </w:rPr>
              <w:t>Margin</w:t>
            </w:r>
            <w:r>
              <w:rPr>
                <w:spacing w:val="-11"/>
                <w:sz w:val="20"/>
              </w:rPr>
              <w:t> </w:t>
            </w:r>
            <w:r>
              <w:rPr>
                <w:spacing w:val="-5"/>
                <w:sz w:val="20"/>
              </w:rPr>
              <w:t>no.</w:t>
            </w:r>
          </w:p>
        </w:tc>
        <w:tc>
          <w:tcPr>
            <w:tcW w:w="818" w:type="dxa"/>
          </w:tcPr>
          <w:p>
            <w:pPr>
              <w:pStyle w:val="TableParagraph"/>
              <w:spacing w:before="83"/>
              <w:ind w:right="47"/>
              <w:jc w:val="right"/>
              <w:rPr>
                <w:sz w:val="20"/>
              </w:rPr>
            </w:pPr>
            <w:r>
              <w:rPr>
                <w:spacing w:val="-4"/>
                <w:sz w:val="20"/>
              </w:rPr>
              <w:t>56–58</w:t>
            </w:r>
          </w:p>
        </w:tc>
      </w:tr>
      <w:tr>
        <w:trPr>
          <w:trHeight w:val="453" w:hRule="atLeast"/>
        </w:trPr>
        <w:tc>
          <w:tcPr>
            <w:tcW w:w="6644" w:type="dxa"/>
          </w:tcPr>
          <w:p>
            <w:pPr>
              <w:pStyle w:val="TableParagraph"/>
              <w:tabs>
                <w:tab w:pos="616" w:val="left" w:leader="none"/>
              </w:tabs>
              <w:spacing w:before="87"/>
              <w:ind w:left="50"/>
              <w:rPr>
                <w:sz w:val="24"/>
              </w:rPr>
            </w:pPr>
            <w:r>
              <w:rPr>
                <w:spacing w:val="-5"/>
                <w:sz w:val="24"/>
              </w:rPr>
              <w:t>F.</w:t>
            </w:r>
            <w:r>
              <w:rPr>
                <w:sz w:val="24"/>
              </w:rPr>
              <w:tab/>
              <w:t>Documentation</w:t>
            </w:r>
            <w:r>
              <w:rPr>
                <w:spacing w:val="-7"/>
                <w:sz w:val="24"/>
              </w:rPr>
              <w:t> </w:t>
            </w:r>
            <w:r>
              <w:rPr>
                <w:sz w:val="24"/>
              </w:rPr>
              <w:t>and</w:t>
            </w:r>
            <w:r>
              <w:rPr>
                <w:spacing w:val="-5"/>
                <w:sz w:val="24"/>
              </w:rPr>
              <w:t> </w:t>
            </w:r>
            <w:r>
              <w:rPr>
                <w:sz w:val="24"/>
              </w:rPr>
              <w:t>recording</w:t>
            </w:r>
            <w:r>
              <w:rPr>
                <w:spacing w:val="-5"/>
                <w:sz w:val="24"/>
              </w:rPr>
              <w:t> </w:t>
            </w:r>
            <w:r>
              <w:rPr>
                <w:spacing w:val="-2"/>
                <w:sz w:val="24"/>
              </w:rPr>
              <w:t>requirements</w:t>
            </w:r>
          </w:p>
        </w:tc>
        <w:tc>
          <w:tcPr>
            <w:tcW w:w="1649" w:type="dxa"/>
          </w:tcPr>
          <w:p>
            <w:pPr>
              <w:pStyle w:val="TableParagraph"/>
              <w:spacing w:before="83"/>
              <w:ind w:right="209"/>
              <w:jc w:val="right"/>
              <w:rPr>
                <w:sz w:val="20"/>
              </w:rPr>
            </w:pPr>
            <w:r>
              <w:rPr>
                <w:sz w:val="20"/>
              </w:rPr>
              <w:t>Margin</w:t>
            </w:r>
            <w:r>
              <w:rPr>
                <w:spacing w:val="-11"/>
                <w:sz w:val="20"/>
              </w:rPr>
              <w:t> </w:t>
            </w:r>
            <w:r>
              <w:rPr>
                <w:spacing w:val="-5"/>
                <w:sz w:val="20"/>
              </w:rPr>
              <w:t>no.</w:t>
            </w:r>
          </w:p>
        </w:tc>
        <w:tc>
          <w:tcPr>
            <w:tcW w:w="818" w:type="dxa"/>
          </w:tcPr>
          <w:p>
            <w:pPr>
              <w:pStyle w:val="TableParagraph"/>
              <w:spacing w:before="83"/>
              <w:ind w:right="47"/>
              <w:jc w:val="right"/>
              <w:rPr>
                <w:sz w:val="20"/>
              </w:rPr>
            </w:pPr>
            <w:r>
              <w:rPr>
                <w:spacing w:val="-4"/>
                <w:sz w:val="20"/>
              </w:rPr>
              <w:t>59–61</w:t>
            </w:r>
          </w:p>
        </w:tc>
      </w:tr>
      <w:tr>
        <w:trPr>
          <w:trHeight w:val="453" w:hRule="atLeast"/>
        </w:trPr>
        <w:tc>
          <w:tcPr>
            <w:tcW w:w="6644" w:type="dxa"/>
          </w:tcPr>
          <w:p>
            <w:pPr>
              <w:pStyle w:val="TableParagraph"/>
              <w:tabs>
                <w:tab w:pos="616" w:val="left" w:leader="none"/>
              </w:tabs>
              <w:spacing w:before="87"/>
              <w:ind w:left="50"/>
              <w:rPr>
                <w:sz w:val="24"/>
              </w:rPr>
            </w:pPr>
            <w:r>
              <w:rPr>
                <w:spacing w:val="-5"/>
                <w:sz w:val="24"/>
              </w:rPr>
              <w:t>G.</w:t>
            </w:r>
            <w:r>
              <w:rPr>
                <w:sz w:val="24"/>
              </w:rPr>
              <w:tab/>
            </w:r>
            <w:r>
              <w:rPr>
                <w:spacing w:val="-2"/>
                <w:sz w:val="24"/>
              </w:rPr>
              <w:t>High-frequency/algorithmic</w:t>
            </w:r>
            <w:r>
              <w:rPr>
                <w:spacing w:val="34"/>
                <w:sz w:val="24"/>
              </w:rPr>
              <w:t> </w:t>
            </w:r>
            <w:r>
              <w:rPr>
                <w:spacing w:val="-2"/>
                <w:sz w:val="24"/>
              </w:rPr>
              <w:t>trading</w:t>
            </w:r>
          </w:p>
        </w:tc>
        <w:tc>
          <w:tcPr>
            <w:tcW w:w="1649" w:type="dxa"/>
          </w:tcPr>
          <w:p>
            <w:pPr>
              <w:pStyle w:val="TableParagraph"/>
              <w:spacing w:before="83"/>
              <w:ind w:right="209"/>
              <w:jc w:val="right"/>
              <w:rPr>
                <w:sz w:val="20"/>
              </w:rPr>
            </w:pPr>
            <w:r>
              <w:rPr>
                <w:sz w:val="20"/>
              </w:rPr>
              <w:t>Margin</w:t>
            </w:r>
            <w:r>
              <w:rPr>
                <w:spacing w:val="-11"/>
                <w:sz w:val="20"/>
              </w:rPr>
              <w:t> </w:t>
            </w:r>
            <w:r>
              <w:rPr>
                <w:spacing w:val="-5"/>
                <w:sz w:val="20"/>
              </w:rPr>
              <w:t>no.</w:t>
            </w:r>
          </w:p>
        </w:tc>
        <w:tc>
          <w:tcPr>
            <w:tcW w:w="818" w:type="dxa"/>
          </w:tcPr>
          <w:p>
            <w:pPr>
              <w:pStyle w:val="TableParagraph"/>
              <w:spacing w:before="83"/>
              <w:ind w:right="47"/>
              <w:jc w:val="right"/>
              <w:rPr>
                <w:sz w:val="20"/>
              </w:rPr>
            </w:pPr>
            <w:r>
              <w:rPr>
                <w:spacing w:val="-4"/>
                <w:sz w:val="20"/>
              </w:rPr>
              <w:t>62–63</w:t>
            </w:r>
          </w:p>
        </w:tc>
      </w:tr>
      <w:tr>
        <w:trPr>
          <w:trHeight w:val="516" w:hRule="atLeast"/>
        </w:trPr>
        <w:tc>
          <w:tcPr>
            <w:tcW w:w="6644" w:type="dxa"/>
          </w:tcPr>
          <w:p>
            <w:pPr>
              <w:pStyle w:val="TableParagraph"/>
              <w:tabs>
                <w:tab w:pos="616" w:val="left" w:leader="none"/>
              </w:tabs>
              <w:spacing w:before="89"/>
              <w:ind w:left="50"/>
              <w:rPr>
                <w:sz w:val="24"/>
              </w:rPr>
            </w:pPr>
            <w:r>
              <w:rPr>
                <w:spacing w:val="-5"/>
                <w:sz w:val="24"/>
              </w:rPr>
              <w:t>H.</w:t>
            </w:r>
            <w:r>
              <w:rPr>
                <w:sz w:val="24"/>
              </w:rPr>
              <w:tab/>
            </w:r>
            <w:r>
              <w:rPr>
                <w:spacing w:val="-2"/>
                <w:sz w:val="24"/>
              </w:rPr>
              <w:t>Audit</w:t>
            </w:r>
          </w:p>
        </w:tc>
        <w:tc>
          <w:tcPr>
            <w:tcW w:w="1649" w:type="dxa"/>
          </w:tcPr>
          <w:p>
            <w:pPr>
              <w:pStyle w:val="TableParagraph"/>
              <w:spacing w:before="86"/>
              <w:ind w:right="209"/>
              <w:jc w:val="right"/>
              <w:rPr>
                <w:sz w:val="20"/>
              </w:rPr>
            </w:pPr>
            <w:r>
              <w:rPr>
                <w:sz w:val="20"/>
              </w:rPr>
              <w:t>Margin</w:t>
            </w:r>
            <w:r>
              <w:rPr>
                <w:spacing w:val="-11"/>
                <w:sz w:val="20"/>
              </w:rPr>
              <w:t> </w:t>
            </w:r>
            <w:r>
              <w:rPr>
                <w:spacing w:val="-5"/>
                <w:sz w:val="20"/>
              </w:rPr>
              <w:t>no.</w:t>
            </w:r>
          </w:p>
        </w:tc>
        <w:tc>
          <w:tcPr>
            <w:tcW w:w="818" w:type="dxa"/>
          </w:tcPr>
          <w:p>
            <w:pPr>
              <w:pStyle w:val="TableParagraph"/>
              <w:spacing w:before="83"/>
              <w:ind w:right="50"/>
              <w:jc w:val="right"/>
              <w:rPr>
                <w:sz w:val="20"/>
              </w:rPr>
            </w:pPr>
            <w:r>
              <w:rPr>
                <w:spacing w:val="-5"/>
                <w:sz w:val="20"/>
              </w:rPr>
              <w:t>64</w:t>
            </w:r>
          </w:p>
        </w:tc>
      </w:tr>
      <w:tr>
        <w:trPr>
          <w:trHeight w:val="422" w:hRule="atLeast"/>
        </w:trPr>
        <w:tc>
          <w:tcPr>
            <w:tcW w:w="6644" w:type="dxa"/>
          </w:tcPr>
          <w:p>
            <w:pPr>
              <w:pStyle w:val="TableParagraph"/>
              <w:spacing w:line="256" w:lineRule="exact" w:before="147"/>
              <w:ind w:left="50"/>
              <w:rPr>
                <w:b/>
                <w:i/>
                <w:sz w:val="24"/>
              </w:rPr>
            </w:pPr>
            <w:r>
              <w:rPr>
                <w:b/>
                <w:sz w:val="24"/>
              </w:rPr>
              <w:t>VIII.</w:t>
            </w:r>
            <w:r>
              <w:rPr>
                <w:b/>
                <w:spacing w:val="70"/>
                <w:sz w:val="24"/>
              </w:rPr>
              <w:t> </w:t>
            </w:r>
            <w:r>
              <w:rPr>
                <w:b/>
                <w:i/>
                <w:spacing w:val="-2"/>
                <w:sz w:val="24"/>
              </w:rPr>
              <w:t>Abrogated</w:t>
            </w:r>
          </w:p>
        </w:tc>
        <w:tc>
          <w:tcPr>
            <w:tcW w:w="1649" w:type="dxa"/>
          </w:tcPr>
          <w:p>
            <w:pPr>
              <w:pStyle w:val="TableParagraph"/>
              <w:spacing w:before="143"/>
              <w:ind w:right="209"/>
              <w:jc w:val="right"/>
              <w:rPr>
                <w:sz w:val="20"/>
              </w:rPr>
            </w:pPr>
            <w:r>
              <w:rPr>
                <w:sz w:val="20"/>
              </w:rPr>
              <w:t>Margin</w:t>
            </w:r>
            <w:r>
              <w:rPr>
                <w:spacing w:val="-11"/>
                <w:sz w:val="20"/>
              </w:rPr>
              <w:t> </w:t>
            </w:r>
            <w:r>
              <w:rPr>
                <w:spacing w:val="-5"/>
                <w:sz w:val="20"/>
              </w:rPr>
              <w:t>no.</w:t>
            </w:r>
          </w:p>
        </w:tc>
        <w:tc>
          <w:tcPr>
            <w:tcW w:w="818" w:type="dxa"/>
          </w:tcPr>
          <w:p>
            <w:pPr>
              <w:pStyle w:val="TableParagraph"/>
              <w:spacing w:before="143"/>
              <w:ind w:right="47"/>
              <w:jc w:val="right"/>
              <w:rPr>
                <w:sz w:val="20"/>
              </w:rPr>
            </w:pPr>
            <w:r>
              <w:rPr>
                <w:spacing w:val="-4"/>
                <w:sz w:val="20"/>
              </w:rPr>
              <w:t>65–67</w:t>
            </w:r>
          </w:p>
        </w:tc>
      </w:tr>
    </w:tbl>
    <w:p>
      <w:pPr>
        <w:pStyle w:val="TableParagraph"/>
        <w:spacing w:after="0"/>
        <w:jc w:val="right"/>
        <w:rPr>
          <w:sz w:val="20"/>
        </w:rPr>
        <w:sectPr>
          <w:footerReference w:type="default" r:id="rId7"/>
          <w:pgSz w:w="11900" w:h="16850"/>
          <w:pgMar w:header="0" w:footer="318" w:top="820" w:bottom="500" w:left="1559" w:right="850"/>
          <w:pgNumType w:start="2"/>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27"/>
        <w:rPr>
          <w:b/>
          <w:sz w:val="20"/>
        </w:rPr>
      </w:pPr>
    </w:p>
    <w:tbl>
      <w:tblPr>
        <w:tblW w:w="0" w:type="auto"/>
        <w:jc w:val="left"/>
        <w:tblInd w:w="2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561"/>
        <w:gridCol w:w="647"/>
      </w:tblGrid>
      <w:tr>
        <w:trPr>
          <w:trHeight w:val="405" w:hRule="atLeast"/>
        </w:trPr>
        <w:tc>
          <w:tcPr>
            <w:tcW w:w="8561" w:type="dxa"/>
          </w:tcPr>
          <w:p>
            <w:pPr>
              <w:pStyle w:val="TableParagraph"/>
              <w:tabs>
                <w:tab w:pos="616" w:val="left" w:leader="none"/>
              </w:tabs>
              <w:spacing w:line="268" w:lineRule="exact"/>
              <w:ind w:left="50"/>
              <w:rPr>
                <w:b/>
                <w:sz w:val="24"/>
              </w:rPr>
            </w:pPr>
            <w:r>
              <w:rPr>
                <w:b/>
                <w:spacing w:val="-5"/>
                <w:sz w:val="24"/>
              </w:rPr>
              <w:t>I.</w:t>
            </w:r>
            <w:r>
              <w:rPr>
                <w:b/>
                <w:sz w:val="24"/>
              </w:rPr>
              <w:tab/>
            </w:r>
            <w:r>
              <w:rPr>
                <w:b/>
                <w:spacing w:val="-2"/>
                <w:sz w:val="24"/>
              </w:rPr>
              <w:t>Purpose</w:t>
            </w:r>
          </w:p>
        </w:tc>
        <w:tc>
          <w:tcPr>
            <w:tcW w:w="647" w:type="dxa"/>
          </w:tcPr>
          <w:p>
            <w:pPr>
              <w:pStyle w:val="TableParagraph"/>
              <w:rPr>
                <w:rFonts w:ascii="Times New Roman"/>
                <w:sz w:val="20"/>
              </w:rPr>
            </w:pPr>
          </w:p>
        </w:tc>
      </w:tr>
      <w:tr>
        <w:trPr>
          <w:trHeight w:val="1541" w:hRule="atLeast"/>
        </w:trPr>
        <w:tc>
          <w:tcPr>
            <w:tcW w:w="8561" w:type="dxa"/>
          </w:tcPr>
          <w:p>
            <w:pPr>
              <w:pStyle w:val="TableParagraph"/>
              <w:spacing w:line="273" w:lineRule="auto" w:before="130"/>
              <w:ind w:left="50" w:right="414"/>
              <w:jc w:val="both"/>
              <w:rPr>
                <w:sz w:val="20"/>
              </w:rPr>
            </w:pPr>
            <w:r>
              <w:rPr>
                <w:sz w:val="20"/>
              </w:rPr>
              <w:t>The Financial Market Infrastructure Act (FMIA, SR 958.1) ensures transparency and the proper functioning of securities markets and equality in the treatment of investors. To this end, Chapter 5 of Title 3 FMIA sets out market conduct that is not permissible under supervisory law by prohibiting the misuse of insider information as well as market </w:t>
            </w:r>
            <w:r>
              <w:rPr>
                <w:spacing w:val="-2"/>
                <w:sz w:val="20"/>
              </w:rPr>
              <w:t>manipulation.</w:t>
            </w:r>
          </w:p>
        </w:tc>
        <w:tc>
          <w:tcPr>
            <w:tcW w:w="647" w:type="dxa"/>
          </w:tcPr>
          <w:p>
            <w:pPr>
              <w:pStyle w:val="TableParagraph"/>
              <w:spacing w:before="132"/>
              <w:ind w:right="48"/>
              <w:jc w:val="right"/>
              <w:rPr>
                <w:sz w:val="20"/>
              </w:rPr>
            </w:pPr>
            <w:r>
              <w:rPr>
                <w:spacing w:val="-10"/>
                <w:sz w:val="20"/>
              </w:rPr>
              <w:t>1</w:t>
            </w:r>
          </w:p>
        </w:tc>
      </w:tr>
      <w:tr>
        <w:trPr>
          <w:trHeight w:val="1906" w:hRule="atLeast"/>
        </w:trPr>
        <w:tc>
          <w:tcPr>
            <w:tcW w:w="8561" w:type="dxa"/>
          </w:tcPr>
          <w:p>
            <w:pPr>
              <w:pStyle w:val="TableParagraph"/>
              <w:spacing w:line="271" w:lineRule="auto" w:before="130"/>
              <w:ind w:left="50" w:right="406"/>
              <w:jc w:val="both"/>
              <w:rPr>
                <w:sz w:val="20"/>
              </w:rPr>
            </w:pPr>
            <w:r>
              <w:rPr>
                <w:sz w:val="20"/>
              </w:rPr>
              <w:t>This</w:t>
            </w:r>
            <w:r>
              <w:rPr>
                <w:spacing w:val="-12"/>
                <w:sz w:val="20"/>
              </w:rPr>
              <w:t> </w:t>
            </w:r>
            <w:r>
              <w:rPr>
                <w:sz w:val="20"/>
              </w:rPr>
              <w:t>Circular</w:t>
            </w:r>
            <w:r>
              <w:rPr>
                <w:spacing w:val="-13"/>
                <w:sz w:val="20"/>
              </w:rPr>
              <w:t> </w:t>
            </w:r>
            <w:r>
              <w:rPr>
                <w:sz w:val="20"/>
              </w:rPr>
              <w:t>sets</w:t>
            </w:r>
            <w:r>
              <w:rPr>
                <w:spacing w:val="-13"/>
                <w:sz w:val="20"/>
              </w:rPr>
              <w:t> </w:t>
            </w:r>
            <w:r>
              <w:rPr>
                <w:sz w:val="20"/>
              </w:rPr>
              <w:t>out</w:t>
            </w:r>
            <w:r>
              <w:rPr>
                <w:spacing w:val="-14"/>
                <w:sz w:val="20"/>
              </w:rPr>
              <w:t> </w:t>
            </w:r>
            <w:r>
              <w:rPr>
                <w:sz w:val="20"/>
              </w:rPr>
              <w:t>details</w:t>
            </w:r>
            <w:r>
              <w:rPr>
                <w:spacing w:val="-12"/>
                <w:sz w:val="20"/>
              </w:rPr>
              <w:t> </w:t>
            </w:r>
            <w:r>
              <w:rPr>
                <w:sz w:val="20"/>
              </w:rPr>
              <w:t>about</w:t>
            </w:r>
            <w:r>
              <w:rPr>
                <w:spacing w:val="-11"/>
                <w:sz w:val="20"/>
              </w:rPr>
              <w:t> </w:t>
            </w:r>
            <w:r>
              <w:rPr>
                <w:sz w:val="20"/>
              </w:rPr>
              <w:t>market</w:t>
            </w:r>
            <w:r>
              <w:rPr>
                <w:spacing w:val="-12"/>
                <w:sz w:val="20"/>
              </w:rPr>
              <w:t> </w:t>
            </w:r>
            <w:r>
              <w:rPr>
                <w:sz w:val="20"/>
              </w:rPr>
              <w:t>conduct</w:t>
            </w:r>
            <w:r>
              <w:rPr>
                <w:spacing w:val="-14"/>
                <w:sz w:val="20"/>
              </w:rPr>
              <w:t> </w:t>
            </w:r>
            <w:r>
              <w:rPr>
                <w:sz w:val="20"/>
              </w:rPr>
              <w:t>prohibited</w:t>
            </w:r>
            <w:r>
              <w:rPr>
                <w:spacing w:val="-14"/>
                <w:sz w:val="20"/>
              </w:rPr>
              <w:t> </w:t>
            </w:r>
            <w:r>
              <w:rPr>
                <w:sz w:val="20"/>
              </w:rPr>
              <w:t>under</w:t>
            </w:r>
            <w:r>
              <w:rPr>
                <w:spacing w:val="-13"/>
                <w:sz w:val="20"/>
              </w:rPr>
              <w:t> </w:t>
            </w:r>
            <w:r>
              <w:rPr>
                <w:sz w:val="20"/>
              </w:rPr>
              <w:t>FMIA</w:t>
            </w:r>
            <w:r>
              <w:rPr>
                <w:spacing w:val="-14"/>
                <w:sz w:val="20"/>
              </w:rPr>
              <w:t> </w:t>
            </w:r>
            <w:r>
              <w:rPr>
                <w:sz w:val="20"/>
              </w:rPr>
              <w:t>(Arts.</w:t>
            </w:r>
            <w:r>
              <w:rPr>
                <w:spacing w:val="4"/>
                <w:sz w:val="20"/>
              </w:rPr>
              <w:t> </w:t>
            </w:r>
            <w:r>
              <w:rPr>
                <w:sz w:val="20"/>
              </w:rPr>
              <w:t>142</w:t>
            </w:r>
            <w:r>
              <w:rPr>
                <w:spacing w:val="-14"/>
                <w:sz w:val="20"/>
              </w:rPr>
              <w:t> </w:t>
            </w:r>
            <w:r>
              <w:rPr>
                <w:sz w:val="20"/>
              </w:rPr>
              <w:t>and</w:t>
            </w:r>
            <w:r>
              <w:rPr>
                <w:spacing w:val="-14"/>
                <w:sz w:val="20"/>
              </w:rPr>
              <w:t> </w:t>
            </w:r>
            <w:r>
              <w:rPr>
                <w:sz w:val="20"/>
              </w:rPr>
              <w:t>143 FMIA)</w:t>
            </w:r>
            <w:r>
              <w:rPr>
                <w:spacing w:val="-6"/>
                <w:sz w:val="20"/>
              </w:rPr>
              <w:t> </w:t>
            </w:r>
            <w:r>
              <w:rPr>
                <w:sz w:val="20"/>
              </w:rPr>
              <w:t>and</w:t>
            </w:r>
            <w:r>
              <w:rPr>
                <w:spacing w:val="-5"/>
                <w:sz w:val="20"/>
              </w:rPr>
              <w:t> </w:t>
            </w:r>
            <w:r>
              <w:rPr>
                <w:sz w:val="20"/>
              </w:rPr>
              <w:t>Articles</w:t>
            </w:r>
            <w:r>
              <w:rPr>
                <w:spacing w:val="-6"/>
                <w:sz w:val="20"/>
              </w:rPr>
              <w:t> </w:t>
            </w:r>
            <w:r>
              <w:rPr>
                <w:sz w:val="20"/>
              </w:rPr>
              <w:t>122-128</w:t>
            </w:r>
            <w:r>
              <w:rPr>
                <w:spacing w:val="-5"/>
                <w:sz w:val="20"/>
              </w:rPr>
              <w:t> </w:t>
            </w:r>
            <w:r>
              <w:rPr>
                <w:sz w:val="20"/>
              </w:rPr>
              <w:t>of</w:t>
            </w:r>
            <w:r>
              <w:rPr>
                <w:spacing w:val="-7"/>
                <w:sz w:val="20"/>
              </w:rPr>
              <w:t> </w:t>
            </w:r>
            <w:r>
              <w:rPr>
                <w:sz w:val="20"/>
              </w:rPr>
              <w:t>the</w:t>
            </w:r>
            <w:r>
              <w:rPr>
                <w:spacing w:val="-7"/>
                <w:sz w:val="20"/>
              </w:rPr>
              <w:t> </w:t>
            </w:r>
            <w:r>
              <w:rPr>
                <w:sz w:val="20"/>
              </w:rPr>
              <w:t>Financial</w:t>
            </w:r>
            <w:r>
              <w:rPr>
                <w:spacing w:val="-5"/>
                <w:sz w:val="20"/>
              </w:rPr>
              <w:t> </w:t>
            </w:r>
            <w:r>
              <w:rPr>
                <w:sz w:val="20"/>
              </w:rPr>
              <w:t>Market</w:t>
            </w:r>
            <w:r>
              <w:rPr>
                <w:spacing w:val="-7"/>
                <w:sz w:val="20"/>
              </w:rPr>
              <w:t> </w:t>
            </w:r>
            <w:r>
              <w:rPr>
                <w:sz w:val="20"/>
              </w:rPr>
              <w:t>Infrastructure</w:t>
            </w:r>
            <w:r>
              <w:rPr>
                <w:spacing w:val="-6"/>
                <w:sz w:val="20"/>
              </w:rPr>
              <w:t> </w:t>
            </w:r>
            <w:r>
              <w:rPr>
                <w:sz w:val="20"/>
              </w:rPr>
              <w:t>(FMIO;</w:t>
            </w:r>
            <w:r>
              <w:rPr>
                <w:spacing w:val="-4"/>
                <w:sz w:val="20"/>
              </w:rPr>
              <w:t> </w:t>
            </w:r>
            <w:r>
              <w:rPr>
                <w:sz w:val="20"/>
              </w:rPr>
              <w:t>SR</w:t>
            </w:r>
            <w:r>
              <w:rPr>
                <w:spacing w:val="-6"/>
                <w:sz w:val="20"/>
              </w:rPr>
              <w:t> </w:t>
            </w:r>
            <w:r>
              <w:rPr>
                <w:sz w:val="20"/>
              </w:rPr>
              <w:t>958.11).</w:t>
            </w:r>
            <w:r>
              <w:rPr>
                <w:spacing w:val="-6"/>
                <w:sz w:val="20"/>
              </w:rPr>
              <w:t> </w:t>
            </w:r>
            <w:r>
              <w:rPr>
                <w:sz w:val="20"/>
              </w:rPr>
              <w:t>It</w:t>
            </w:r>
            <w:r>
              <w:rPr>
                <w:spacing w:val="-7"/>
                <w:sz w:val="20"/>
              </w:rPr>
              <w:t> </w:t>
            </w:r>
            <w:r>
              <w:rPr>
                <w:sz w:val="20"/>
              </w:rPr>
              <w:t>also specifies</w:t>
            </w:r>
            <w:r>
              <w:rPr>
                <w:spacing w:val="-7"/>
                <w:sz w:val="20"/>
              </w:rPr>
              <w:t> </w:t>
            </w:r>
            <w:r>
              <w:rPr>
                <w:sz w:val="20"/>
              </w:rPr>
              <w:t>the</w:t>
            </w:r>
            <w:r>
              <w:rPr>
                <w:spacing w:val="-8"/>
                <w:sz w:val="20"/>
              </w:rPr>
              <w:t> </w:t>
            </w:r>
            <w:r>
              <w:rPr>
                <w:sz w:val="20"/>
              </w:rPr>
              <w:t>requirement</w:t>
            </w:r>
            <w:r>
              <w:rPr>
                <w:spacing w:val="-7"/>
                <w:sz w:val="20"/>
              </w:rPr>
              <w:t> </w:t>
            </w:r>
            <w:r>
              <w:rPr>
                <w:sz w:val="20"/>
              </w:rPr>
              <w:t>for</w:t>
            </w:r>
            <w:r>
              <w:rPr>
                <w:spacing w:val="-7"/>
                <w:sz w:val="20"/>
              </w:rPr>
              <w:t> </w:t>
            </w:r>
            <w:r>
              <w:rPr>
                <w:sz w:val="20"/>
              </w:rPr>
              <w:t>assurance</w:t>
            </w:r>
            <w:r>
              <w:rPr>
                <w:spacing w:val="-8"/>
                <w:sz w:val="20"/>
              </w:rPr>
              <w:t> </w:t>
            </w:r>
            <w:r>
              <w:rPr>
                <w:sz w:val="20"/>
              </w:rPr>
              <w:t>of</w:t>
            </w:r>
            <w:r>
              <w:rPr>
                <w:spacing w:val="-8"/>
                <w:sz w:val="20"/>
              </w:rPr>
              <w:t> </w:t>
            </w:r>
            <w:r>
              <w:rPr>
                <w:sz w:val="20"/>
              </w:rPr>
              <w:t>proper</w:t>
            </w:r>
            <w:r>
              <w:rPr>
                <w:spacing w:val="-7"/>
                <w:sz w:val="20"/>
              </w:rPr>
              <w:t> </w:t>
            </w:r>
            <w:r>
              <w:rPr>
                <w:sz w:val="20"/>
              </w:rPr>
              <w:t>business</w:t>
            </w:r>
            <w:r>
              <w:rPr>
                <w:spacing w:val="-6"/>
                <w:sz w:val="20"/>
              </w:rPr>
              <w:t> </w:t>
            </w:r>
            <w:r>
              <w:rPr>
                <w:sz w:val="20"/>
              </w:rPr>
              <w:t>conduct</w:t>
            </w:r>
            <w:r>
              <w:rPr>
                <w:spacing w:val="-7"/>
                <w:sz w:val="20"/>
              </w:rPr>
              <w:t> </w:t>
            </w:r>
            <w:r>
              <w:rPr>
                <w:sz w:val="20"/>
              </w:rPr>
              <w:t>in</w:t>
            </w:r>
            <w:r>
              <w:rPr>
                <w:spacing w:val="-3"/>
                <w:sz w:val="20"/>
              </w:rPr>
              <w:t> </w:t>
            </w:r>
            <w:r>
              <w:rPr>
                <w:sz w:val="20"/>
              </w:rPr>
              <w:t>the</w:t>
            </w:r>
            <w:r>
              <w:rPr>
                <w:spacing w:val="-8"/>
                <w:sz w:val="20"/>
              </w:rPr>
              <w:t> </w:t>
            </w:r>
            <w:r>
              <w:rPr>
                <w:sz w:val="20"/>
              </w:rPr>
              <w:t>specific</w:t>
            </w:r>
            <w:r>
              <w:rPr>
                <w:spacing w:val="-5"/>
                <w:sz w:val="20"/>
              </w:rPr>
              <w:t> </w:t>
            </w:r>
            <w:r>
              <w:rPr>
                <w:sz w:val="20"/>
              </w:rPr>
              <w:t>context</w:t>
            </w:r>
            <w:r>
              <w:rPr>
                <w:spacing w:val="-7"/>
                <w:sz w:val="20"/>
              </w:rPr>
              <w:t> </w:t>
            </w:r>
            <w:r>
              <w:rPr>
                <w:sz w:val="20"/>
              </w:rPr>
              <w:t>of market conduct and establishes organisational requirements for supervised institutions. Compliance</w:t>
            </w:r>
            <w:r>
              <w:rPr>
                <w:spacing w:val="-2"/>
                <w:sz w:val="20"/>
              </w:rPr>
              <w:t> </w:t>
            </w:r>
            <w:r>
              <w:rPr>
                <w:sz w:val="20"/>
              </w:rPr>
              <w:t>with</w:t>
            </w:r>
            <w:r>
              <w:rPr>
                <w:spacing w:val="-4"/>
                <w:sz w:val="20"/>
              </w:rPr>
              <w:t> </w:t>
            </w:r>
            <w:r>
              <w:rPr>
                <w:sz w:val="20"/>
              </w:rPr>
              <w:t>these</w:t>
            </w:r>
            <w:r>
              <w:rPr>
                <w:spacing w:val="-2"/>
                <w:sz w:val="20"/>
              </w:rPr>
              <w:t> </w:t>
            </w:r>
            <w:r>
              <w:rPr>
                <w:sz w:val="20"/>
              </w:rPr>
              <w:t>rules</w:t>
            </w:r>
            <w:r>
              <w:rPr>
                <w:spacing w:val="-3"/>
                <w:sz w:val="20"/>
              </w:rPr>
              <w:t> </w:t>
            </w:r>
            <w:r>
              <w:rPr>
                <w:sz w:val="20"/>
              </w:rPr>
              <w:t>should</w:t>
            </w:r>
            <w:r>
              <w:rPr>
                <w:spacing w:val="-2"/>
                <w:sz w:val="20"/>
              </w:rPr>
              <w:t> </w:t>
            </w:r>
            <w:r>
              <w:rPr>
                <w:sz w:val="20"/>
              </w:rPr>
              <w:t>ensure</w:t>
            </w:r>
            <w:r>
              <w:rPr>
                <w:spacing w:val="-1"/>
                <w:sz w:val="20"/>
              </w:rPr>
              <w:t> </w:t>
            </w:r>
            <w:r>
              <w:rPr>
                <w:sz w:val="20"/>
              </w:rPr>
              <w:t>that</w:t>
            </w:r>
            <w:r>
              <w:rPr>
                <w:spacing w:val="-4"/>
                <w:sz w:val="20"/>
              </w:rPr>
              <w:t> </w:t>
            </w:r>
            <w:r>
              <w:rPr>
                <w:sz w:val="20"/>
              </w:rPr>
              <w:t>prohibited</w:t>
            </w:r>
            <w:r>
              <w:rPr>
                <w:spacing w:val="-2"/>
                <w:sz w:val="20"/>
              </w:rPr>
              <w:t> </w:t>
            </w:r>
            <w:r>
              <w:rPr>
                <w:sz w:val="20"/>
              </w:rPr>
              <w:t>market</w:t>
            </w:r>
            <w:r>
              <w:rPr>
                <w:spacing w:val="-4"/>
                <w:sz w:val="20"/>
              </w:rPr>
              <w:t> </w:t>
            </w:r>
            <w:r>
              <w:rPr>
                <w:sz w:val="20"/>
              </w:rPr>
              <w:t>conduct</w:t>
            </w:r>
            <w:r>
              <w:rPr>
                <w:spacing w:val="-2"/>
                <w:sz w:val="20"/>
              </w:rPr>
              <w:t> </w:t>
            </w:r>
            <w:r>
              <w:rPr>
                <w:sz w:val="20"/>
              </w:rPr>
              <w:t>is</w:t>
            </w:r>
            <w:r>
              <w:rPr>
                <w:spacing w:val="-3"/>
                <w:sz w:val="20"/>
              </w:rPr>
              <w:t> </w:t>
            </w:r>
            <w:r>
              <w:rPr>
                <w:sz w:val="20"/>
              </w:rPr>
              <w:t>prevented</w:t>
            </w:r>
            <w:r>
              <w:rPr>
                <w:spacing w:val="-4"/>
                <w:sz w:val="20"/>
              </w:rPr>
              <w:t> </w:t>
            </w:r>
            <w:r>
              <w:rPr>
                <w:sz w:val="20"/>
              </w:rPr>
              <w:t>and </w:t>
            </w:r>
            <w:r>
              <w:rPr>
                <w:spacing w:val="-2"/>
                <w:sz w:val="20"/>
              </w:rPr>
              <w:t>identified.</w:t>
            </w:r>
          </w:p>
        </w:tc>
        <w:tc>
          <w:tcPr>
            <w:tcW w:w="647" w:type="dxa"/>
          </w:tcPr>
          <w:p>
            <w:pPr>
              <w:pStyle w:val="TableParagraph"/>
              <w:spacing w:before="132"/>
              <w:ind w:right="48"/>
              <w:jc w:val="right"/>
              <w:rPr>
                <w:sz w:val="20"/>
              </w:rPr>
            </w:pPr>
            <w:r>
              <w:rPr>
                <w:spacing w:val="-10"/>
                <w:sz w:val="20"/>
              </w:rPr>
              <w:t>2</w:t>
            </w:r>
          </w:p>
        </w:tc>
      </w:tr>
      <w:tr>
        <w:trPr>
          <w:trHeight w:val="649" w:hRule="atLeast"/>
        </w:trPr>
        <w:tc>
          <w:tcPr>
            <w:tcW w:w="8561" w:type="dxa"/>
          </w:tcPr>
          <w:p>
            <w:pPr>
              <w:pStyle w:val="TableParagraph"/>
              <w:tabs>
                <w:tab w:pos="616" w:val="left" w:leader="none"/>
              </w:tabs>
              <w:spacing w:before="235"/>
              <w:ind w:left="50"/>
              <w:rPr>
                <w:b/>
                <w:sz w:val="24"/>
              </w:rPr>
            </w:pPr>
            <w:r>
              <w:rPr>
                <w:b/>
                <w:spacing w:val="-5"/>
                <w:sz w:val="24"/>
              </w:rPr>
              <w:t>II.</w:t>
            </w:r>
            <w:r>
              <w:rPr>
                <w:b/>
                <w:sz w:val="24"/>
              </w:rPr>
              <w:tab/>
              <w:t>Scope</w:t>
            </w:r>
            <w:r>
              <w:rPr>
                <w:b/>
                <w:spacing w:val="-1"/>
                <w:sz w:val="24"/>
              </w:rPr>
              <w:t> </w:t>
            </w:r>
            <w:r>
              <w:rPr>
                <w:b/>
                <w:sz w:val="24"/>
              </w:rPr>
              <w:t>of</w:t>
            </w:r>
            <w:r>
              <w:rPr>
                <w:b/>
                <w:spacing w:val="-2"/>
                <w:sz w:val="24"/>
              </w:rPr>
              <w:t> application</w:t>
            </w:r>
          </w:p>
        </w:tc>
        <w:tc>
          <w:tcPr>
            <w:tcW w:w="647" w:type="dxa"/>
          </w:tcPr>
          <w:p>
            <w:pPr>
              <w:pStyle w:val="TableParagraph"/>
              <w:rPr>
                <w:rFonts w:ascii="Times New Roman"/>
                <w:sz w:val="20"/>
              </w:rPr>
            </w:pPr>
          </w:p>
        </w:tc>
      </w:tr>
      <w:tr>
        <w:trPr>
          <w:trHeight w:val="760" w:hRule="atLeast"/>
        </w:trPr>
        <w:tc>
          <w:tcPr>
            <w:tcW w:w="8561" w:type="dxa"/>
          </w:tcPr>
          <w:p>
            <w:pPr>
              <w:pStyle w:val="TableParagraph"/>
              <w:spacing w:line="273" w:lineRule="auto" w:before="130"/>
              <w:ind w:left="50"/>
              <w:rPr>
                <w:sz w:val="20"/>
              </w:rPr>
            </w:pPr>
            <w:r>
              <w:rPr>
                <w:sz w:val="20"/>
              </w:rPr>
              <w:t>Sections</w:t>
            </w:r>
            <w:r>
              <w:rPr>
                <w:spacing w:val="32"/>
                <w:sz w:val="20"/>
              </w:rPr>
              <w:t> </w:t>
            </w:r>
            <w:r>
              <w:rPr>
                <w:sz w:val="20"/>
              </w:rPr>
              <w:t>III-V</w:t>
            </w:r>
            <w:r>
              <w:rPr>
                <w:spacing w:val="33"/>
                <w:sz w:val="20"/>
              </w:rPr>
              <w:t> </w:t>
            </w:r>
            <w:r>
              <w:rPr>
                <w:sz w:val="20"/>
              </w:rPr>
              <w:t>of</w:t>
            </w:r>
            <w:r>
              <w:rPr>
                <w:spacing w:val="31"/>
                <w:sz w:val="20"/>
              </w:rPr>
              <w:t> </w:t>
            </w:r>
            <w:r>
              <w:rPr>
                <w:sz w:val="20"/>
              </w:rPr>
              <w:t>this</w:t>
            </w:r>
            <w:r>
              <w:rPr>
                <w:spacing w:val="32"/>
                <w:sz w:val="20"/>
              </w:rPr>
              <w:t> </w:t>
            </w:r>
            <w:r>
              <w:rPr>
                <w:sz w:val="20"/>
              </w:rPr>
              <w:t>Circular</w:t>
            </w:r>
            <w:r>
              <w:rPr>
                <w:spacing w:val="32"/>
                <w:sz w:val="20"/>
              </w:rPr>
              <w:t> </w:t>
            </w:r>
            <w:r>
              <w:rPr>
                <w:sz w:val="20"/>
              </w:rPr>
              <w:t>apply</w:t>
            </w:r>
            <w:r>
              <w:rPr>
                <w:spacing w:val="32"/>
                <w:sz w:val="20"/>
              </w:rPr>
              <w:t> </w:t>
            </w:r>
            <w:r>
              <w:rPr>
                <w:sz w:val="20"/>
              </w:rPr>
              <w:t>to</w:t>
            </w:r>
            <w:r>
              <w:rPr>
                <w:spacing w:val="33"/>
                <w:sz w:val="20"/>
              </w:rPr>
              <w:t> </w:t>
            </w:r>
            <w:r>
              <w:rPr>
                <w:sz w:val="20"/>
              </w:rPr>
              <w:t>all</w:t>
            </w:r>
            <w:r>
              <w:rPr>
                <w:spacing w:val="30"/>
                <w:sz w:val="20"/>
              </w:rPr>
              <w:t> </w:t>
            </w:r>
            <w:r>
              <w:rPr>
                <w:sz w:val="20"/>
              </w:rPr>
              <w:t>individuals</w:t>
            </w:r>
            <w:r>
              <w:rPr>
                <w:spacing w:val="35"/>
                <w:sz w:val="20"/>
              </w:rPr>
              <w:t> </w:t>
            </w:r>
            <w:r>
              <w:rPr>
                <w:sz w:val="20"/>
              </w:rPr>
              <w:t>and</w:t>
            </w:r>
            <w:r>
              <w:rPr>
                <w:spacing w:val="33"/>
                <w:sz w:val="20"/>
              </w:rPr>
              <w:t> </w:t>
            </w:r>
            <w:r>
              <w:rPr>
                <w:sz w:val="20"/>
              </w:rPr>
              <w:t>legal</w:t>
            </w:r>
            <w:r>
              <w:rPr>
                <w:spacing w:val="32"/>
                <w:sz w:val="20"/>
              </w:rPr>
              <w:t> </w:t>
            </w:r>
            <w:r>
              <w:rPr>
                <w:sz w:val="20"/>
              </w:rPr>
              <w:t>entities</w:t>
            </w:r>
            <w:r>
              <w:rPr>
                <w:spacing w:val="32"/>
                <w:sz w:val="20"/>
              </w:rPr>
              <w:t> </w:t>
            </w:r>
            <w:r>
              <w:rPr>
                <w:sz w:val="20"/>
              </w:rPr>
              <w:t>acting</w:t>
            </w:r>
            <w:r>
              <w:rPr>
                <w:spacing w:val="33"/>
                <w:sz w:val="20"/>
              </w:rPr>
              <w:t> </w:t>
            </w:r>
            <w:r>
              <w:rPr>
                <w:sz w:val="20"/>
              </w:rPr>
              <w:t>as</w:t>
            </w:r>
            <w:r>
              <w:rPr>
                <w:spacing w:val="32"/>
                <w:sz w:val="20"/>
              </w:rPr>
              <w:t> </w:t>
            </w:r>
            <w:r>
              <w:rPr>
                <w:sz w:val="20"/>
              </w:rPr>
              <w:t>market participants in connection with securities admitted to trading on Swiss trading venues.</w:t>
            </w:r>
          </w:p>
        </w:tc>
        <w:tc>
          <w:tcPr>
            <w:tcW w:w="647" w:type="dxa"/>
          </w:tcPr>
          <w:p>
            <w:pPr>
              <w:pStyle w:val="TableParagraph"/>
              <w:spacing w:before="132"/>
              <w:ind w:right="50"/>
              <w:jc w:val="right"/>
              <w:rPr>
                <w:sz w:val="20"/>
              </w:rPr>
            </w:pPr>
            <w:r>
              <w:rPr>
                <w:spacing w:val="-5"/>
                <w:sz w:val="20"/>
              </w:rPr>
              <w:t>3*</w:t>
            </w:r>
          </w:p>
        </w:tc>
      </w:tr>
      <w:tr>
        <w:trPr>
          <w:trHeight w:val="1539" w:hRule="atLeast"/>
        </w:trPr>
        <w:tc>
          <w:tcPr>
            <w:tcW w:w="8561" w:type="dxa"/>
          </w:tcPr>
          <w:p>
            <w:pPr>
              <w:pStyle w:val="TableParagraph"/>
              <w:spacing w:line="271" w:lineRule="auto" w:before="131"/>
              <w:ind w:left="50" w:right="404"/>
              <w:jc w:val="both"/>
              <w:rPr>
                <w:sz w:val="20"/>
              </w:rPr>
            </w:pPr>
            <w:r>
              <w:rPr>
                <w:sz w:val="20"/>
              </w:rPr>
              <w:t>Sections</w:t>
            </w:r>
            <w:r>
              <w:rPr>
                <w:spacing w:val="-12"/>
                <w:sz w:val="20"/>
              </w:rPr>
              <w:t> </w:t>
            </w:r>
            <w:r>
              <w:rPr>
                <w:sz w:val="20"/>
              </w:rPr>
              <w:t>VI</w:t>
            </w:r>
            <w:r>
              <w:rPr>
                <w:spacing w:val="-14"/>
                <w:sz w:val="20"/>
              </w:rPr>
              <w:t> </w:t>
            </w:r>
            <w:r>
              <w:rPr>
                <w:sz w:val="20"/>
              </w:rPr>
              <w:t>(Market</w:t>
            </w:r>
            <w:r>
              <w:rPr>
                <w:spacing w:val="-12"/>
                <w:sz w:val="20"/>
              </w:rPr>
              <w:t> </w:t>
            </w:r>
            <w:r>
              <w:rPr>
                <w:sz w:val="20"/>
              </w:rPr>
              <w:t>abuse</w:t>
            </w:r>
            <w:r>
              <w:rPr>
                <w:spacing w:val="-9"/>
                <w:sz w:val="20"/>
              </w:rPr>
              <w:t> </w:t>
            </w:r>
            <w:r>
              <w:rPr>
                <w:sz w:val="20"/>
              </w:rPr>
              <w:t>on</w:t>
            </w:r>
            <w:r>
              <w:rPr>
                <w:spacing w:val="-14"/>
                <w:sz w:val="20"/>
              </w:rPr>
              <w:t> </w:t>
            </w:r>
            <w:r>
              <w:rPr>
                <w:sz w:val="20"/>
              </w:rPr>
              <w:t>the</w:t>
            </w:r>
            <w:r>
              <w:rPr>
                <w:spacing w:val="-14"/>
                <w:sz w:val="20"/>
              </w:rPr>
              <w:t> </w:t>
            </w:r>
            <w:r>
              <w:rPr>
                <w:sz w:val="20"/>
              </w:rPr>
              <w:t>primary</w:t>
            </w:r>
            <w:r>
              <w:rPr>
                <w:spacing w:val="-12"/>
                <w:sz w:val="20"/>
              </w:rPr>
              <w:t> </w:t>
            </w:r>
            <w:r>
              <w:rPr>
                <w:sz w:val="20"/>
              </w:rPr>
              <w:t>market,</w:t>
            </w:r>
            <w:r>
              <w:rPr>
                <w:spacing w:val="-14"/>
                <w:sz w:val="20"/>
              </w:rPr>
              <w:t> </w:t>
            </w:r>
            <w:r>
              <w:rPr>
                <w:sz w:val="20"/>
              </w:rPr>
              <w:t>with</w:t>
            </w:r>
            <w:r>
              <w:rPr>
                <w:spacing w:val="-12"/>
                <w:sz w:val="20"/>
              </w:rPr>
              <w:t> </w:t>
            </w:r>
            <w:r>
              <w:rPr>
                <w:sz w:val="20"/>
              </w:rPr>
              <w:t>foreign</w:t>
            </w:r>
            <w:r>
              <w:rPr>
                <w:spacing w:val="-14"/>
                <w:sz w:val="20"/>
              </w:rPr>
              <w:t> </w:t>
            </w:r>
            <w:r>
              <w:rPr>
                <w:sz w:val="20"/>
              </w:rPr>
              <w:t>securities</w:t>
            </w:r>
            <w:r>
              <w:rPr>
                <w:spacing w:val="-10"/>
                <w:sz w:val="20"/>
              </w:rPr>
              <w:t> </w:t>
            </w:r>
            <w:r>
              <w:rPr>
                <w:sz w:val="20"/>
              </w:rPr>
              <w:t>or</w:t>
            </w:r>
            <w:r>
              <w:rPr>
                <w:spacing w:val="-13"/>
                <w:sz w:val="20"/>
              </w:rPr>
              <w:t> </w:t>
            </w:r>
            <w:r>
              <w:rPr>
                <w:sz w:val="20"/>
              </w:rPr>
              <w:t>on</w:t>
            </w:r>
            <w:r>
              <w:rPr>
                <w:spacing w:val="-12"/>
                <w:sz w:val="20"/>
              </w:rPr>
              <w:t> </w:t>
            </w:r>
            <w:r>
              <w:rPr>
                <w:sz w:val="20"/>
              </w:rPr>
              <w:t>other</w:t>
            </w:r>
            <w:r>
              <w:rPr>
                <w:spacing w:val="-13"/>
                <w:sz w:val="20"/>
              </w:rPr>
              <w:t> </w:t>
            </w:r>
            <w:r>
              <w:rPr>
                <w:sz w:val="20"/>
              </w:rPr>
              <w:t>markets) and VII (Organisational requirements) of this Circular apply to the following institutions supervised by FINMA: banks, insurance companies, trading venues, securities firms, fund management companies, SICAVs, limited partnerships for collective investment, SICAFs, custodian banks and managers of collective assets, portfolio managers and trustees.</w:t>
            </w:r>
          </w:p>
        </w:tc>
        <w:tc>
          <w:tcPr>
            <w:tcW w:w="647" w:type="dxa"/>
          </w:tcPr>
          <w:p>
            <w:pPr>
              <w:pStyle w:val="TableParagraph"/>
              <w:spacing w:before="133"/>
              <w:ind w:right="50"/>
              <w:jc w:val="right"/>
              <w:rPr>
                <w:sz w:val="20"/>
              </w:rPr>
            </w:pPr>
            <w:r>
              <w:rPr>
                <w:spacing w:val="-5"/>
                <w:sz w:val="20"/>
              </w:rPr>
              <w:t>4*</w:t>
            </w:r>
          </w:p>
        </w:tc>
      </w:tr>
      <w:tr>
        <w:trPr>
          <w:trHeight w:val="1801" w:hRule="atLeast"/>
        </w:trPr>
        <w:tc>
          <w:tcPr>
            <w:tcW w:w="8561" w:type="dxa"/>
          </w:tcPr>
          <w:p>
            <w:pPr>
              <w:pStyle w:val="TableParagraph"/>
              <w:spacing w:line="271" w:lineRule="auto" w:before="130"/>
              <w:ind w:left="50" w:right="413"/>
              <w:jc w:val="both"/>
              <w:rPr>
                <w:sz w:val="20"/>
              </w:rPr>
            </w:pPr>
            <w:r>
              <w:rPr>
                <w:sz w:val="20"/>
              </w:rPr>
              <w:t>With regard to financial groups and conglomerates as well as insurance groups and conglomerates, sections VI (Market abuse on the primary market, with foreign securities or on other markets) and VII (Organisational requirements) of this Circular apply to parent institutions domiciled in Switzerland as well as to other domiciled institutions of a group or conglomerate in Switzerland where FINMA has declared itself responsible for supervising the group or conglomerate.</w:t>
            </w:r>
          </w:p>
        </w:tc>
        <w:tc>
          <w:tcPr>
            <w:tcW w:w="647" w:type="dxa"/>
          </w:tcPr>
          <w:p>
            <w:pPr>
              <w:pStyle w:val="TableParagraph"/>
              <w:spacing w:before="132"/>
              <w:ind w:right="48"/>
              <w:jc w:val="right"/>
              <w:rPr>
                <w:sz w:val="20"/>
              </w:rPr>
            </w:pPr>
            <w:r>
              <w:rPr>
                <w:spacing w:val="-10"/>
                <w:sz w:val="20"/>
              </w:rPr>
              <w:t>5</w:t>
            </w:r>
          </w:p>
        </w:tc>
      </w:tr>
      <w:tr>
        <w:trPr>
          <w:trHeight w:val="499" w:hRule="atLeast"/>
        </w:trPr>
        <w:tc>
          <w:tcPr>
            <w:tcW w:w="8561" w:type="dxa"/>
          </w:tcPr>
          <w:p>
            <w:pPr>
              <w:pStyle w:val="TableParagraph"/>
              <w:spacing w:before="131"/>
              <w:ind w:left="50"/>
              <w:rPr>
                <w:sz w:val="20"/>
              </w:rPr>
            </w:pPr>
            <w:r>
              <w:rPr>
                <w:spacing w:val="-2"/>
                <w:sz w:val="20"/>
              </w:rPr>
              <w:t>Abrogated</w:t>
            </w:r>
          </w:p>
        </w:tc>
        <w:tc>
          <w:tcPr>
            <w:tcW w:w="647" w:type="dxa"/>
          </w:tcPr>
          <w:p>
            <w:pPr>
              <w:pStyle w:val="TableParagraph"/>
              <w:spacing w:before="131"/>
              <w:ind w:right="48"/>
              <w:jc w:val="right"/>
              <w:rPr>
                <w:sz w:val="20"/>
              </w:rPr>
            </w:pPr>
            <w:r>
              <w:rPr>
                <w:spacing w:val="-5"/>
                <w:sz w:val="20"/>
              </w:rPr>
              <w:t>6*</w:t>
            </w:r>
          </w:p>
        </w:tc>
      </w:tr>
      <w:tr>
        <w:trPr>
          <w:trHeight w:val="865" w:hRule="atLeast"/>
        </w:trPr>
        <w:tc>
          <w:tcPr>
            <w:tcW w:w="8561" w:type="dxa"/>
          </w:tcPr>
          <w:p>
            <w:pPr>
              <w:pStyle w:val="TableParagraph"/>
              <w:spacing w:line="273" w:lineRule="auto" w:before="131"/>
              <w:ind w:left="50" w:right="282"/>
              <w:rPr>
                <w:sz w:val="20"/>
              </w:rPr>
            </w:pPr>
            <w:r>
              <w:rPr>
                <w:sz w:val="20"/>
              </w:rPr>
              <w:t>The English terms in brackets used in this Circular only serve to facilitate understanding of the</w:t>
            </w:r>
            <w:r>
              <w:rPr>
                <w:spacing w:val="-7"/>
                <w:sz w:val="20"/>
              </w:rPr>
              <w:t> </w:t>
            </w:r>
            <w:r>
              <w:rPr>
                <w:sz w:val="20"/>
              </w:rPr>
              <w:t>market</w:t>
            </w:r>
            <w:r>
              <w:rPr>
                <w:spacing w:val="-6"/>
                <w:sz w:val="20"/>
              </w:rPr>
              <w:t> </w:t>
            </w:r>
            <w:r>
              <w:rPr>
                <w:sz w:val="20"/>
              </w:rPr>
              <w:t>abuse</w:t>
            </w:r>
            <w:r>
              <w:rPr>
                <w:spacing w:val="-6"/>
                <w:sz w:val="20"/>
              </w:rPr>
              <w:t> </w:t>
            </w:r>
            <w:r>
              <w:rPr>
                <w:sz w:val="20"/>
              </w:rPr>
              <w:t>described;</w:t>
            </w:r>
            <w:r>
              <w:rPr>
                <w:spacing w:val="-6"/>
                <w:sz w:val="20"/>
              </w:rPr>
              <w:t> </w:t>
            </w:r>
            <w:r>
              <w:rPr>
                <w:sz w:val="20"/>
              </w:rPr>
              <w:t>the</w:t>
            </w:r>
            <w:r>
              <w:rPr>
                <w:spacing w:val="-5"/>
                <w:sz w:val="20"/>
              </w:rPr>
              <w:t> </w:t>
            </w:r>
            <w:r>
              <w:rPr>
                <w:sz w:val="20"/>
              </w:rPr>
              <w:t>description</w:t>
            </w:r>
            <w:r>
              <w:rPr>
                <w:spacing w:val="-6"/>
                <w:sz w:val="20"/>
              </w:rPr>
              <w:t> </w:t>
            </w:r>
            <w:r>
              <w:rPr>
                <w:sz w:val="20"/>
              </w:rPr>
              <w:t>set</w:t>
            </w:r>
            <w:r>
              <w:rPr>
                <w:spacing w:val="-6"/>
                <w:sz w:val="20"/>
              </w:rPr>
              <w:t> </w:t>
            </w:r>
            <w:r>
              <w:rPr>
                <w:sz w:val="20"/>
              </w:rPr>
              <w:t>out</w:t>
            </w:r>
            <w:r>
              <w:rPr>
                <w:spacing w:val="-4"/>
                <w:sz w:val="20"/>
              </w:rPr>
              <w:t> </w:t>
            </w:r>
            <w:r>
              <w:rPr>
                <w:sz w:val="20"/>
              </w:rPr>
              <w:t>in</w:t>
            </w:r>
            <w:r>
              <w:rPr>
                <w:spacing w:val="-4"/>
                <w:sz w:val="20"/>
              </w:rPr>
              <w:t> </w:t>
            </w:r>
            <w:r>
              <w:rPr>
                <w:sz w:val="20"/>
              </w:rPr>
              <w:t>the</w:t>
            </w:r>
            <w:r>
              <w:rPr>
                <w:spacing w:val="-7"/>
                <w:sz w:val="20"/>
              </w:rPr>
              <w:t> </w:t>
            </w:r>
            <w:r>
              <w:rPr>
                <w:sz w:val="20"/>
              </w:rPr>
              <w:t>only</w:t>
            </w:r>
            <w:r>
              <w:rPr>
                <w:spacing w:val="-5"/>
                <w:sz w:val="20"/>
              </w:rPr>
              <w:t> </w:t>
            </w:r>
            <w:r>
              <w:rPr>
                <w:sz w:val="20"/>
              </w:rPr>
              <w:t>German</w:t>
            </w:r>
            <w:r>
              <w:rPr>
                <w:spacing w:val="-7"/>
                <w:sz w:val="20"/>
              </w:rPr>
              <w:t> </w:t>
            </w:r>
            <w:r>
              <w:rPr>
                <w:sz w:val="20"/>
              </w:rPr>
              <w:t>text</w:t>
            </w:r>
            <w:r>
              <w:rPr>
                <w:spacing w:val="-6"/>
                <w:sz w:val="20"/>
              </w:rPr>
              <w:t> </w:t>
            </w:r>
            <w:r>
              <w:rPr>
                <w:sz w:val="20"/>
              </w:rPr>
              <w:t>is</w:t>
            </w:r>
            <w:r>
              <w:rPr>
                <w:spacing w:val="-5"/>
                <w:sz w:val="20"/>
              </w:rPr>
              <w:t> </w:t>
            </w:r>
            <w:r>
              <w:rPr>
                <w:spacing w:val="-2"/>
                <w:sz w:val="20"/>
              </w:rPr>
              <w:t>authoritiative.</w:t>
            </w:r>
          </w:p>
        </w:tc>
        <w:tc>
          <w:tcPr>
            <w:tcW w:w="647" w:type="dxa"/>
          </w:tcPr>
          <w:p>
            <w:pPr>
              <w:pStyle w:val="TableParagraph"/>
              <w:spacing w:before="133"/>
              <w:ind w:right="48"/>
              <w:jc w:val="right"/>
              <w:rPr>
                <w:sz w:val="20"/>
              </w:rPr>
            </w:pPr>
            <w:r>
              <w:rPr>
                <w:spacing w:val="-5"/>
                <w:sz w:val="20"/>
              </w:rPr>
              <w:t>7*</w:t>
            </w:r>
          </w:p>
        </w:tc>
      </w:tr>
      <w:tr>
        <w:trPr>
          <w:trHeight w:val="649" w:hRule="atLeast"/>
        </w:trPr>
        <w:tc>
          <w:tcPr>
            <w:tcW w:w="8561" w:type="dxa"/>
          </w:tcPr>
          <w:p>
            <w:pPr>
              <w:pStyle w:val="TableParagraph"/>
              <w:tabs>
                <w:tab w:pos="616" w:val="left" w:leader="none"/>
              </w:tabs>
              <w:spacing w:before="235"/>
              <w:ind w:left="50"/>
              <w:rPr>
                <w:b/>
                <w:sz w:val="24"/>
              </w:rPr>
            </w:pPr>
            <w:r>
              <w:rPr>
                <w:b/>
                <w:spacing w:val="-4"/>
                <w:sz w:val="24"/>
              </w:rPr>
              <w:t>III.</w:t>
            </w:r>
            <w:r>
              <w:rPr>
                <w:b/>
                <w:sz w:val="24"/>
              </w:rPr>
              <w:tab/>
              <w:t>Insider</w:t>
            </w:r>
            <w:r>
              <w:rPr>
                <w:b/>
                <w:spacing w:val="-5"/>
                <w:sz w:val="24"/>
              </w:rPr>
              <w:t> </w:t>
            </w:r>
            <w:r>
              <w:rPr>
                <w:b/>
                <w:sz w:val="24"/>
              </w:rPr>
              <w:t>information</w:t>
            </w:r>
            <w:r>
              <w:rPr>
                <w:b/>
                <w:spacing w:val="-3"/>
                <w:sz w:val="24"/>
              </w:rPr>
              <w:t> </w:t>
            </w:r>
            <w:r>
              <w:rPr>
                <w:b/>
                <w:sz w:val="24"/>
              </w:rPr>
              <w:t>(Art.</w:t>
            </w:r>
            <w:r>
              <w:rPr>
                <w:b/>
                <w:spacing w:val="-3"/>
                <w:sz w:val="24"/>
              </w:rPr>
              <w:t> </w:t>
            </w:r>
            <w:r>
              <w:rPr>
                <w:b/>
                <w:sz w:val="24"/>
              </w:rPr>
              <w:t>2</w:t>
            </w:r>
            <w:r>
              <w:rPr>
                <w:b/>
                <w:spacing w:val="-3"/>
                <w:sz w:val="24"/>
              </w:rPr>
              <w:t> </w:t>
            </w:r>
            <w:r>
              <w:rPr>
                <w:b/>
                <w:sz w:val="24"/>
              </w:rPr>
              <w:t>let.</w:t>
            </w:r>
            <w:r>
              <w:rPr>
                <w:b/>
                <w:spacing w:val="-5"/>
                <w:sz w:val="24"/>
              </w:rPr>
              <w:t> </w:t>
            </w:r>
            <w:r>
              <w:rPr>
                <w:b/>
                <w:sz w:val="24"/>
              </w:rPr>
              <w:t>j</w:t>
            </w:r>
            <w:r>
              <w:rPr>
                <w:b/>
                <w:spacing w:val="-3"/>
                <w:sz w:val="24"/>
              </w:rPr>
              <w:t> </w:t>
            </w:r>
            <w:r>
              <w:rPr>
                <w:b/>
                <w:spacing w:val="-4"/>
                <w:sz w:val="24"/>
              </w:rPr>
              <w:t>FMIA)</w:t>
            </w:r>
          </w:p>
        </w:tc>
        <w:tc>
          <w:tcPr>
            <w:tcW w:w="647" w:type="dxa"/>
          </w:tcPr>
          <w:p>
            <w:pPr>
              <w:pStyle w:val="TableParagraph"/>
              <w:rPr>
                <w:rFonts w:ascii="Times New Roman"/>
                <w:sz w:val="20"/>
              </w:rPr>
            </w:pPr>
          </w:p>
        </w:tc>
      </w:tr>
      <w:tr>
        <w:trPr>
          <w:trHeight w:val="1140" w:hRule="atLeast"/>
        </w:trPr>
        <w:tc>
          <w:tcPr>
            <w:tcW w:w="8561" w:type="dxa"/>
          </w:tcPr>
          <w:p>
            <w:pPr>
              <w:pStyle w:val="TableParagraph"/>
              <w:spacing w:line="271" w:lineRule="auto" w:before="130"/>
              <w:ind w:left="50" w:right="411"/>
              <w:jc w:val="both"/>
              <w:rPr>
                <w:sz w:val="20"/>
              </w:rPr>
            </w:pPr>
            <w:r>
              <w:rPr>
                <w:sz w:val="20"/>
              </w:rPr>
              <w:t>IInformation refers to facts including firm intentions, as yet unrealised plans and prospects. Facts external to the company, such as knowledge of a financial analysis awaiting publication,</w:t>
            </w:r>
            <w:r>
              <w:rPr>
                <w:spacing w:val="-12"/>
                <w:sz w:val="20"/>
              </w:rPr>
              <w:t> </w:t>
            </w:r>
            <w:r>
              <w:rPr>
                <w:sz w:val="20"/>
              </w:rPr>
              <w:t>a</w:t>
            </w:r>
            <w:r>
              <w:rPr>
                <w:spacing w:val="-11"/>
                <w:sz w:val="20"/>
              </w:rPr>
              <w:t> </w:t>
            </w:r>
            <w:r>
              <w:rPr>
                <w:sz w:val="20"/>
              </w:rPr>
              <w:t>large</w:t>
            </w:r>
            <w:r>
              <w:rPr>
                <w:spacing w:val="-14"/>
                <w:sz w:val="20"/>
              </w:rPr>
              <w:t> </w:t>
            </w:r>
            <w:r>
              <w:rPr>
                <w:sz w:val="20"/>
              </w:rPr>
              <w:t>customer</w:t>
            </w:r>
            <w:r>
              <w:rPr>
                <w:spacing w:val="-12"/>
                <w:sz w:val="20"/>
              </w:rPr>
              <w:t> </w:t>
            </w:r>
            <w:r>
              <w:rPr>
                <w:sz w:val="20"/>
              </w:rPr>
              <w:t>order,</w:t>
            </w:r>
            <w:r>
              <w:rPr>
                <w:spacing w:val="-13"/>
                <w:sz w:val="20"/>
              </w:rPr>
              <w:t> </w:t>
            </w:r>
            <w:r>
              <w:rPr>
                <w:sz w:val="20"/>
              </w:rPr>
              <w:t>a</w:t>
            </w:r>
            <w:r>
              <w:rPr>
                <w:spacing w:val="-10"/>
                <w:sz w:val="20"/>
              </w:rPr>
              <w:t> </w:t>
            </w:r>
            <w:r>
              <w:rPr>
                <w:sz w:val="20"/>
              </w:rPr>
              <w:t>licence</w:t>
            </w:r>
            <w:r>
              <w:rPr>
                <w:spacing w:val="-11"/>
                <w:sz w:val="20"/>
              </w:rPr>
              <w:t> </w:t>
            </w:r>
            <w:r>
              <w:rPr>
                <w:sz w:val="20"/>
              </w:rPr>
              <w:t>or</w:t>
            </w:r>
            <w:r>
              <w:rPr>
                <w:spacing w:val="-11"/>
                <w:sz w:val="20"/>
              </w:rPr>
              <w:t> </w:t>
            </w:r>
            <w:r>
              <w:rPr>
                <w:sz w:val="20"/>
              </w:rPr>
              <w:t>authorisation</w:t>
            </w:r>
            <w:r>
              <w:rPr>
                <w:spacing w:val="-12"/>
                <w:sz w:val="20"/>
              </w:rPr>
              <w:t> </w:t>
            </w:r>
            <w:r>
              <w:rPr>
                <w:sz w:val="20"/>
              </w:rPr>
              <w:t>that</w:t>
            </w:r>
            <w:r>
              <w:rPr>
                <w:spacing w:val="-11"/>
                <w:sz w:val="20"/>
              </w:rPr>
              <w:t> </w:t>
            </w:r>
            <w:r>
              <w:rPr>
                <w:sz w:val="20"/>
              </w:rPr>
              <w:t>is</w:t>
            </w:r>
            <w:r>
              <w:rPr>
                <w:spacing w:val="-13"/>
                <w:sz w:val="20"/>
              </w:rPr>
              <w:t> </w:t>
            </w:r>
            <w:r>
              <w:rPr>
                <w:sz w:val="20"/>
              </w:rPr>
              <w:t>to</w:t>
            </w:r>
            <w:r>
              <w:rPr>
                <w:spacing w:val="-11"/>
                <w:sz w:val="20"/>
              </w:rPr>
              <w:t> </w:t>
            </w:r>
            <w:r>
              <w:rPr>
                <w:sz w:val="20"/>
              </w:rPr>
              <w:t>be</w:t>
            </w:r>
            <w:r>
              <w:rPr>
                <w:spacing w:val="-11"/>
                <w:sz w:val="20"/>
              </w:rPr>
              <w:t> </w:t>
            </w:r>
            <w:r>
              <w:rPr>
                <w:sz w:val="20"/>
              </w:rPr>
              <w:t>granted</w:t>
            </w:r>
            <w:r>
              <w:rPr>
                <w:spacing w:val="-10"/>
                <w:sz w:val="20"/>
              </w:rPr>
              <w:t> </w:t>
            </w:r>
            <w:r>
              <w:rPr>
                <w:sz w:val="20"/>
              </w:rPr>
              <w:t>or</w:t>
            </w:r>
            <w:r>
              <w:rPr>
                <w:spacing w:val="-12"/>
                <w:sz w:val="20"/>
              </w:rPr>
              <w:t> </w:t>
            </w:r>
            <w:r>
              <w:rPr>
                <w:spacing w:val="-2"/>
                <w:sz w:val="20"/>
              </w:rPr>
              <w:t>refused</w:t>
            </w:r>
          </w:p>
          <w:p>
            <w:pPr>
              <w:pStyle w:val="TableParagraph"/>
              <w:spacing w:line="210" w:lineRule="exact"/>
              <w:ind w:left="50"/>
              <w:jc w:val="both"/>
              <w:rPr>
                <w:sz w:val="20"/>
              </w:rPr>
            </w:pPr>
            <w:r>
              <w:rPr>
                <w:sz w:val="20"/>
              </w:rPr>
              <w:t>or</w:t>
            </w:r>
            <w:r>
              <w:rPr>
                <w:spacing w:val="57"/>
                <w:sz w:val="20"/>
              </w:rPr>
              <w:t> </w:t>
            </w:r>
            <w:r>
              <w:rPr>
                <w:sz w:val="20"/>
              </w:rPr>
              <w:t>a</w:t>
            </w:r>
            <w:r>
              <w:rPr>
                <w:spacing w:val="57"/>
                <w:sz w:val="20"/>
              </w:rPr>
              <w:t> </w:t>
            </w:r>
            <w:r>
              <w:rPr>
                <w:sz w:val="20"/>
              </w:rPr>
              <w:t>planned</w:t>
            </w:r>
            <w:r>
              <w:rPr>
                <w:spacing w:val="59"/>
                <w:sz w:val="20"/>
              </w:rPr>
              <w:t> </w:t>
            </w:r>
            <w:r>
              <w:rPr>
                <w:sz w:val="20"/>
              </w:rPr>
              <w:t>terror</w:t>
            </w:r>
            <w:r>
              <w:rPr>
                <w:spacing w:val="58"/>
                <w:sz w:val="20"/>
              </w:rPr>
              <w:t> </w:t>
            </w:r>
            <w:r>
              <w:rPr>
                <w:sz w:val="20"/>
              </w:rPr>
              <w:t>attack,</w:t>
            </w:r>
            <w:r>
              <w:rPr>
                <w:spacing w:val="57"/>
                <w:sz w:val="20"/>
              </w:rPr>
              <w:t> </w:t>
            </w:r>
            <w:r>
              <w:rPr>
                <w:sz w:val="20"/>
              </w:rPr>
              <w:t>are</w:t>
            </w:r>
            <w:r>
              <w:rPr>
                <w:spacing w:val="57"/>
                <w:sz w:val="20"/>
              </w:rPr>
              <w:t> </w:t>
            </w:r>
            <w:r>
              <w:rPr>
                <w:sz w:val="20"/>
              </w:rPr>
              <w:t>also</w:t>
            </w:r>
            <w:r>
              <w:rPr>
                <w:spacing w:val="59"/>
                <w:sz w:val="20"/>
              </w:rPr>
              <w:t> </w:t>
            </w:r>
            <w:r>
              <w:rPr>
                <w:sz w:val="20"/>
              </w:rPr>
              <w:t>deemed</w:t>
            </w:r>
            <w:r>
              <w:rPr>
                <w:spacing w:val="57"/>
                <w:sz w:val="20"/>
              </w:rPr>
              <w:t> </w:t>
            </w:r>
            <w:r>
              <w:rPr>
                <w:sz w:val="20"/>
              </w:rPr>
              <w:t>to</w:t>
            </w:r>
            <w:r>
              <w:rPr>
                <w:spacing w:val="57"/>
                <w:sz w:val="20"/>
              </w:rPr>
              <w:t> </w:t>
            </w:r>
            <w:r>
              <w:rPr>
                <w:sz w:val="20"/>
              </w:rPr>
              <w:t>constitute</w:t>
            </w:r>
            <w:r>
              <w:rPr>
                <w:spacing w:val="58"/>
                <w:sz w:val="20"/>
              </w:rPr>
              <w:t> </w:t>
            </w:r>
            <w:r>
              <w:rPr>
                <w:sz w:val="20"/>
              </w:rPr>
              <w:t>information.</w:t>
            </w:r>
            <w:r>
              <w:rPr>
                <w:spacing w:val="57"/>
                <w:sz w:val="20"/>
              </w:rPr>
              <w:t> </w:t>
            </w:r>
            <w:r>
              <w:rPr>
                <w:sz w:val="20"/>
              </w:rPr>
              <w:t>Rumours</w:t>
            </w:r>
            <w:r>
              <w:rPr>
                <w:spacing w:val="59"/>
                <w:sz w:val="20"/>
              </w:rPr>
              <w:t> </w:t>
            </w:r>
            <w:r>
              <w:rPr>
                <w:spacing w:val="-5"/>
                <w:sz w:val="20"/>
              </w:rPr>
              <w:t>and</w:t>
            </w:r>
          </w:p>
        </w:tc>
        <w:tc>
          <w:tcPr>
            <w:tcW w:w="647" w:type="dxa"/>
          </w:tcPr>
          <w:p>
            <w:pPr>
              <w:pStyle w:val="TableParagraph"/>
              <w:spacing w:before="132"/>
              <w:ind w:right="48"/>
              <w:jc w:val="right"/>
              <w:rPr>
                <w:sz w:val="20"/>
              </w:rPr>
            </w:pPr>
            <w:r>
              <w:rPr>
                <w:spacing w:val="-10"/>
                <w:sz w:val="20"/>
              </w:rPr>
              <w:t>8</w:t>
            </w:r>
          </w:p>
        </w:tc>
      </w:tr>
    </w:tbl>
    <w:p>
      <w:pPr>
        <w:pStyle w:val="TableParagraph"/>
        <w:spacing w:after="0"/>
        <w:jc w:val="right"/>
        <w:rPr>
          <w:sz w:val="20"/>
        </w:rPr>
        <w:sectPr>
          <w:headerReference w:type="default" r:id="rId9"/>
          <w:footerReference w:type="default" r:id="rId10"/>
          <w:pgSz w:w="11900" w:h="16850"/>
          <w:pgMar w:header="828" w:footer="318" w:top="1400" w:bottom="500" w:left="1559" w:right="850"/>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4"/>
        <w:rPr>
          <w:b/>
          <w:sz w:val="20"/>
        </w:rPr>
      </w:pPr>
    </w:p>
    <w:tbl>
      <w:tblPr>
        <w:tblW w:w="0" w:type="auto"/>
        <w:jc w:val="left"/>
        <w:tblInd w:w="2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505"/>
        <w:gridCol w:w="702"/>
      </w:tblGrid>
      <w:tr>
        <w:trPr>
          <w:trHeight w:val="882" w:hRule="atLeast"/>
        </w:trPr>
        <w:tc>
          <w:tcPr>
            <w:tcW w:w="8505" w:type="dxa"/>
          </w:tcPr>
          <w:p>
            <w:pPr>
              <w:pStyle w:val="TableParagraph"/>
              <w:spacing w:line="273" w:lineRule="auto"/>
              <w:ind w:left="50" w:right="350"/>
              <w:jc w:val="both"/>
              <w:rPr>
                <w:sz w:val="20"/>
              </w:rPr>
            </w:pPr>
            <w:r>
              <w:rPr>
                <w:sz w:val="20"/>
              </w:rPr>
              <w:t>speculation,</w:t>
            </w:r>
            <w:r>
              <w:rPr>
                <w:spacing w:val="-9"/>
                <w:sz w:val="20"/>
              </w:rPr>
              <w:t> </w:t>
            </w:r>
            <w:r>
              <w:rPr>
                <w:sz w:val="20"/>
              </w:rPr>
              <w:t>on</w:t>
            </w:r>
            <w:r>
              <w:rPr>
                <w:spacing w:val="-12"/>
                <w:sz w:val="20"/>
              </w:rPr>
              <w:t> </w:t>
            </w:r>
            <w:r>
              <w:rPr>
                <w:sz w:val="20"/>
              </w:rPr>
              <w:t>the</w:t>
            </w:r>
            <w:r>
              <w:rPr>
                <w:spacing w:val="-10"/>
                <w:sz w:val="20"/>
              </w:rPr>
              <w:t> </w:t>
            </w:r>
            <w:r>
              <w:rPr>
                <w:sz w:val="20"/>
              </w:rPr>
              <w:t>other</w:t>
            </w:r>
            <w:r>
              <w:rPr>
                <w:spacing w:val="-10"/>
                <w:sz w:val="20"/>
              </w:rPr>
              <w:t> </w:t>
            </w:r>
            <w:r>
              <w:rPr>
                <w:sz w:val="20"/>
              </w:rPr>
              <w:t>hand,</w:t>
            </w:r>
            <w:r>
              <w:rPr>
                <w:spacing w:val="-9"/>
                <w:sz w:val="20"/>
              </w:rPr>
              <w:t> </w:t>
            </w:r>
            <w:r>
              <w:rPr>
                <w:sz w:val="20"/>
              </w:rPr>
              <w:t>do</w:t>
            </w:r>
            <w:r>
              <w:rPr>
                <w:spacing w:val="-9"/>
                <w:sz w:val="20"/>
              </w:rPr>
              <w:t> </w:t>
            </w:r>
            <w:r>
              <w:rPr>
                <w:sz w:val="20"/>
              </w:rPr>
              <w:t>not</w:t>
            </w:r>
            <w:r>
              <w:rPr>
                <w:spacing w:val="-9"/>
                <w:sz w:val="20"/>
              </w:rPr>
              <w:t> </w:t>
            </w:r>
            <w:r>
              <w:rPr>
                <w:sz w:val="20"/>
              </w:rPr>
              <w:t>constitute</w:t>
            </w:r>
            <w:r>
              <w:rPr>
                <w:spacing w:val="-10"/>
                <w:sz w:val="20"/>
              </w:rPr>
              <w:t> </w:t>
            </w:r>
            <w:r>
              <w:rPr>
                <w:sz w:val="20"/>
              </w:rPr>
              <w:t>information.</w:t>
            </w:r>
            <w:r>
              <w:rPr>
                <w:spacing w:val="-12"/>
                <w:sz w:val="20"/>
              </w:rPr>
              <w:t> </w:t>
            </w:r>
            <w:r>
              <w:rPr>
                <w:sz w:val="20"/>
              </w:rPr>
              <w:t>Information</w:t>
            </w:r>
            <w:r>
              <w:rPr>
                <w:spacing w:val="-10"/>
                <w:sz w:val="20"/>
              </w:rPr>
              <w:t> </w:t>
            </w:r>
            <w:r>
              <w:rPr>
                <w:sz w:val="20"/>
              </w:rPr>
              <w:t>must</w:t>
            </w:r>
            <w:r>
              <w:rPr>
                <w:spacing w:val="-9"/>
                <w:sz w:val="20"/>
              </w:rPr>
              <w:t> </w:t>
            </w:r>
            <w:r>
              <w:rPr>
                <w:sz w:val="20"/>
              </w:rPr>
              <w:t>be</w:t>
            </w:r>
            <w:r>
              <w:rPr>
                <w:spacing w:val="-10"/>
                <w:sz w:val="20"/>
              </w:rPr>
              <w:t> </w:t>
            </w:r>
            <w:r>
              <w:rPr>
                <w:sz w:val="20"/>
              </w:rPr>
              <w:t>sufficiently clear and</w:t>
            </w:r>
            <w:r>
              <w:rPr>
                <w:spacing w:val="-2"/>
                <w:sz w:val="20"/>
              </w:rPr>
              <w:t> </w:t>
            </w:r>
            <w:r>
              <w:rPr>
                <w:sz w:val="20"/>
              </w:rPr>
              <w:t>certain</w:t>
            </w:r>
            <w:r>
              <w:rPr>
                <w:spacing w:val="-1"/>
                <w:sz w:val="20"/>
              </w:rPr>
              <w:t> </w:t>
            </w:r>
            <w:r>
              <w:rPr>
                <w:sz w:val="20"/>
              </w:rPr>
              <w:t>that it may provide a basis for anticipating</w:t>
            </w:r>
            <w:r>
              <w:rPr>
                <w:spacing w:val="-1"/>
                <w:sz w:val="20"/>
              </w:rPr>
              <w:t> </w:t>
            </w:r>
            <w:r>
              <w:rPr>
                <w:sz w:val="20"/>
              </w:rPr>
              <w:t>the future trend in the price of a </w:t>
            </w:r>
            <w:r>
              <w:rPr>
                <w:spacing w:val="-2"/>
                <w:sz w:val="20"/>
              </w:rPr>
              <w:t>security.</w:t>
            </w:r>
          </w:p>
        </w:tc>
        <w:tc>
          <w:tcPr>
            <w:tcW w:w="702" w:type="dxa"/>
          </w:tcPr>
          <w:p>
            <w:pPr>
              <w:pStyle w:val="TableParagraph"/>
              <w:rPr>
                <w:rFonts w:ascii="Times New Roman"/>
                <w:sz w:val="18"/>
              </w:rPr>
            </w:pPr>
          </w:p>
        </w:tc>
      </w:tr>
      <w:tr>
        <w:trPr>
          <w:trHeight w:val="1281" w:hRule="atLeast"/>
        </w:trPr>
        <w:tc>
          <w:tcPr>
            <w:tcW w:w="8505" w:type="dxa"/>
          </w:tcPr>
          <w:p>
            <w:pPr>
              <w:pStyle w:val="TableParagraph"/>
              <w:spacing w:line="271" w:lineRule="auto" w:before="130"/>
              <w:ind w:left="50" w:right="356"/>
              <w:jc w:val="both"/>
              <w:rPr>
                <w:sz w:val="20"/>
              </w:rPr>
            </w:pPr>
            <w:r>
              <w:rPr>
                <w:sz w:val="20"/>
              </w:rPr>
              <w:t>Information is deemed to be confidential if it is not generally available and is instead only available</w:t>
            </w:r>
            <w:r>
              <w:rPr>
                <w:spacing w:val="-2"/>
                <w:sz w:val="20"/>
              </w:rPr>
              <w:t> </w:t>
            </w:r>
            <w:r>
              <w:rPr>
                <w:sz w:val="20"/>
              </w:rPr>
              <w:t>to</w:t>
            </w:r>
            <w:r>
              <w:rPr>
                <w:spacing w:val="-2"/>
                <w:sz w:val="20"/>
              </w:rPr>
              <w:t> </w:t>
            </w:r>
            <w:r>
              <w:rPr>
                <w:sz w:val="20"/>
              </w:rPr>
              <w:t>a</w:t>
            </w:r>
            <w:r>
              <w:rPr>
                <w:spacing w:val="-2"/>
                <w:sz w:val="20"/>
              </w:rPr>
              <w:t> </w:t>
            </w:r>
            <w:r>
              <w:rPr>
                <w:sz w:val="20"/>
              </w:rPr>
              <w:t>restricted</w:t>
            </w:r>
            <w:r>
              <w:rPr>
                <w:spacing w:val="-2"/>
                <w:sz w:val="20"/>
              </w:rPr>
              <w:t> </w:t>
            </w:r>
            <w:r>
              <w:rPr>
                <w:sz w:val="20"/>
              </w:rPr>
              <w:t>group</w:t>
            </w:r>
            <w:r>
              <w:rPr>
                <w:spacing w:val="-3"/>
                <w:sz w:val="20"/>
              </w:rPr>
              <w:t> </w:t>
            </w:r>
            <w:r>
              <w:rPr>
                <w:sz w:val="20"/>
              </w:rPr>
              <w:t>of</w:t>
            </w:r>
            <w:r>
              <w:rPr>
                <w:spacing w:val="-2"/>
                <w:sz w:val="20"/>
              </w:rPr>
              <w:t> </w:t>
            </w:r>
            <w:r>
              <w:rPr>
                <w:sz w:val="20"/>
              </w:rPr>
              <w:t>people.</w:t>
            </w:r>
            <w:r>
              <w:rPr>
                <w:spacing w:val="-2"/>
                <w:sz w:val="20"/>
              </w:rPr>
              <w:t> </w:t>
            </w:r>
            <w:r>
              <w:rPr>
                <w:sz w:val="20"/>
              </w:rPr>
              <w:t>Information</w:t>
            </w:r>
            <w:r>
              <w:rPr>
                <w:spacing w:val="-2"/>
                <w:sz w:val="20"/>
              </w:rPr>
              <w:t> </w:t>
            </w:r>
            <w:r>
              <w:rPr>
                <w:sz w:val="20"/>
              </w:rPr>
              <w:t>is</w:t>
            </w:r>
            <w:r>
              <w:rPr>
                <w:spacing w:val="-1"/>
                <w:sz w:val="20"/>
              </w:rPr>
              <w:t> </w:t>
            </w:r>
            <w:r>
              <w:rPr>
                <w:sz w:val="20"/>
              </w:rPr>
              <w:t>deemed</w:t>
            </w:r>
            <w:r>
              <w:rPr>
                <w:spacing w:val="-3"/>
                <w:sz w:val="20"/>
              </w:rPr>
              <w:t> </w:t>
            </w:r>
            <w:r>
              <w:rPr>
                <w:sz w:val="20"/>
              </w:rPr>
              <w:t>to</w:t>
            </w:r>
            <w:r>
              <w:rPr>
                <w:spacing w:val="-2"/>
                <w:sz w:val="20"/>
              </w:rPr>
              <w:t> </w:t>
            </w:r>
            <w:r>
              <w:rPr>
                <w:sz w:val="20"/>
              </w:rPr>
              <w:t>be in</w:t>
            </w:r>
            <w:r>
              <w:rPr>
                <w:spacing w:val="-2"/>
                <w:sz w:val="20"/>
              </w:rPr>
              <w:t> </w:t>
            </w:r>
            <w:r>
              <w:rPr>
                <w:sz w:val="20"/>
              </w:rPr>
              <w:t>the</w:t>
            </w:r>
            <w:r>
              <w:rPr>
                <w:spacing w:val="-2"/>
                <w:sz w:val="20"/>
              </w:rPr>
              <w:t> </w:t>
            </w:r>
            <w:r>
              <w:rPr>
                <w:sz w:val="20"/>
              </w:rPr>
              <w:t>public domain</w:t>
            </w:r>
            <w:r>
              <w:rPr>
                <w:spacing w:val="-2"/>
                <w:sz w:val="20"/>
              </w:rPr>
              <w:t> </w:t>
            </w:r>
            <w:r>
              <w:rPr>
                <w:sz w:val="20"/>
              </w:rPr>
              <w:t>if unconnected third parties are able to obtain it from generally accessible sources. A rumour does not in principle set aside the confidentiality of specific information.</w:t>
            </w:r>
          </w:p>
        </w:tc>
        <w:tc>
          <w:tcPr>
            <w:tcW w:w="702" w:type="dxa"/>
          </w:tcPr>
          <w:p>
            <w:pPr>
              <w:pStyle w:val="TableParagraph"/>
              <w:spacing w:before="132"/>
              <w:ind w:right="47"/>
              <w:jc w:val="right"/>
              <w:rPr>
                <w:sz w:val="20"/>
              </w:rPr>
            </w:pPr>
            <w:r>
              <w:rPr>
                <w:spacing w:val="-10"/>
                <w:sz w:val="20"/>
              </w:rPr>
              <w:t>9</w:t>
            </w:r>
          </w:p>
        </w:tc>
      </w:tr>
      <w:tr>
        <w:trPr>
          <w:trHeight w:val="1743" w:hRule="atLeast"/>
        </w:trPr>
        <w:tc>
          <w:tcPr>
            <w:tcW w:w="8505" w:type="dxa"/>
          </w:tcPr>
          <w:p>
            <w:pPr>
              <w:pStyle w:val="TableParagraph"/>
              <w:spacing w:line="271" w:lineRule="auto" w:before="131"/>
              <w:ind w:left="50" w:right="355"/>
              <w:jc w:val="both"/>
              <w:rPr>
                <w:sz w:val="20"/>
              </w:rPr>
            </w:pPr>
            <w:r>
              <w:rPr>
                <w:sz w:val="20"/>
              </w:rPr>
              <w:t>The question of whether or not information is price-sensitive, i.e. capable of substantially influencing the market price of securities, is to be decided on a case-by-case basis with reference</w:t>
            </w:r>
            <w:r>
              <w:rPr>
                <w:spacing w:val="-14"/>
                <w:sz w:val="20"/>
              </w:rPr>
              <w:t> </w:t>
            </w:r>
            <w:r>
              <w:rPr>
                <w:sz w:val="20"/>
              </w:rPr>
              <w:t>to</w:t>
            </w:r>
            <w:r>
              <w:rPr>
                <w:spacing w:val="-14"/>
                <w:sz w:val="20"/>
              </w:rPr>
              <w:t> </w:t>
            </w:r>
            <w:r>
              <w:rPr>
                <w:sz w:val="20"/>
              </w:rPr>
              <w:t>whether</w:t>
            </w:r>
            <w:r>
              <w:rPr>
                <w:spacing w:val="-14"/>
                <w:sz w:val="20"/>
              </w:rPr>
              <w:t> </w:t>
            </w:r>
            <w:r>
              <w:rPr>
                <w:sz w:val="20"/>
              </w:rPr>
              <w:t>or</w:t>
            </w:r>
            <w:r>
              <w:rPr>
                <w:spacing w:val="-14"/>
                <w:sz w:val="20"/>
              </w:rPr>
              <w:t> </w:t>
            </w:r>
            <w:r>
              <w:rPr>
                <w:sz w:val="20"/>
              </w:rPr>
              <w:t>not</w:t>
            </w:r>
            <w:r>
              <w:rPr>
                <w:spacing w:val="-14"/>
                <w:sz w:val="20"/>
              </w:rPr>
              <w:t> </w:t>
            </w:r>
            <w:r>
              <w:rPr>
                <w:sz w:val="20"/>
              </w:rPr>
              <w:t>the</w:t>
            </w:r>
            <w:r>
              <w:rPr>
                <w:spacing w:val="-14"/>
                <w:sz w:val="20"/>
              </w:rPr>
              <w:t> </w:t>
            </w:r>
            <w:r>
              <w:rPr>
                <w:sz w:val="20"/>
              </w:rPr>
              <w:t>information</w:t>
            </w:r>
            <w:r>
              <w:rPr>
                <w:spacing w:val="-14"/>
                <w:sz w:val="20"/>
              </w:rPr>
              <w:t> </w:t>
            </w:r>
            <w:r>
              <w:rPr>
                <w:sz w:val="20"/>
              </w:rPr>
              <w:t>is</w:t>
            </w:r>
            <w:r>
              <w:rPr>
                <w:spacing w:val="-14"/>
                <w:sz w:val="20"/>
              </w:rPr>
              <w:t> </w:t>
            </w:r>
            <w:r>
              <w:rPr>
                <w:sz w:val="20"/>
              </w:rPr>
              <w:t>capable</w:t>
            </w:r>
            <w:r>
              <w:rPr>
                <w:spacing w:val="-14"/>
                <w:sz w:val="20"/>
              </w:rPr>
              <w:t> </w:t>
            </w:r>
            <w:r>
              <w:rPr>
                <w:sz w:val="20"/>
              </w:rPr>
              <w:t>of</w:t>
            </w:r>
            <w:r>
              <w:rPr>
                <w:spacing w:val="-13"/>
                <w:sz w:val="20"/>
              </w:rPr>
              <w:t> </w:t>
            </w:r>
            <w:r>
              <w:rPr>
                <w:sz w:val="20"/>
              </w:rPr>
              <w:t>influencing</w:t>
            </w:r>
            <w:r>
              <w:rPr>
                <w:spacing w:val="-14"/>
                <w:sz w:val="20"/>
              </w:rPr>
              <w:t> </w:t>
            </w:r>
            <w:r>
              <w:rPr>
                <w:sz w:val="20"/>
              </w:rPr>
              <w:t>the</w:t>
            </w:r>
            <w:r>
              <w:rPr>
                <w:spacing w:val="-14"/>
                <w:sz w:val="20"/>
              </w:rPr>
              <w:t> </w:t>
            </w:r>
            <w:r>
              <w:rPr>
                <w:sz w:val="20"/>
              </w:rPr>
              <w:t>investment</w:t>
            </w:r>
            <w:r>
              <w:rPr>
                <w:spacing w:val="-14"/>
                <w:sz w:val="20"/>
              </w:rPr>
              <w:t> </w:t>
            </w:r>
            <w:r>
              <w:rPr>
                <w:sz w:val="20"/>
              </w:rPr>
              <w:t>behaviour of a reasonable investor who is familiar with the market. In principle, substantiality is assessed according to the market situation prior to the information being known.</w:t>
            </w:r>
          </w:p>
        </w:tc>
        <w:tc>
          <w:tcPr>
            <w:tcW w:w="702" w:type="dxa"/>
          </w:tcPr>
          <w:p>
            <w:pPr>
              <w:pStyle w:val="TableParagraph"/>
              <w:spacing w:before="133"/>
              <w:ind w:right="47"/>
              <w:jc w:val="right"/>
              <w:rPr>
                <w:sz w:val="20"/>
              </w:rPr>
            </w:pPr>
            <w:r>
              <w:rPr>
                <w:spacing w:val="-5"/>
                <w:sz w:val="20"/>
              </w:rPr>
              <w:t>10</w:t>
            </w:r>
          </w:p>
        </w:tc>
      </w:tr>
      <w:tr>
        <w:trPr>
          <w:trHeight w:val="1851" w:hRule="atLeast"/>
        </w:trPr>
        <w:tc>
          <w:tcPr>
            <w:tcW w:w="8505" w:type="dxa"/>
          </w:tcPr>
          <w:p>
            <w:pPr>
              <w:pStyle w:val="TableParagraph"/>
              <w:spacing w:before="103"/>
              <w:rPr>
                <w:b/>
                <w:sz w:val="20"/>
              </w:rPr>
            </w:pPr>
          </w:p>
          <w:p>
            <w:pPr>
              <w:pStyle w:val="TableParagraph"/>
              <w:spacing w:line="273" w:lineRule="auto" w:before="1"/>
              <w:ind w:left="50" w:right="350"/>
              <w:jc w:val="both"/>
              <w:rPr>
                <w:sz w:val="20"/>
              </w:rPr>
            </w:pPr>
            <w:r>
              <w:rPr>
                <w:sz w:val="20"/>
              </w:rPr>
              <w:t>A recommendation within the meaning of Article 142 para. 1 let. </w:t>
            </w:r>
            <w:r>
              <w:rPr>
                <w:i/>
                <w:sz w:val="20"/>
              </w:rPr>
              <w:t>c </w:t>
            </w:r>
            <w:r>
              <w:rPr>
                <w:sz w:val="20"/>
              </w:rPr>
              <w:t>FMIA. is deemed to constitute</w:t>
            </w:r>
            <w:r>
              <w:rPr>
                <w:spacing w:val="-9"/>
                <w:sz w:val="20"/>
              </w:rPr>
              <w:t> </w:t>
            </w:r>
            <w:r>
              <w:rPr>
                <w:sz w:val="20"/>
              </w:rPr>
              <w:t>insider</w:t>
            </w:r>
            <w:r>
              <w:rPr>
                <w:spacing w:val="-10"/>
                <w:sz w:val="20"/>
              </w:rPr>
              <w:t> </w:t>
            </w:r>
            <w:r>
              <w:rPr>
                <w:sz w:val="20"/>
              </w:rPr>
              <w:t>information</w:t>
            </w:r>
            <w:r>
              <w:rPr>
                <w:spacing w:val="-11"/>
                <w:sz w:val="20"/>
              </w:rPr>
              <w:t> </w:t>
            </w:r>
            <w:r>
              <w:rPr>
                <w:sz w:val="20"/>
              </w:rPr>
              <w:t>in</w:t>
            </w:r>
            <w:r>
              <w:rPr>
                <w:spacing w:val="-11"/>
                <w:sz w:val="20"/>
              </w:rPr>
              <w:t> </w:t>
            </w:r>
            <w:r>
              <w:rPr>
                <w:sz w:val="20"/>
              </w:rPr>
              <w:t>accordance</w:t>
            </w:r>
            <w:r>
              <w:rPr>
                <w:spacing w:val="-11"/>
                <w:sz w:val="20"/>
              </w:rPr>
              <w:t> </w:t>
            </w:r>
            <w:r>
              <w:rPr>
                <w:sz w:val="20"/>
              </w:rPr>
              <w:t>with</w:t>
            </w:r>
            <w:r>
              <w:rPr>
                <w:spacing w:val="-9"/>
                <w:sz w:val="20"/>
              </w:rPr>
              <w:t> </w:t>
            </w:r>
            <w:r>
              <w:rPr>
                <w:sz w:val="20"/>
              </w:rPr>
              <w:t>Article</w:t>
            </w:r>
            <w:r>
              <w:rPr>
                <w:spacing w:val="-9"/>
                <w:sz w:val="20"/>
              </w:rPr>
              <w:t> </w:t>
            </w:r>
            <w:r>
              <w:rPr>
                <w:sz w:val="20"/>
              </w:rPr>
              <w:t>2</w:t>
            </w:r>
            <w:r>
              <w:rPr>
                <w:spacing w:val="-9"/>
                <w:sz w:val="20"/>
              </w:rPr>
              <w:t> </w:t>
            </w:r>
            <w:r>
              <w:rPr>
                <w:sz w:val="20"/>
              </w:rPr>
              <w:t>let.</w:t>
            </w:r>
            <w:r>
              <w:rPr>
                <w:spacing w:val="-10"/>
                <w:sz w:val="20"/>
              </w:rPr>
              <w:t> </w:t>
            </w:r>
            <w:r>
              <w:rPr>
                <w:sz w:val="20"/>
              </w:rPr>
              <w:t>j</w:t>
            </w:r>
            <w:r>
              <w:rPr>
                <w:spacing w:val="-10"/>
                <w:sz w:val="20"/>
              </w:rPr>
              <w:t> </w:t>
            </w:r>
            <w:r>
              <w:rPr>
                <w:sz w:val="20"/>
              </w:rPr>
              <w:t>FMIA</w:t>
            </w:r>
            <w:r>
              <w:rPr>
                <w:spacing w:val="-12"/>
                <w:sz w:val="20"/>
              </w:rPr>
              <w:t> </w:t>
            </w:r>
            <w:r>
              <w:rPr>
                <w:sz w:val="20"/>
              </w:rPr>
              <w:t>if</w:t>
            </w:r>
            <w:r>
              <w:rPr>
                <w:spacing w:val="-11"/>
                <w:sz w:val="20"/>
              </w:rPr>
              <w:t> </w:t>
            </w:r>
            <w:r>
              <w:rPr>
                <w:sz w:val="20"/>
              </w:rPr>
              <w:t>the</w:t>
            </w:r>
            <w:r>
              <w:rPr>
                <w:spacing w:val="-11"/>
                <w:sz w:val="20"/>
              </w:rPr>
              <w:t> </w:t>
            </w:r>
            <w:r>
              <w:rPr>
                <w:sz w:val="20"/>
              </w:rPr>
              <w:t>recipient</w:t>
            </w:r>
            <w:r>
              <w:rPr>
                <w:spacing w:val="-7"/>
                <w:sz w:val="20"/>
              </w:rPr>
              <w:t> </w:t>
            </w:r>
            <w:r>
              <w:rPr>
                <w:sz w:val="20"/>
              </w:rPr>
              <w:t>knows</w:t>
            </w:r>
            <w:r>
              <w:rPr>
                <w:spacing w:val="-10"/>
                <w:sz w:val="20"/>
              </w:rPr>
              <w:t> </w:t>
            </w:r>
            <w:r>
              <w:rPr>
                <w:sz w:val="20"/>
              </w:rPr>
              <w:t>or, given the circumstances (e.g. the special knowledge or position of the person making the recommendation) can be expected to know that the recommendation derives from insider </w:t>
            </w:r>
            <w:r>
              <w:rPr>
                <w:spacing w:val="-2"/>
                <w:sz w:val="20"/>
              </w:rPr>
              <w:t>information.</w:t>
            </w:r>
          </w:p>
        </w:tc>
        <w:tc>
          <w:tcPr>
            <w:tcW w:w="702" w:type="dxa"/>
          </w:tcPr>
          <w:p>
            <w:pPr>
              <w:pStyle w:val="TableParagraph"/>
              <w:spacing w:before="106"/>
              <w:rPr>
                <w:b/>
                <w:sz w:val="20"/>
              </w:rPr>
            </w:pPr>
          </w:p>
          <w:p>
            <w:pPr>
              <w:pStyle w:val="TableParagraph"/>
              <w:ind w:right="50"/>
              <w:jc w:val="right"/>
              <w:rPr>
                <w:sz w:val="20"/>
              </w:rPr>
            </w:pPr>
            <w:r>
              <w:rPr>
                <w:spacing w:val="-5"/>
                <w:sz w:val="20"/>
              </w:rPr>
              <w:t>11</w:t>
            </w:r>
          </w:p>
        </w:tc>
      </w:tr>
      <w:tr>
        <w:trPr>
          <w:trHeight w:val="649" w:hRule="atLeast"/>
        </w:trPr>
        <w:tc>
          <w:tcPr>
            <w:tcW w:w="8505" w:type="dxa"/>
          </w:tcPr>
          <w:p>
            <w:pPr>
              <w:pStyle w:val="TableParagraph"/>
              <w:tabs>
                <w:tab w:pos="616" w:val="left" w:leader="none"/>
              </w:tabs>
              <w:spacing w:before="235"/>
              <w:ind w:left="50"/>
              <w:rPr>
                <w:b/>
                <w:sz w:val="24"/>
              </w:rPr>
            </w:pPr>
            <w:r>
              <w:rPr>
                <w:b/>
                <w:spacing w:val="-5"/>
                <w:sz w:val="24"/>
              </w:rPr>
              <w:t>IV.</w:t>
            </w:r>
            <w:r>
              <w:rPr>
                <w:b/>
                <w:sz w:val="24"/>
              </w:rPr>
              <w:tab/>
              <w:t>Misuse</w:t>
            </w:r>
            <w:r>
              <w:rPr>
                <w:b/>
                <w:spacing w:val="-4"/>
                <w:sz w:val="24"/>
              </w:rPr>
              <w:t> </w:t>
            </w:r>
            <w:r>
              <w:rPr>
                <w:b/>
                <w:sz w:val="24"/>
              </w:rPr>
              <w:t>of</w:t>
            </w:r>
            <w:r>
              <w:rPr>
                <w:b/>
                <w:spacing w:val="-4"/>
                <w:sz w:val="24"/>
              </w:rPr>
              <w:t> </w:t>
            </w:r>
            <w:r>
              <w:rPr>
                <w:b/>
                <w:sz w:val="24"/>
              </w:rPr>
              <w:t>insider</w:t>
            </w:r>
            <w:r>
              <w:rPr>
                <w:b/>
                <w:spacing w:val="-6"/>
                <w:sz w:val="24"/>
              </w:rPr>
              <w:t> </w:t>
            </w:r>
            <w:r>
              <w:rPr>
                <w:b/>
                <w:sz w:val="24"/>
              </w:rPr>
              <w:t>information</w:t>
            </w:r>
            <w:r>
              <w:rPr>
                <w:b/>
                <w:spacing w:val="-3"/>
                <w:sz w:val="24"/>
              </w:rPr>
              <w:t> </w:t>
            </w:r>
            <w:r>
              <w:rPr>
                <w:b/>
                <w:sz w:val="24"/>
              </w:rPr>
              <w:t>(Art.</w:t>
            </w:r>
            <w:r>
              <w:rPr>
                <w:b/>
                <w:spacing w:val="-4"/>
                <w:sz w:val="24"/>
              </w:rPr>
              <w:t> </w:t>
            </w:r>
            <w:r>
              <w:rPr>
                <w:b/>
                <w:sz w:val="24"/>
              </w:rPr>
              <w:t>142</w:t>
            </w:r>
            <w:r>
              <w:rPr>
                <w:b/>
                <w:spacing w:val="-4"/>
                <w:sz w:val="24"/>
              </w:rPr>
              <w:t> </w:t>
            </w:r>
            <w:r>
              <w:rPr>
                <w:b/>
                <w:spacing w:val="-2"/>
                <w:sz w:val="24"/>
              </w:rPr>
              <w:t>FMIA)</w:t>
            </w:r>
          </w:p>
        </w:tc>
        <w:tc>
          <w:tcPr>
            <w:tcW w:w="702" w:type="dxa"/>
          </w:tcPr>
          <w:p>
            <w:pPr>
              <w:pStyle w:val="TableParagraph"/>
              <w:rPr>
                <w:rFonts w:ascii="Times New Roman"/>
                <w:sz w:val="18"/>
              </w:rPr>
            </w:pPr>
          </w:p>
        </w:tc>
      </w:tr>
      <w:tr>
        <w:trPr>
          <w:trHeight w:val="1800" w:hRule="atLeast"/>
        </w:trPr>
        <w:tc>
          <w:tcPr>
            <w:tcW w:w="8505" w:type="dxa"/>
          </w:tcPr>
          <w:p>
            <w:pPr>
              <w:pStyle w:val="TableParagraph"/>
              <w:spacing w:line="271" w:lineRule="auto" w:before="130"/>
              <w:ind w:left="50" w:right="349"/>
              <w:jc w:val="both"/>
              <w:rPr>
                <w:sz w:val="20"/>
              </w:rPr>
            </w:pPr>
            <w:r>
              <w:rPr>
                <w:sz w:val="20"/>
              </w:rPr>
              <w:t>The term “security-related derivatives” under Article 142 para. 1 FMIA also includes non- standardised over-the-counter (OTC) products. The question of whether a derivatives transaction is made on or off a trading venue is immaterial for the purpose of determining misuse of information. It is equally immaterial whether the security-related derivatives are traded in Switzerland or abroad if they are derived from securities admitted to trading on a trading venue in Switzerland.</w:t>
            </w:r>
          </w:p>
        </w:tc>
        <w:tc>
          <w:tcPr>
            <w:tcW w:w="702" w:type="dxa"/>
          </w:tcPr>
          <w:p>
            <w:pPr>
              <w:pStyle w:val="TableParagraph"/>
              <w:spacing w:before="132"/>
              <w:ind w:right="49"/>
              <w:jc w:val="right"/>
              <w:rPr>
                <w:sz w:val="20"/>
              </w:rPr>
            </w:pPr>
            <w:r>
              <w:rPr>
                <w:spacing w:val="-5"/>
                <w:sz w:val="20"/>
              </w:rPr>
              <w:t>12*</w:t>
            </w:r>
          </w:p>
        </w:tc>
      </w:tr>
      <w:tr>
        <w:trPr>
          <w:trHeight w:val="1020" w:hRule="atLeast"/>
        </w:trPr>
        <w:tc>
          <w:tcPr>
            <w:tcW w:w="8505" w:type="dxa"/>
          </w:tcPr>
          <w:p>
            <w:pPr>
              <w:pStyle w:val="TableParagraph"/>
              <w:spacing w:line="273" w:lineRule="auto" w:before="130"/>
              <w:ind w:left="50" w:right="352"/>
              <w:jc w:val="both"/>
              <w:rPr>
                <w:sz w:val="20"/>
              </w:rPr>
            </w:pPr>
            <w:r>
              <w:rPr>
                <w:sz w:val="20"/>
              </w:rPr>
              <w:t>Securities</w:t>
            </w:r>
            <w:r>
              <w:rPr>
                <w:spacing w:val="-11"/>
                <w:sz w:val="20"/>
              </w:rPr>
              <w:t> </w:t>
            </w:r>
            <w:r>
              <w:rPr>
                <w:sz w:val="20"/>
              </w:rPr>
              <w:t>trades</w:t>
            </w:r>
            <w:r>
              <w:rPr>
                <w:spacing w:val="-11"/>
                <w:sz w:val="20"/>
              </w:rPr>
              <w:t> </w:t>
            </w:r>
            <w:r>
              <w:rPr>
                <w:sz w:val="20"/>
              </w:rPr>
              <w:t>that</w:t>
            </w:r>
            <w:r>
              <w:rPr>
                <w:spacing w:val="-12"/>
                <w:sz w:val="20"/>
              </w:rPr>
              <w:t> </w:t>
            </w:r>
            <w:r>
              <w:rPr>
                <w:sz w:val="20"/>
              </w:rPr>
              <w:t>were</w:t>
            </w:r>
            <w:r>
              <w:rPr>
                <w:spacing w:val="-9"/>
                <w:sz w:val="20"/>
              </w:rPr>
              <w:t> </w:t>
            </w:r>
            <w:r>
              <w:rPr>
                <w:sz w:val="20"/>
              </w:rPr>
              <w:t>demonstrably</w:t>
            </w:r>
            <w:r>
              <w:rPr>
                <w:spacing w:val="-11"/>
                <w:sz w:val="20"/>
              </w:rPr>
              <w:t> </w:t>
            </w:r>
            <w:r>
              <w:rPr>
                <w:sz w:val="20"/>
              </w:rPr>
              <w:t>not</w:t>
            </w:r>
            <w:r>
              <w:rPr>
                <w:spacing w:val="-10"/>
                <w:sz w:val="20"/>
              </w:rPr>
              <w:t> </w:t>
            </w:r>
            <w:r>
              <w:rPr>
                <w:sz w:val="20"/>
              </w:rPr>
              <w:t>executed</w:t>
            </w:r>
            <w:r>
              <w:rPr>
                <w:spacing w:val="-10"/>
                <w:sz w:val="20"/>
              </w:rPr>
              <w:t> </w:t>
            </w:r>
            <w:r>
              <w:rPr>
                <w:sz w:val="20"/>
              </w:rPr>
              <w:t>on</w:t>
            </w:r>
            <w:r>
              <w:rPr>
                <w:spacing w:val="-12"/>
                <w:sz w:val="20"/>
              </w:rPr>
              <w:t> </w:t>
            </w:r>
            <w:r>
              <w:rPr>
                <w:sz w:val="20"/>
              </w:rPr>
              <w:t>the</w:t>
            </w:r>
            <w:r>
              <w:rPr>
                <w:spacing w:val="-12"/>
                <w:sz w:val="20"/>
              </w:rPr>
              <w:t> </w:t>
            </w:r>
            <w:r>
              <w:rPr>
                <w:sz w:val="20"/>
              </w:rPr>
              <w:t>basis</w:t>
            </w:r>
            <w:r>
              <w:rPr>
                <w:spacing w:val="-11"/>
                <w:sz w:val="20"/>
              </w:rPr>
              <w:t> </w:t>
            </w:r>
            <w:r>
              <w:rPr>
                <w:sz w:val="20"/>
              </w:rPr>
              <w:t>of</w:t>
            </w:r>
            <w:r>
              <w:rPr>
                <w:spacing w:val="-10"/>
                <w:sz w:val="20"/>
              </w:rPr>
              <w:t> </w:t>
            </w:r>
            <w:r>
              <w:rPr>
                <w:sz w:val="20"/>
              </w:rPr>
              <w:t>confidential</w:t>
            </w:r>
            <w:r>
              <w:rPr>
                <w:spacing w:val="-11"/>
                <w:sz w:val="20"/>
              </w:rPr>
              <w:t> </w:t>
            </w:r>
            <w:r>
              <w:rPr>
                <w:sz w:val="20"/>
              </w:rPr>
              <w:t>and</w:t>
            </w:r>
            <w:r>
              <w:rPr>
                <w:spacing w:val="-10"/>
                <w:sz w:val="20"/>
              </w:rPr>
              <w:t> </w:t>
            </w:r>
            <w:r>
              <w:rPr>
                <w:sz w:val="20"/>
              </w:rPr>
              <w:t>price- sensitive information, despite such information being known, and would indeed have been executed even without such knowledge do not constitute misuse of insider information.</w:t>
            </w:r>
          </w:p>
        </w:tc>
        <w:tc>
          <w:tcPr>
            <w:tcW w:w="702" w:type="dxa"/>
          </w:tcPr>
          <w:p>
            <w:pPr>
              <w:pStyle w:val="TableParagraph"/>
              <w:spacing w:before="132"/>
              <w:ind w:right="50"/>
              <w:jc w:val="right"/>
              <w:rPr>
                <w:sz w:val="20"/>
              </w:rPr>
            </w:pPr>
            <w:r>
              <w:rPr>
                <w:spacing w:val="-5"/>
                <w:sz w:val="20"/>
              </w:rPr>
              <w:t>13</w:t>
            </w:r>
          </w:p>
        </w:tc>
      </w:tr>
      <w:tr>
        <w:trPr>
          <w:trHeight w:val="1020" w:hRule="atLeast"/>
        </w:trPr>
        <w:tc>
          <w:tcPr>
            <w:tcW w:w="8505" w:type="dxa"/>
          </w:tcPr>
          <w:p>
            <w:pPr>
              <w:pStyle w:val="TableParagraph"/>
              <w:spacing w:line="273" w:lineRule="auto" w:before="130"/>
              <w:ind w:left="50" w:right="353"/>
              <w:jc w:val="both"/>
              <w:rPr>
                <w:sz w:val="20"/>
              </w:rPr>
            </w:pPr>
            <w:r>
              <w:rPr>
                <w:sz w:val="20"/>
              </w:rPr>
              <w:t>Altering or cancelling an order relating to a security or security-related derivatives on the basis</w:t>
            </w:r>
            <w:r>
              <w:rPr>
                <w:spacing w:val="-4"/>
                <w:sz w:val="20"/>
              </w:rPr>
              <w:t> </w:t>
            </w:r>
            <w:r>
              <w:rPr>
                <w:sz w:val="20"/>
              </w:rPr>
              <w:t>of</w:t>
            </w:r>
            <w:r>
              <w:rPr>
                <w:spacing w:val="-3"/>
                <w:sz w:val="20"/>
              </w:rPr>
              <w:t> </w:t>
            </w:r>
            <w:r>
              <w:rPr>
                <w:sz w:val="20"/>
              </w:rPr>
              <w:t>insider</w:t>
            </w:r>
            <w:r>
              <w:rPr>
                <w:spacing w:val="-2"/>
                <w:sz w:val="20"/>
              </w:rPr>
              <w:t> </w:t>
            </w:r>
            <w:r>
              <w:rPr>
                <w:sz w:val="20"/>
              </w:rPr>
              <w:t>information</w:t>
            </w:r>
            <w:r>
              <w:rPr>
                <w:spacing w:val="-1"/>
                <w:sz w:val="20"/>
              </w:rPr>
              <w:t> </w:t>
            </w:r>
            <w:r>
              <w:rPr>
                <w:sz w:val="20"/>
              </w:rPr>
              <w:t>does</w:t>
            </w:r>
            <w:r>
              <w:rPr>
                <w:spacing w:val="-4"/>
                <w:sz w:val="20"/>
              </w:rPr>
              <w:t> </w:t>
            </w:r>
            <w:r>
              <w:rPr>
                <w:sz w:val="20"/>
              </w:rPr>
              <w:t>constitute</w:t>
            </w:r>
            <w:r>
              <w:rPr>
                <w:spacing w:val="-3"/>
                <w:sz w:val="20"/>
              </w:rPr>
              <w:t> </w:t>
            </w:r>
            <w:r>
              <w:rPr>
                <w:sz w:val="20"/>
              </w:rPr>
              <w:t>misuse</w:t>
            </w:r>
            <w:r>
              <w:rPr>
                <w:spacing w:val="-3"/>
                <w:sz w:val="20"/>
              </w:rPr>
              <w:t> </w:t>
            </w:r>
            <w:r>
              <w:rPr>
                <w:sz w:val="20"/>
              </w:rPr>
              <w:t>of</w:t>
            </w:r>
            <w:r>
              <w:rPr>
                <w:spacing w:val="-3"/>
                <w:sz w:val="20"/>
              </w:rPr>
              <w:t> </w:t>
            </w:r>
            <w:r>
              <w:rPr>
                <w:sz w:val="20"/>
              </w:rPr>
              <w:t>insider</w:t>
            </w:r>
            <w:r>
              <w:rPr>
                <w:spacing w:val="-2"/>
                <w:sz w:val="20"/>
              </w:rPr>
              <w:t> </w:t>
            </w:r>
            <w:r>
              <w:rPr>
                <w:sz w:val="20"/>
              </w:rPr>
              <w:t>information</w:t>
            </w:r>
            <w:r>
              <w:rPr>
                <w:spacing w:val="-3"/>
                <w:sz w:val="20"/>
              </w:rPr>
              <w:t> </w:t>
            </w:r>
            <w:r>
              <w:rPr>
                <w:sz w:val="20"/>
              </w:rPr>
              <w:t>if</w:t>
            </w:r>
            <w:r>
              <w:rPr>
                <w:spacing w:val="-3"/>
                <w:sz w:val="20"/>
              </w:rPr>
              <w:t> </w:t>
            </w:r>
            <w:r>
              <w:rPr>
                <w:sz w:val="20"/>
              </w:rPr>
              <w:t>the</w:t>
            </w:r>
            <w:r>
              <w:rPr>
                <w:spacing w:val="-3"/>
                <w:sz w:val="20"/>
              </w:rPr>
              <w:t> </w:t>
            </w:r>
            <w:r>
              <w:rPr>
                <w:sz w:val="20"/>
              </w:rPr>
              <w:t>original</w:t>
            </w:r>
            <w:r>
              <w:rPr>
                <w:spacing w:val="-4"/>
                <w:sz w:val="20"/>
              </w:rPr>
              <w:t> </w:t>
            </w:r>
            <w:r>
              <w:rPr>
                <w:sz w:val="20"/>
              </w:rPr>
              <w:t>order was issued before the insider information was known.</w:t>
            </w:r>
          </w:p>
        </w:tc>
        <w:tc>
          <w:tcPr>
            <w:tcW w:w="702" w:type="dxa"/>
          </w:tcPr>
          <w:p>
            <w:pPr>
              <w:pStyle w:val="TableParagraph"/>
              <w:spacing w:before="132"/>
              <w:ind w:right="49"/>
              <w:jc w:val="right"/>
              <w:rPr>
                <w:sz w:val="20"/>
              </w:rPr>
            </w:pPr>
            <w:r>
              <w:rPr>
                <w:spacing w:val="-5"/>
                <w:sz w:val="20"/>
              </w:rPr>
              <w:t>14*</w:t>
            </w:r>
          </w:p>
        </w:tc>
      </w:tr>
      <w:tr>
        <w:trPr>
          <w:trHeight w:val="1401" w:hRule="atLeast"/>
        </w:trPr>
        <w:tc>
          <w:tcPr>
            <w:tcW w:w="8505" w:type="dxa"/>
          </w:tcPr>
          <w:p>
            <w:pPr>
              <w:pStyle w:val="TableParagraph"/>
              <w:spacing w:line="271" w:lineRule="auto" w:before="130"/>
              <w:ind w:left="50" w:right="356"/>
              <w:jc w:val="both"/>
              <w:rPr>
                <w:sz w:val="20"/>
              </w:rPr>
            </w:pPr>
            <w:r>
              <w:rPr>
                <w:sz w:val="20"/>
              </w:rPr>
              <w:t>Taking advantage of the expected market reaction of market participants and of securities prices in the knowledge of an impending announcement of investment recommendations (“scalping”) also constitutes a violation of Article 142 para. 1 let. a FMIA if the recommendations</w:t>
            </w:r>
            <w:r>
              <w:rPr>
                <w:spacing w:val="27"/>
                <w:sz w:val="20"/>
              </w:rPr>
              <w:t> </w:t>
            </w:r>
            <w:r>
              <w:rPr>
                <w:sz w:val="20"/>
              </w:rPr>
              <w:t>in</w:t>
            </w:r>
            <w:r>
              <w:rPr>
                <w:spacing w:val="28"/>
                <w:sz w:val="20"/>
              </w:rPr>
              <w:t> </w:t>
            </w:r>
            <w:r>
              <w:rPr>
                <w:sz w:val="20"/>
              </w:rPr>
              <w:t>question</w:t>
            </w:r>
            <w:r>
              <w:rPr>
                <w:spacing w:val="28"/>
                <w:sz w:val="20"/>
              </w:rPr>
              <w:t> </w:t>
            </w:r>
            <w:r>
              <w:rPr>
                <w:sz w:val="20"/>
              </w:rPr>
              <w:t>are</w:t>
            </w:r>
            <w:r>
              <w:rPr>
                <w:spacing w:val="27"/>
                <w:sz w:val="20"/>
              </w:rPr>
              <w:t> </w:t>
            </w:r>
            <w:r>
              <w:rPr>
                <w:sz w:val="20"/>
              </w:rPr>
              <w:t>capable</w:t>
            </w:r>
            <w:r>
              <w:rPr>
                <w:spacing w:val="32"/>
                <w:sz w:val="20"/>
              </w:rPr>
              <w:t> </w:t>
            </w:r>
            <w:r>
              <w:rPr>
                <w:sz w:val="20"/>
              </w:rPr>
              <w:t>of</w:t>
            </w:r>
            <w:r>
              <w:rPr>
                <w:spacing w:val="28"/>
                <w:sz w:val="20"/>
              </w:rPr>
              <w:t> </w:t>
            </w:r>
            <w:r>
              <w:rPr>
                <w:sz w:val="20"/>
              </w:rPr>
              <w:t>significantly</w:t>
            </w:r>
            <w:r>
              <w:rPr>
                <w:spacing w:val="29"/>
                <w:sz w:val="20"/>
              </w:rPr>
              <w:t> </w:t>
            </w:r>
            <w:r>
              <w:rPr>
                <w:sz w:val="20"/>
              </w:rPr>
              <w:t>influencing</w:t>
            </w:r>
            <w:r>
              <w:rPr>
                <w:spacing w:val="26"/>
                <w:sz w:val="20"/>
              </w:rPr>
              <w:t> </w:t>
            </w:r>
            <w:r>
              <w:rPr>
                <w:sz w:val="20"/>
              </w:rPr>
              <w:t>the</w:t>
            </w:r>
            <w:r>
              <w:rPr>
                <w:spacing w:val="28"/>
                <w:sz w:val="20"/>
              </w:rPr>
              <w:t> </w:t>
            </w:r>
            <w:r>
              <w:rPr>
                <w:sz w:val="20"/>
              </w:rPr>
              <w:t>market</w:t>
            </w:r>
            <w:r>
              <w:rPr>
                <w:spacing w:val="26"/>
                <w:sz w:val="20"/>
              </w:rPr>
              <w:t> </w:t>
            </w:r>
            <w:r>
              <w:rPr>
                <w:sz w:val="20"/>
              </w:rPr>
              <w:t>price</w:t>
            </w:r>
            <w:r>
              <w:rPr>
                <w:spacing w:val="28"/>
                <w:sz w:val="20"/>
              </w:rPr>
              <w:t> </w:t>
            </w:r>
            <w:r>
              <w:rPr>
                <w:sz w:val="20"/>
              </w:rPr>
              <w:t>of</w:t>
            </w:r>
          </w:p>
          <w:p>
            <w:pPr>
              <w:pStyle w:val="TableParagraph"/>
              <w:spacing w:line="210" w:lineRule="exact" w:before="2"/>
              <w:ind w:left="50"/>
              <w:jc w:val="both"/>
              <w:rPr>
                <w:sz w:val="20"/>
              </w:rPr>
            </w:pPr>
            <w:r>
              <w:rPr>
                <w:sz w:val="20"/>
              </w:rPr>
              <w:t>securities</w:t>
            </w:r>
            <w:r>
              <w:rPr>
                <w:spacing w:val="-3"/>
                <w:sz w:val="20"/>
              </w:rPr>
              <w:t> </w:t>
            </w:r>
            <w:r>
              <w:rPr>
                <w:sz w:val="20"/>
              </w:rPr>
              <w:t>in</w:t>
            </w:r>
            <w:r>
              <w:rPr>
                <w:spacing w:val="-4"/>
                <w:sz w:val="20"/>
              </w:rPr>
              <w:t> </w:t>
            </w:r>
            <w:r>
              <w:rPr>
                <w:sz w:val="20"/>
              </w:rPr>
              <w:t>accordance</w:t>
            </w:r>
            <w:r>
              <w:rPr>
                <w:spacing w:val="-6"/>
                <w:sz w:val="20"/>
              </w:rPr>
              <w:t> </w:t>
            </w:r>
            <w:r>
              <w:rPr>
                <w:sz w:val="20"/>
              </w:rPr>
              <w:t>with</w:t>
            </w:r>
            <w:r>
              <w:rPr>
                <w:spacing w:val="-6"/>
                <w:sz w:val="20"/>
              </w:rPr>
              <w:t> </w:t>
            </w:r>
            <w:r>
              <w:rPr>
                <w:sz w:val="20"/>
              </w:rPr>
              <w:t>Article</w:t>
            </w:r>
            <w:r>
              <w:rPr>
                <w:spacing w:val="-4"/>
                <w:sz w:val="20"/>
              </w:rPr>
              <w:t> </w:t>
            </w:r>
            <w:r>
              <w:rPr>
                <w:sz w:val="20"/>
              </w:rPr>
              <w:t>2</w:t>
            </w:r>
            <w:r>
              <w:rPr>
                <w:spacing w:val="-6"/>
                <w:sz w:val="20"/>
              </w:rPr>
              <w:t> </w:t>
            </w:r>
            <w:r>
              <w:rPr>
                <w:sz w:val="20"/>
              </w:rPr>
              <w:t>let.</w:t>
            </w:r>
            <w:r>
              <w:rPr>
                <w:spacing w:val="-5"/>
                <w:sz w:val="20"/>
              </w:rPr>
              <w:t> </w:t>
            </w:r>
            <w:r>
              <w:rPr>
                <w:sz w:val="20"/>
              </w:rPr>
              <w:t>j</w:t>
            </w:r>
            <w:r>
              <w:rPr>
                <w:spacing w:val="-5"/>
                <w:sz w:val="20"/>
              </w:rPr>
              <w:t> </w:t>
            </w:r>
            <w:r>
              <w:rPr>
                <w:spacing w:val="-4"/>
                <w:sz w:val="20"/>
              </w:rPr>
              <w:t>FMIA.</w:t>
            </w:r>
          </w:p>
        </w:tc>
        <w:tc>
          <w:tcPr>
            <w:tcW w:w="702" w:type="dxa"/>
          </w:tcPr>
          <w:p>
            <w:pPr>
              <w:pStyle w:val="TableParagraph"/>
              <w:spacing w:before="132"/>
              <w:ind w:right="50"/>
              <w:jc w:val="right"/>
              <w:rPr>
                <w:sz w:val="20"/>
              </w:rPr>
            </w:pPr>
            <w:r>
              <w:rPr>
                <w:spacing w:val="-5"/>
                <w:sz w:val="20"/>
              </w:rPr>
              <w:t>15</w:t>
            </w:r>
          </w:p>
        </w:tc>
      </w:tr>
    </w:tbl>
    <w:p>
      <w:pPr>
        <w:pStyle w:val="TableParagraph"/>
        <w:spacing w:after="0"/>
        <w:jc w:val="right"/>
        <w:rPr>
          <w:sz w:val="20"/>
        </w:rPr>
        <w:sectPr>
          <w:pgSz w:w="11900" w:h="16850"/>
          <w:pgMar w:header="828" w:footer="318" w:top="1400" w:bottom="500" w:left="1559" w:right="850"/>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27"/>
        <w:rPr>
          <w:b/>
          <w:sz w:val="20"/>
        </w:rPr>
      </w:pPr>
    </w:p>
    <w:tbl>
      <w:tblPr>
        <w:tblW w:w="0" w:type="auto"/>
        <w:jc w:val="left"/>
        <w:tblInd w:w="2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507"/>
        <w:gridCol w:w="700"/>
      </w:tblGrid>
      <w:tr>
        <w:trPr>
          <w:trHeight w:val="405" w:hRule="atLeast"/>
        </w:trPr>
        <w:tc>
          <w:tcPr>
            <w:tcW w:w="8507" w:type="dxa"/>
          </w:tcPr>
          <w:p>
            <w:pPr>
              <w:pStyle w:val="TableParagraph"/>
              <w:tabs>
                <w:tab w:pos="616" w:val="left" w:leader="none"/>
              </w:tabs>
              <w:spacing w:line="268" w:lineRule="exact"/>
              <w:ind w:left="50"/>
              <w:rPr>
                <w:b/>
                <w:sz w:val="24"/>
              </w:rPr>
            </w:pPr>
            <w:r>
              <w:rPr>
                <w:b/>
                <w:spacing w:val="-5"/>
                <w:sz w:val="24"/>
              </w:rPr>
              <w:t>V.</w:t>
            </w:r>
            <w:r>
              <w:rPr>
                <w:b/>
                <w:sz w:val="24"/>
              </w:rPr>
              <w:tab/>
              <w:t>Market</w:t>
            </w:r>
            <w:r>
              <w:rPr>
                <w:b/>
                <w:spacing w:val="-4"/>
                <w:sz w:val="24"/>
              </w:rPr>
              <w:t> </w:t>
            </w:r>
            <w:r>
              <w:rPr>
                <w:b/>
                <w:sz w:val="24"/>
              </w:rPr>
              <w:t>manipulation</w:t>
            </w:r>
            <w:r>
              <w:rPr>
                <w:b/>
                <w:spacing w:val="-6"/>
                <w:sz w:val="24"/>
              </w:rPr>
              <w:t> </w:t>
            </w:r>
            <w:r>
              <w:rPr>
                <w:b/>
                <w:sz w:val="24"/>
              </w:rPr>
              <w:t>(Art.</w:t>
            </w:r>
            <w:r>
              <w:rPr>
                <w:b/>
                <w:spacing w:val="-4"/>
                <w:sz w:val="24"/>
              </w:rPr>
              <w:t> </w:t>
            </w:r>
            <w:r>
              <w:rPr>
                <w:b/>
                <w:sz w:val="24"/>
              </w:rPr>
              <w:t>143</w:t>
            </w:r>
            <w:r>
              <w:rPr>
                <w:b/>
                <w:spacing w:val="-3"/>
                <w:sz w:val="24"/>
              </w:rPr>
              <w:t> </w:t>
            </w:r>
            <w:r>
              <w:rPr>
                <w:b/>
                <w:spacing w:val="-2"/>
                <w:sz w:val="24"/>
              </w:rPr>
              <w:t>FMIA)</w:t>
            </w:r>
          </w:p>
        </w:tc>
        <w:tc>
          <w:tcPr>
            <w:tcW w:w="700" w:type="dxa"/>
          </w:tcPr>
          <w:p>
            <w:pPr>
              <w:pStyle w:val="TableParagraph"/>
              <w:rPr>
                <w:rFonts w:ascii="Times New Roman"/>
                <w:sz w:val="18"/>
              </w:rPr>
            </w:pPr>
          </w:p>
        </w:tc>
      </w:tr>
      <w:tr>
        <w:trPr>
          <w:trHeight w:val="761" w:hRule="atLeast"/>
        </w:trPr>
        <w:tc>
          <w:tcPr>
            <w:tcW w:w="8507" w:type="dxa"/>
          </w:tcPr>
          <w:p>
            <w:pPr>
              <w:pStyle w:val="TableParagraph"/>
              <w:spacing w:line="276" w:lineRule="auto" w:before="130"/>
              <w:ind w:left="50"/>
              <w:rPr>
                <w:sz w:val="20"/>
              </w:rPr>
            </w:pPr>
            <w:r>
              <w:rPr>
                <w:sz w:val="20"/>
              </w:rPr>
              <w:t>Public</w:t>
            </w:r>
            <w:r>
              <w:rPr>
                <w:spacing w:val="40"/>
                <w:sz w:val="20"/>
              </w:rPr>
              <w:t> </w:t>
            </w:r>
            <w:r>
              <w:rPr>
                <w:sz w:val="20"/>
              </w:rPr>
              <w:t>dissemination</w:t>
            </w:r>
            <w:r>
              <w:rPr>
                <w:spacing w:val="39"/>
                <w:sz w:val="20"/>
              </w:rPr>
              <w:t> </w:t>
            </w:r>
            <w:r>
              <w:rPr>
                <w:sz w:val="20"/>
              </w:rPr>
              <w:t>of</w:t>
            </w:r>
            <w:r>
              <w:rPr>
                <w:spacing w:val="40"/>
                <w:sz w:val="20"/>
              </w:rPr>
              <w:t> </w:t>
            </w:r>
            <w:r>
              <w:rPr>
                <w:sz w:val="20"/>
              </w:rPr>
              <w:t>information</w:t>
            </w:r>
            <w:r>
              <w:rPr>
                <w:spacing w:val="40"/>
                <w:sz w:val="20"/>
              </w:rPr>
              <w:t> </w:t>
            </w:r>
            <w:r>
              <w:rPr>
                <w:sz w:val="20"/>
              </w:rPr>
              <w:t>includes</w:t>
            </w:r>
            <w:r>
              <w:rPr>
                <w:spacing w:val="40"/>
                <w:sz w:val="20"/>
              </w:rPr>
              <w:t> </w:t>
            </w:r>
            <w:r>
              <w:rPr>
                <w:sz w:val="20"/>
              </w:rPr>
              <w:t>in</w:t>
            </w:r>
            <w:r>
              <w:rPr>
                <w:spacing w:val="39"/>
                <w:sz w:val="20"/>
              </w:rPr>
              <w:t> </w:t>
            </w:r>
            <w:r>
              <w:rPr>
                <w:sz w:val="20"/>
              </w:rPr>
              <w:t>particular</w:t>
            </w:r>
            <w:r>
              <w:rPr>
                <w:spacing w:val="40"/>
                <w:sz w:val="20"/>
              </w:rPr>
              <w:t> </w:t>
            </w:r>
            <w:r>
              <w:rPr>
                <w:sz w:val="20"/>
              </w:rPr>
              <w:t>announcements</w:t>
            </w:r>
            <w:r>
              <w:rPr>
                <w:spacing w:val="40"/>
                <w:sz w:val="20"/>
              </w:rPr>
              <w:t> </w:t>
            </w:r>
            <w:r>
              <w:rPr>
                <w:sz w:val="20"/>
              </w:rPr>
              <w:t>made</w:t>
            </w:r>
            <w:r>
              <w:rPr>
                <w:spacing w:val="39"/>
                <w:sz w:val="20"/>
              </w:rPr>
              <w:t> </w:t>
            </w:r>
            <w:r>
              <w:rPr>
                <w:sz w:val="20"/>
              </w:rPr>
              <w:t>via</w:t>
            </w:r>
            <w:r>
              <w:rPr>
                <w:spacing w:val="39"/>
                <w:sz w:val="20"/>
              </w:rPr>
              <w:t> </w:t>
            </w:r>
            <w:r>
              <w:rPr>
                <w:sz w:val="20"/>
              </w:rPr>
              <w:t>the financial sector’s usual information channels, the media and the internet.</w:t>
            </w:r>
          </w:p>
        </w:tc>
        <w:tc>
          <w:tcPr>
            <w:tcW w:w="700" w:type="dxa"/>
          </w:tcPr>
          <w:p>
            <w:pPr>
              <w:pStyle w:val="TableParagraph"/>
              <w:spacing w:before="132"/>
              <w:ind w:right="47"/>
              <w:jc w:val="right"/>
              <w:rPr>
                <w:sz w:val="20"/>
              </w:rPr>
            </w:pPr>
            <w:r>
              <w:rPr>
                <w:spacing w:val="-5"/>
                <w:sz w:val="20"/>
              </w:rPr>
              <w:t>16</w:t>
            </w:r>
          </w:p>
        </w:tc>
      </w:tr>
      <w:tr>
        <w:trPr>
          <w:trHeight w:val="759" w:hRule="atLeast"/>
        </w:trPr>
        <w:tc>
          <w:tcPr>
            <w:tcW w:w="8507" w:type="dxa"/>
          </w:tcPr>
          <w:p>
            <w:pPr>
              <w:pStyle w:val="TableParagraph"/>
              <w:spacing w:line="273" w:lineRule="auto" w:before="130"/>
              <w:ind w:left="50"/>
              <w:rPr>
                <w:sz w:val="20"/>
              </w:rPr>
            </w:pPr>
            <w:r>
              <w:rPr>
                <w:sz w:val="20"/>
              </w:rPr>
              <w:t>A</w:t>
            </w:r>
            <w:r>
              <w:rPr>
                <w:spacing w:val="-4"/>
                <w:sz w:val="20"/>
              </w:rPr>
              <w:t> </w:t>
            </w:r>
            <w:r>
              <w:rPr>
                <w:sz w:val="20"/>
              </w:rPr>
              <w:t>signal</w:t>
            </w:r>
            <w:r>
              <w:rPr>
                <w:spacing w:val="-3"/>
                <w:sz w:val="20"/>
              </w:rPr>
              <w:t> </w:t>
            </w:r>
            <w:r>
              <w:rPr>
                <w:sz w:val="20"/>
              </w:rPr>
              <w:t>falls</w:t>
            </w:r>
            <w:r>
              <w:rPr>
                <w:spacing w:val="-3"/>
                <w:sz w:val="20"/>
              </w:rPr>
              <w:t> </w:t>
            </w:r>
            <w:r>
              <w:rPr>
                <w:sz w:val="20"/>
              </w:rPr>
              <w:t>within</w:t>
            </w:r>
            <w:r>
              <w:rPr>
                <w:spacing w:val="-4"/>
                <w:sz w:val="20"/>
              </w:rPr>
              <w:t> </w:t>
            </w:r>
            <w:r>
              <w:rPr>
                <w:sz w:val="20"/>
              </w:rPr>
              <w:t>the</w:t>
            </w:r>
            <w:r>
              <w:rPr>
                <w:spacing w:val="-3"/>
                <w:sz w:val="20"/>
              </w:rPr>
              <w:t> </w:t>
            </w:r>
            <w:r>
              <w:rPr>
                <w:sz w:val="20"/>
              </w:rPr>
              <w:t>meaning</w:t>
            </w:r>
            <w:r>
              <w:rPr>
                <w:spacing w:val="-5"/>
                <w:sz w:val="20"/>
              </w:rPr>
              <w:t> </w:t>
            </w:r>
            <w:r>
              <w:rPr>
                <w:sz w:val="20"/>
              </w:rPr>
              <w:t>of</w:t>
            </w:r>
            <w:r>
              <w:rPr>
                <w:spacing w:val="-4"/>
                <w:sz w:val="20"/>
              </w:rPr>
              <w:t> </w:t>
            </w:r>
            <w:r>
              <w:rPr>
                <w:sz w:val="20"/>
              </w:rPr>
              <w:t>Article</w:t>
            </w:r>
            <w:r>
              <w:rPr>
                <w:spacing w:val="-2"/>
                <w:sz w:val="20"/>
              </w:rPr>
              <w:t> </w:t>
            </w:r>
            <w:r>
              <w:rPr>
                <w:sz w:val="20"/>
              </w:rPr>
              <w:t>143</w:t>
            </w:r>
            <w:r>
              <w:rPr>
                <w:spacing w:val="-2"/>
                <w:sz w:val="20"/>
              </w:rPr>
              <w:t> </w:t>
            </w:r>
            <w:r>
              <w:rPr>
                <w:sz w:val="20"/>
              </w:rPr>
              <w:t>FMIA</w:t>
            </w:r>
            <w:r>
              <w:rPr>
                <w:spacing w:val="-4"/>
                <w:sz w:val="20"/>
              </w:rPr>
              <w:t> </w:t>
            </w:r>
            <w:r>
              <w:rPr>
                <w:sz w:val="20"/>
              </w:rPr>
              <w:t>if</w:t>
            </w:r>
            <w:r>
              <w:rPr>
                <w:spacing w:val="-2"/>
                <w:sz w:val="20"/>
              </w:rPr>
              <w:t> </w:t>
            </w:r>
            <w:r>
              <w:rPr>
                <w:sz w:val="20"/>
              </w:rPr>
              <w:t>it</w:t>
            </w:r>
            <w:r>
              <w:rPr>
                <w:spacing w:val="-4"/>
                <w:sz w:val="20"/>
              </w:rPr>
              <w:t> </w:t>
            </w:r>
            <w:r>
              <w:rPr>
                <w:sz w:val="20"/>
              </w:rPr>
              <w:t>is</w:t>
            </w:r>
            <w:r>
              <w:rPr>
                <w:spacing w:val="-3"/>
                <w:sz w:val="20"/>
              </w:rPr>
              <w:t> </w:t>
            </w:r>
            <w:r>
              <w:rPr>
                <w:sz w:val="20"/>
              </w:rPr>
              <w:t>capable</w:t>
            </w:r>
            <w:r>
              <w:rPr>
                <w:spacing w:val="-2"/>
                <w:sz w:val="20"/>
              </w:rPr>
              <w:t> </w:t>
            </w:r>
            <w:r>
              <w:rPr>
                <w:sz w:val="20"/>
              </w:rPr>
              <w:t>of</w:t>
            </w:r>
            <w:r>
              <w:rPr>
                <w:spacing w:val="-4"/>
                <w:sz w:val="20"/>
              </w:rPr>
              <w:t> </w:t>
            </w:r>
            <w:r>
              <w:rPr>
                <w:sz w:val="20"/>
              </w:rPr>
              <w:t>influencing the</w:t>
            </w:r>
            <w:r>
              <w:rPr>
                <w:spacing w:val="-5"/>
                <w:sz w:val="20"/>
              </w:rPr>
              <w:t> </w:t>
            </w:r>
            <w:r>
              <w:rPr>
                <w:sz w:val="20"/>
              </w:rPr>
              <w:t>market behaviour of a reasonable investor who is familiar with the market.</w:t>
            </w:r>
          </w:p>
        </w:tc>
        <w:tc>
          <w:tcPr>
            <w:tcW w:w="700" w:type="dxa"/>
          </w:tcPr>
          <w:p>
            <w:pPr>
              <w:pStyle w:val="TableParagraph"/>
              <w:spacing w:before="132"/>
              <w:ind w:right="50"/>
              <w:jc w:val="right"/>
              <w:rPr>
                <w:sz w:val="20"/>
              </w:rPr>
            </w:pPr>
            <w:r>
              <w:rPr>
                <w:spacing w:val="-5"/>
                <w:sz w:val="20"/>
              </w:rPr>
              <w:t>17</w:t>
            </w:r>
          </w:p>
        </w:tc>
      </w:tr>
      <w:tr>
        <w:trPr>
          <w:trHeight w:val="1281" w:hRule="atLeast"/>
        </w:trPr>
        <w:tc>
          <w:tcPr>
            <w:tcW w:w="8507" w:type="dxa"/>
          </w:tcPr>
          <w:p>
            <w:pPr>
              <w:pStyle w:val="TableParagraph"/>
              <w:spacing w:line="271" w:lineRule="auto" w:before="131"/>
              <w:ind w:left="50" w:right="353"/>
              <w:jc w:val="both"/>
              <w:rPr>
                <w:sz w:val="20"/>
              </w:rPr>
            </w:pPr>
            <w:r>
              <w:rPr>
                <w:sz w:val="20"/>
              </w:rPr>
              <w:t>Market manipulation in accordance with Article 143 FMIA may also involve the use of algorithmic</w:t>
            </w:r>
            <w:r>
              <w:rPr>
                <w:spacing w:val="-14"/>
                <w:sz w:val="20"/>
              </w:rPr>
              <w:t> </w:t>
            </w:r>
            <w:r>
              <w:rPr>
                <w:sz w:val="20"/>
              </w:rPr>
              <w:t>trading</w:t>
            </w:r>
            <w:r>
              <w:rPr>
                <w:spacing w:val="-14"/>
                <w:sz w:val="20"/>
              </w:rPr>
              <w:t> </w:t>
            </w:r>
            <w:r>
              <w:rPr>
                <w:sz w:val="20"/>
              </w:rPr>
              <w:t>programs,</w:t>
            </w:r>
            <w:r>
              <w:rPr>
                <w:spacing w:val="-14"/>
                <w:sz w:val="20"/>
              </w:rPr>
              <w:t> </w:t>
            </w:r>
            <w:r>
              <w:rPr>
                <w:sz w:val="20"/>
              </w:rPr>
              <w:t>particularly</w:t>
            </w:r>
            <w:r>
              <w:rPr>
                <w:spacing w:val="-14"/>
                <w:sz w:val="20"/>
              </w:rPr>
              <w:t> </w:t>
            </w:r>
            <w:r>
              <w:rPr>
                <w:sz w:val="20"/>
              </w:rPr>
              <w:t>in</w:t>
            </w:r>
            <w:r>
              <w:rPr>
                <w:spacing w:val="-14"/>
                <w:sz w:val="20"/>
              </w:rPr>
              <w:t> </w:t>
            </w:r>
            <w:r>
              <w:rPr>
                <w:sz w:val="20"/>
              </w:rPr>
              <w:t>the</w:t>
            </w:r>
            <w:r>
              <w:rPr>
                <w:spacing w:val="-14"/>
                <w:sz w:val="20"/>
              </w:rPr>
              <w:t> </w:t>
            </w:r>
            <w:r>
              <w:rPr>
                <w:sz w:val="20"/>
              </w:rPr>
              <w:t>context</w:t>
            </w:r>
            <w:r>
              <w:rPr>
                <w:spacing w:val="-14"/>
                <w:sz w:val="20"/>
              </w:rPr>
              <w:t> </w:t>
            </w:r>
            <w:r>
              <w:rPr>
                <w:sz w:val="20"/>
              </w:rPr>
              <w:t>of</w:t>
            </w:r>
            <w:r>
              <w:rPr>
                <w:spacing w:val="-14"/>
                <w:sz w:val="20"/>
              </w:rPr>
              <w:t> </w:t>
            </w:r>
            <w:r>
              <w:rPr>
                <w:sz w:val="20"/>
              </w:rPr>
              <w:t>algorithmic</w:t>
            </w:r>
            <w:r>
              <w:rPr>
                <w:spacing w:val="-14"/>
                <w:sz w:val="20"/>
              </w:rPr>
              <w:t> </w:t>
            </w:r>
            <w:r>
              <w:rPr>
                <w:sz w:val="20"/>
              </w:rPr>
              <w:t>high-frequency</w:t>
            </w:r>
            <w:r>
              <w:rPr>
                <w:spacing w:val="-13"/>
                <w:sz w:val="20"/>
              </w:rPr>
              <w:t> </w:t>
            </w:r>
            <w:r>
              <w:rPr>
                <w:sz w:val="20"/>
              </w:rPr>
              <w:t>trading. Anyone</w:t>
            </w:r>
            <w:r>
              <w:rPr>
                <w:spacing w:val="-7"/>
                <w:sz w:val="20"/>
              </w:rPr>
              <w:t> </w:t>
            </w:r>
            <w:r>
              <w:rPr>
                <w:sz w:val="20"/>
              </w:rPr>
              <w:t>engaging</w:t>
            </w:r>
            <w:r>
              <w:rPr>
                <w:spacing w:val="-7"/>
                <w:sz w:val="20"/>
              </w:rPr>
              <w:t> </w:t>
            </w:r>
            <w:r>
              <w:rPr>
                <w:sz w:val="20"/>
              </w:rPr>
              <w:t>in</w:t>
            </w:r>
            <w:r>
              <w:rPr>
                <w:spacing w:val="-7"/>
                <w:sz w:val="20"/>
              </w:rPr>
              <w:t> </w:t>
            </w:r>
            <w:r>
              <w:rPr>
                <w:sz w:val="20"/>
              </w:rPr>
              <w:t>algorithmic</w:t>
            </w:r>
            <w:r>
              <w:rPr>
                <w:spacing w:val="-5"/>
                <w:sz w:val="20"/>
              </w:rPr>
              <w:t> </w:t>
            </w:r>
            <w:r>
              <w:rPr>
                <w:sz w:val="20"/>
              </w:rPr>
              <w:t>trading</w:t>
            </w:r>
            <w:r>
              <w:rPr>
                <w:spacing w:val="-5"/>
                <w:sz w:val="20"/>
              </w:rPr>
              <w:t> </w:t>
            </w:r>
            <w:r>
              <w:rPr>
                <w:sz w:val="20"/>
              </w:rPr>
              <w:t>may</w:t>
            </w:r>
            <w:r>
              <w:rPr>
                <w:spacing w:val="-5"/>
                <w:sz w:val="20"/>
              </w:rPr>
              <w:t> </w:t>
            </w:r>
            <w:r>
              <w:rPr>
                <w:sz w:val="20"/>
              </w:rPr>
              <w:t>not</w:t>
            </w:r>
            <w:r>
              <w:rPr>
                <w:spacing w:val="-6"/>
                <w:sz w:val="20"/>
              </w:rPr>
              <w:t> </w:t>
            </w:r>
            <w:r>
              <w:rPr>
                <w:sz w:val="20"/>
              </w:rPr>
              <w:t>use</w:t>
            </w:r>
            <w:r>
              <w:rPr>
                <w:spacing w:val="-4"/>
                <w:sz w:val="20"/>
              </w:rPr>
              <w:t> </w:t>
            </w:r>
            <w:r>
              <w:rPr>
                <w:sz w:val="20"/>
              </w:rPr>
              <w:t>it</w:t>
            </w:r>
            <w:r>
              <w:rPr>
                <w:spacing w:val="-4"/>
                <w:sz w:val="20"/>
              </w:rPr>
              <w:t> </w:t>
            </w:r>
            <w:r>
              <w:rPr>
                <w:sz w:val="20"/>
              </w:rPr>
              <w:t>to</w:t>
            </w:r>
            <w:r>
              <w:rPr>
                <w:spacing w:val="-7"/>
                <w:sz w:val="20"/>
              </w:rPr>
              <w:t> </w:t>
            </w:r>
            <w:r>
              <w:rPr>
                <w:sz w:val="20"/>
              </w:rPr>
              <w:t>give</w:t>
            </w:r>
            <w:r>
              <w:rPr>
                <w:spacing w:val="-7"/>
                <w:sz w:val="20"/>
              </w:rPr>
              <w:t> </w:t>
            </w:r>
            <w:r>
              <w:rPr>
                <w:sz w:val="20"/>
              </w:rPr>
              <w:t>out</w:t>
            </w:r>
            <w:r>
              <w:rPr>
                <w:spacing w:val="-6"/>
                <w:sz w:val="20"/>
              </w:rPr>
              <w:t> </w:t>
            </w:r>
            <w:r>
              <w:rPr>
                <w:sz w:val="20"/>
              </w:rPr>
              <w:t>false</w:t>
            </w:r>
            <w:r>
              <w:rPr>
                <w:spacing w:val="-7"/>
                <w:sz w:val="20"/>
              </w:rPr>
              <w:t> </w:t>
            </w:r>
            <w:r>
              <w:rPr>
                <w:sz w:val="20"/>
              </w:rPr>
              <w:t>or</w:t>
            </w:r>
            <w:r>
              <w:rPr>
                <w:spacing w:val="-4"/>
                <w:sz w:val="20"/>
              </w:rPr>
              <w:t> </w:t>
            </w:r>
            <w:r>
              <w:rPr>
                <w:sz w:val="20"/>
              </w:rPr>
              <w:t>misleading</w:t>
            </w:r>
            <w:r>
              <w:rPr>
                <w:spacing w:val="-7"/>
                <w:sz w:val="20"/>
              </w:rPr>
              <w:t> </w:t>
            </w:r>
            <w:r>
              <w:rPr>
                <w:sz w:val="20"/>
              </w:rPr>
              <w:t>signals regarding the supply of, demand for or market price of securities.</w:t>
            </w:r>
          </w:p>
        </w:tc>
        <w:tc>
          <w:tcPr>
            <w:tcW w:w="700" w:type="dxa"/>
          </w:tcPr>
          <w:p>
            <w:pPr>
              <w:pStyle w:val="TableParagraph"/>
              <w:spacing w:before="133"/>
              <w:ind w:right="50"/>
              <w:jc w:val="right"/>
              <w:rPr>
                <w:sz w:val="20"/>
              </w:rPr>
            </w:pPr>
            <w:r>
              <w:rPr>
                <w:spacing w:val="-5"/>
                <w:sz w:val="20"/>
              </w:rPr>
              <w:t>18</w:t>
            </w:r>
          </w:p>
        </w:tc>
      </w:tr>
      <w:tr>
        <w:trPr>
          <w:trHeight w:val="488" w:hRule="atLeast"/>
        </w:trPr>
        <w:tc>
          <w:tcPr>
            <w:tcW w:w="8507" w:type="dxa"/>
          </w:tcPr>
          <w:p>
            <w:pPr>
              <w:pStyle w:val="TableParagraph"/>
              <w:spacing w:before="131"/>
              <w:ind w:left="50"/>
              <w:rPr>
                <w:sz w:val="20"/>
              </w:rPr>
            </w:pPr>
            <w:r>
              <w:rPr>
                <w:sz w:val="20"/>
              </w:rPr>
              <w:t>The</w:t>
            </w:r>
            <w:r>
              <w:rPr>
                <w:spacing w:val="-9"/>
                <w:sz w:val="20"/>
              </w:rPr>
              <w:t> </w:t>
            </w:r>
            <w:r>
              <w:rPr>
                <w:sz w:val="20"/>
              </w:rPr>
              <w:t>following</w:t>
            </w:r>
            <w:r>
              <w:rPr>
                <w:spacing w:val="-7"/>
                <w:sz w:val="20"/>
              </w:rPr>
              <w:t> </w:t>
            </w:r>
            <w:r>
              <w:rPr>
                <w:sz w:val="20"/>
              </w:rPr>
              <w:t>are</w:t>
            </w:r>
            <w:r>
              <w:rPr>
                <w:spacing w:val="-8"/>
                <w:sz w:val="20"/>
              </w:rPr>
              <w:t> </w:t>
            </w:r>
            <w:r>
              <w:rPr>
                <w:sz w:val="20"/>
              </w:rPr>
              <w:t>examples</w:t>
            </w:r>
            <w:r>
              <w:rPr>
                <w:spacing w:val="-7"/>
                <w:sz w:val="20"/>
              </w:rPr>
              <w:t> </w:t>
            </w:r>
            <w:r>
              <w:rPr>
                <w:sz w:val="20"/>
              </w:rPr>
              <w:t>of</w:t>
            </w:r>
            <w:r>
              <w:rPr>
                <w:spacing w:val="-8"/>
                <w:sz w:val="20"/>
              </w:rPr>
              <w:t> </w:t>
            </w:r>
            <w:r>
              <w:rPr>
                <w:sz w:val="20"/>
              </w:rPr>
              <w:t>conduct</w:t>
            </w:r>
            <w:r>
              <w:rPr>
                <w:spacing w:val="-8"/>
                <w:sz w:val="20"/>
              </w:rPr>
              <w:t> </w:t>
            </w:r>
            <w:r>
              <w:rPr>
                <w:sz w:val="20"/>
              </w:rPr>
              <w:t>that</w:t>
            </w:r>
            <w:r>
              <w:rPr>
                <w:spacing w:val="-8"/>
                <w:sz w:val="20"/>
              </w:rPr>
              <w:t> </w:t>
            </w:r>
            <w:r>
              <w:rPr>
                <w:sz w:val="20"/>
              </w:rPr>
              <w:t>particularly</w:t>
            </w:r>
            <w:r>
              <w:rPr>
                <w:spacing w:val="-5"/>
                <w:sz w:val="20"/>
              </w:rPr>
              <w:t> </w:t>
            </w:r>
            <w:r>
              <w:rPr>
                <w:sz w:val="20"/>
              </w:rPr>
              <w:t>violate</w:t>
            </w:r>
            <w:r>
              <w:rPr>
                <w:spacing w:val="-6"/>
                <w:sz w:val="20"/>
              </w:rPr>
              <w:t> </w:t>
            </w:r>
            <w:r>
              <w:rPr>
                <w:sz w:val="20"/>
              </w:rPr>
              <w:t>Article</w:t>
            </w:r>
            <w:r>
              <w:rPr>
                <w:spacing w:val="-8"/>
                <w:sz w:val="20"/>
              </w:rPr>
              <w:t> </w:t>
            </w:r>
            <w:r>
              <w:rPr>
                <w:sz w:val="20"/>
              </w:rPr>
              <w:t>143</w:t>
            </w:r>
            <w:r>
              <w:rPr>
                <w:spacing w:val="-8"/>
                <w:sz w:val="20"/>
              </w:rPr>
              <w:t> </w:t>
            </w:r>
            <w:r>
              <w:rPr>
                <w:spacing w:val="-2"/>
                <w:sz w:val="20"/>
              </w:rPr>
              <w:t>FMIA:</w:t>
            </w:r>
          </w:p>
        </w:tc>
        <w:tc>
          <w:tcPr>
            <w:tcW w:w="700" w:type="dxa"/>
          </w:tcPr>
          <w:p>
            <w:pPr>
              <w:pStyle w:val="TableParagraph"/>
              <w:spacing w:before="131"/>
              <w:ind w:right="50"/>
              <w:jc w:val="right"/>
              <w:rPr>
                <w:sz w:val="20"/>
              </w:rPr>
            </w:pPr>
            <w:r>
              <w:rPr>
                <w:spacing w:val="-5"/>
                <w:sz w:val="20"/>
              </w:rPr>
              <w:t>19</w:t>
            </w:r>
          </w:p>
        </w:tc>
      </w:tr>
      <w:tr>
        <w:trPr>
          <w:trHeight w:val="1020" w:hRule="atLeast"/>
        </w:trPr>
        <w:tc>
          <w:tcPr>
            <w:tcW w:w="8507" w:type="dxa"/>
          </w:tcPr>
          <w:p>
            <w:pPr>
              <w:pStyle w:val="TableParagraph"/>
              <w:numPr>
                <w:ilvl w:val="0"/>
                <w:numId w:val="1"/>
              </w:numPr>
              <w:tabs>
                <w:tab w:pos="475" w:val="left" w:leader="none"/>
                <w:tab w:pos="477" w:val="left" w:leader="none"/>
              </w:tabs>
              <w:spacing w:line="271" w:lineRule="auto" w:before="126" w:after="0"/>
              <w:ind w:left="477" w:right="356" w:hanging="428"/>
              <w:jc w:val="both"/>
              <w:rPr>
                <w:sz w:val="20"/>
              </w:rPr>
            </w:pPr>
            <w:r>
              <w:rPr>
                <w:sz w:val="20"/>
              </w:rPr>
              <w:t>Disseminating false or misleading information on circumstances of substantial importance</w:t>
            </w:r>
            <w:r>
              <w:rPr>
                <w:spacing w:val="-5"/>
                <w:sz w:val="20"/>
              </w:rPr>
              <w:t> </w:t>
            </w:r>
            <w:r>
              <w:rPr>
                <w:sz w:val="20"/>
              </w:rPr>
              <w:t>for</w:t>
            </w:r>
            <w:r>
              <w:rPr>
                <w:spacing w:val="-4"/>
                <w:sz w:val="20"/>
              </w:rPr>
              <w:t> </w:t>
            </w:r>
            <w:r>
              <w:rPr>
                <w:sz w:val="20"/>
              </w:rPr>
              <w:t>the</w:t>
            </w:r>
            <w:r>
              <w:rPr>
                <w:spacing w:val="-7"/>
                <w:sz w:val="20"/>
              </w:rPr>
              <w:t> </w:t>
            </w:r>
            <w:r>
              <w:rPr>
                <w:sz w:val="20"/>
              </w:rPr>
              <w:t>valuation</w:t>
            </w:r>
            <w:r>
              <w:rPr>
                <w:spacing w:val="-7"/>
                <w:sz w:val="20"/>
              </w:rPr>
              <w:t> </w:t>
            </w:r>
            <w:r>
              <w:rPr>
                <w:sz w:val="20"/>
              </w:rPr>
              <w:t>of</w:t>
            </w:r>
            <w:r>
              <w:rPr>
                <w:spacing w:val="-4"/>
                <w:sz w:val="20"/>
              </w:rPr>
              <w:t> </w:t>
            </w:r>
            <w:r>
              <w:rPr>
                <w:sz w:val="20"/>
              </w:rPr>
              <w:t>a</w:t>
            </w:r>
            <w:r>
              <w:rPr>
                <w:spacing w:val="-7"/>
                <w:sz w:val="20"/>
              </w:rPr>
              <w:t> </w:t>
            </w:r>
            <w:r>
              <w:rPr>
                <w:sz w:val="20"/>
              </w:rPr>
              <w:t>security</w:t>
            </w:r>
            <w:r>
              <w:rPr>
                <w:spacing w:val="-5"/>
                <w:sz w:val="20"/>
              </w:rPr>
              <w:t> </w:t>
            </w:r>
            <w:r>
              <w:rPr>
                <w:sz w:val="20"/>
              </w:rPr>
              <w:t>(e.g.</w:t>
            </w:r>
            <w:r>
              <w:rPr>
                <w:spacing w:val="-4"/>
                <w:sz w:val="20"/>
              </w:rPr>
              <w:t> </w:t>
            </w:r>
            <w:r>
              <w:rPr>
                <w:sz w:val="20"/>
              </w:rPr>
              <w:t>a</w:t>
            </w:r>
            <w:r>
              <w:rPr>
                <w:spacing w:val="-7"/>
                <w:sz w:val="20"/>
              </w:rPr>
              <w:t> </w:t>
            </w:r>
            <w:r>
              <w:rPr>
                <w:sz w:val="20"/>
              </w:rPr>
              <w:t>company’s</w:t>
            </w:r>
            <w:r>
              <w:rPr>
                <w:spacing w:val="-3"/>
                <w:sz w:val="20"/>
              </w:rPr>
              <w:t> </w:t>
            </w:r>
            <w:r>
              <w:rPr>
                <w:sz w:val="20"/>
              </w:rPr>
              <w:t>earnings,</w:t>
            </w:r>
            <w:r>
              <w:rPr>
                <w:spacing w:val="-4"/>
                <w:sz w:val="20"/>
              </w:rPr>
              <w:t> </w:t>
            </w:r>
            <w:r>
              <w:rPr>
                <w:sz w:val="20"/>
              </w:rPr>
              <w:t>orders</w:t>
            </w:r>
            <w:r>
              <w:rPr>
                <w:spacing w:val="-3"/>
                <w:sz w:val="20"/>
              </w:rPr>
              <w:t> </w:t>
            </w:r>
            <w:r>
              <w:rPr>
                <w:sz w:val="20"/>
              </w:rPr>
              <w:t>or</w:t>
            </w:r>
            <w:r>
              <w:rPr>
                <w:spacing w:val="-4"/>
                <w:sz w:val="20"/>
              </w:rPr>
              <w:t> </w:t>
            </w:r>
            <w:r>
              <w:rPr>
                <w:sz w:val="20"/>
              </w:rPr>
              <w:t>product pipeline or a general supply shortage).</w:t>
            </w:r>
          </w:p>
        </w:tc>
        <w:tc>
          <w:tcPr>
            <w:tcW w:w="700" w:type="dxa"/>
          </w:tcPr>
          <w:p>
            <w:pPr>
              <w:pStyle w:val="TableParagraph"/>
              <w:spacing w:before="142"/>
              <w:ind w:right="47"/>
              <w:jc w:val="right"/>
              <w:rPr>
                <w:sz w:val="20"/>
              </w:rPr>
            </w:pPr>
            <w:r>
              <w:rPr>
                <w:spacing w:val="-5"/>
                <w:sz w:val="20"/>
              </w:rPr>
              <w:t>20</w:t>
            </w:r>
          </w:p>
        </w:tc>
      </w:tr>
      <w:tr>
        <w:trPr>
          <w:trHeight w:val="761" w:hRule="atLeast"/>
        </w:trPr>
        <w:tc>
          <w:tcPr>
            <w:tcW w:w="8507" w:type="dxa"/>
          </w:tcPr>
          <w:p>
            <w:pPr>
              <w:pStyle w:val="TableParagraph"/>
              <w:numPr>
                <w:ilvl w:val="0"/>
                <w:numId w:val="2"/>
              </w:numPr>
              <w:tabs>
                <w:tab w:pos="477" w:val="left" w:leader="none"/>
              </w:tabs>
              <w:spacing w:line="271" w:lineRule="auto" w:before="126" w:after="0"/>
              <w:ind w:left="477" w:right="359" w:hanging="428"/>
              <w:jc w:val="left"/>
              <w:rPr>
                <w:sz w:val="20"/>
              </w:rPr>
            </w:pPr>
            <w:r>
              <w:rPr>
                <w:sz w:val="20"/>
              </w:rPr>
              <w:t>Disseminating false or misleading information, rumours or messages that are capable of influencing securities prices in order to exploit the resulting price movement.</w:t>
            </w:r>
          </w:p>
        </w:tc>
        <w:tc>
          <w:tcPr>
            <w:tcW w:w="700" w:type="dxa"/>
          </w:tcPr>
          <w:p>
            <w:pPr>
              <w:pStyle w:val="TableParagraph"/>
              <w:spacing w:before="142"/>
              <w:ind w:right="47"/>
              <w:jc w:val="right"/>
              <w:rPr>
                <w:sz w:val="20"/>
              </w:rPr>
            </w:pPr>
            <w:r>
              <w:rPr>
                <w:spacing w:val="-5"/>
                <w:sz w:val="20"/>
              </w:rPr>
              <w:t>21</w:t>
            </w:r>
          </w:p>
        </w:tc>
      </w:tr>
      <w:tr>
        <w:trPr>
          <w:trHeight w:val="759" w:hRule="atLeast"/>
        </w:trPr>
        <w:tc>
          <w:tcPr>
            <w:tcW w:w="8507" w:type="dxa"/>
          </w:tcPr>
          <w:p>
            <w:pPr>
              <w:pStyle w:val="TableParagraph"/>
              <w:numPr>
                <w:ilvl w:val="0"/>
                <w:numId w:val="3"/>
              </w:numPr>
              <w:tabs>
                <w:tab w:pos="477" w:val="left" w:leader="none"/>
              </w:tabs>
              <w:spacing w:line="268" w:lineRule="auto" w:before="126" w:after="0"/>
              <w:ind w:left="477" w:right="350" w:hanging="428"/>
              <w:jc w:val="left"/>
              <w:rPr>
                <w:sz w:val="20"/>
              </w:rPr>
            </w:pPr>
            <w:r>
              <w:rPr>
                <w:sz w:val="20"/>
              </w:rPr>
              <w:t>Entering</w:t>
            </w:r>
            <w:r>
              <w:rPr>
                <w:spacing w:val="-9"/>
                <w:sz w:val="20"/>
              </w:rPr>
              <w:t> </w:t>
            </w:r>
            <w:r>
              <w:rPr>
                <w:sz w:val="20"/>
              </w:rPr>
              <w:t>low-volume</w:t>
            </w:r>
            <w:r>
              <w:rPr>
                <w:spacing w:val="-10"/>
                <w:sz w:val="20"/>
              </w:rPr>
              <w:t> </w:t>
            </w:r>
            <w:r>
              <w:rPr>
                <w:sz w:val="20"/>
              </w:rPr>
              <w:t>orders</w:t>
            </w:r>
            <w:r>
              <w:rPr>
                <w:spacing w:val="-7"/>
                <w:sz w:val="20"/>
              </w:rPr>
              <w:t> </w:t>
            </w:r>
            <w:r>
              <w:rPr>
                <w:sz w:val="20"/>
              </w:rPr>
              <w:t>with</w:t>
            </w:r>
            <w:r>
              <w:rPr>
                <w:spacing w:val="-11"/>
                <w:sz w:val="20"/>
              </w:rPr>
              <w:t> </w:t>
            </w:r>
            <w:r>
              <w:rPr>
                <w:sz w:val="20"/>
              </w:rPr>
              <w:t>successively</w:t>
            </w:r>
            <w:r>
              <w:rPr>
                <w:spacing w:val="-10"/>
                <w:sz w:val="20"/>
              </w:rPr>
              <w:t> </w:t>
            </w:r>
            <w:r>
              <w:rPr>
                <w:sz w:val="20"/>
              </w:rPr>
              <w:t>higher</w:t>
            </w:r>
            <w:r>
              <w:rPr>
                <w:spacing w:val="-7"/>
                <w:sz w:val="20"/>
              </w:rPr>
              <w:t> </w:t>
            </w:r>
            <w:r>
              <w:rPr>
                <w:sz w:val="20"/>
              </w:rPr>
              <w:t>or</w:t>
            </w:r>
            <w:r>
              <w:rPr>
                <w:spacing w:val="-8"/>
                <w:sz w:val="20"/>
              </w:rPr>
              <w:t> </w:t>
            </w:r>
            <w:r>
              <w:rPr>
                <w:sz w:val="20"/>
              </w:rPr>
              <w:t>lower</w:t>
            </w:r>
            <w:r>
              <w:rPr>
                <w:spacing w:val="-10"/>
                <w:sz w:val="20"/>
              </w:rPr>
              <w:t> </w:t>
            </w:r>
            <w:r>
              <w:rPr>
                <w:sz w:val="20"/>
              </w:rPr>
              <w:t>prices</w:t>
            </w:r>
            <w:r>
              <w:rPr>
                <w:spacing w:val="-10"/>
                <w:sz w:val="20"/>
              </w:rPr>
              <w:t> </w:t>
            </w:r>
            <w:r>
              <w:rPr>
                <w:sz w:val="20"/>
              </w:rPr>
              <w:t>in</w:t>
            </w:r>
            <w:r>
              <w:rPr>
                <w:spacing w:val="-11"/>
                <w:sz w:val="20"/>
              </w:rPr>
              <w:t> </w:t>
            </w:r>
            <w:r>
              <w:rPr>
                <w:sz w:val="20"/>
              </w:rPr>
              <w:t>order</w:t>
            </w:r>
            <w:r>
              <w:rPr>
                <w:spacing w:val="-10"/>
                <w:sz w:val="20"/>
              </w:rPr>
              <w:t> </w:t>
            </w:r>
            <w:r>
              <w:rPr>
                <w:sz w:val="20"/>
              </w:rPr>
              <w:t>to</w:t>
            </w:r>
            <w:r>
              <w:rPr>
                <w:spacing w:val="-11"/>
                <w:sz w:val="20"/>
              </w:rPr>
              <w:t> </w:t>
            </w:r>
            <w:r>
              <w:rPr>
                <w:sz w:val="20"/>
              </w:rPr>
              <w:t>simulate increased supply or demand (painting the tape).</w:t>
            </w:r>
          </w:p>
        </w:tc>
        <w:tc>
          <w:tcPr>
            <w:tcW w:w="700" w:type="dxa"/>
          </w:tcPr>
          <w:p>
            <w:pPr>
              <w:pStyle w:val="TableParagraph"/>
              <w:spacing w:before="142"/>
              <w:ind w:right="47"/>
              <w:jc w:val="right"/>
              <w:rPr>
                <w:sz w:val="20"/>
              </w:rPr>
            </w:pPr>
            <w:r>
              <w:rPr>
                <w:spacing w:val="-5"/>
                <w:sz w:val="20"/>
              </w:rPr>
              <w:t>22*</w:t>
            </w:r>
          </w:p>
        </w:tc>
      </w:tr>
      <w:tr>
        <w:trPr>
          <w:trHeight w:val="1020" w:hRule="atLeast"/>
        </w:trPr>
        <w:tc>
          <w:tcPr>
            <w:tcW w:w="8507" w:type="dxa"/>
          </w:tcPr>
          <w:p>
            <w:pPr>
              <w:pStyle w:val="TableParagraph"/>
              <w:numPr>
                <w:ilvl w:val="0"/>
                <w:numId w:val="4"/>
              </w:numPr>
              <w:tabs>
                <w:tab w:pos="475" w:val="left" w:leader="none"/>
                <w:tab w:pos="477" w:val="left" w:leader="none"/>
              </w:tabs>
              <w:spacing w:line="271" w:lineRule="auto" w:before="127" w:after="0"/>
              <w:ind w:left="477" w:right="359" w:hanging="428"/>
              <w:jc w:val="both"/>
              <w:rPr>
                <w:sz w:val="20"/>
              </w:rPr>
            </w:pPr>
            <w:r>
              <w:rPr>
                <w:sz w:val="20"/>
              </w:rPr>
              <w:t>Simultaneously buying and selling the same securities for the account of one and the same beneficial owner in order to give out false or misleading signals regarding the supply of, demand for or market price of securities (wash trades).</w:t>
            </w:r>
          </w:p>
        </w:tc>
        <w:tc>
          <w:tcPr>
            <w:tcW w:w="700" w:type="dxa"/>
          </w:tcPr>
          <w:p>
            <w:pPr>
              <w:pStyle w:val="TableParagraph"/>
              <w:spacing w:before="143"/>
              <w:ind w:right="47"/>
              <w:jc w:val="right"/>
              <w:rPr>
                <w:sz w:val="20"/>
              </w:rPr>
            </w:pPr>
            <w:r>
              <w:rPr>
                <w:spacing w:val="-5"/>
                <w:sz w:val="20"/>
              </w:rPr>
              <w:t>23</w:t>
            </w:r>
          </w:p>
        </w:tc>
      </w:tr>
      <w:tr>
        <w:trPr>
          <w:trHeight w:val="1020" w:hRule="atLeast"/>
        </w:trPr>
        <w:tc>
          <w:tcPr>
            <w:tcW w:w="8507" w:type="dxa"/>
          </w:tcPr>
          <w:p>
            <w:pPr>
              <w:pStyle w:val="TableParagraph"/>
              <w:numPr>
                <w:ilvl w:val="0"/>
                <w:numId w:val="5"/>
              </w:numPr>
              <w:tabs>
                <w:tab w:pos="475" w:val="left" w:leader="none"/>
                <w:tab w:pos="477" w:val="left" w:leader="none"/>
              </w:tabs>
              <w:spacing w:line="271" w:lineRule="auto" w:before="127" w:after="0"/>
              <w:ind w:left="477" w:right="350" w:hanging="428"/>
              <w:jc w:val="both"/>
              <w:rPr>
                <w:sz w:val="20"/>
              </w:rPr>
            </w:pPr>
            <w:r>
              <w:rPr>
                <w:sz w:val="20"/>
              </w:rPr>
              <w:t>Entering equal but opposite buy and sell orders in the same security by prior mutual agreement in order to distort liquidity or prices (matched orders or daisy chains coordinated among a number of parties).</w:t>
            </w:r>
          </w:p>
        </w:tc>
        <w:tc>
          <w:tcPr>
            <w:tcW w:w="700" w:type="dxa"/>
          </w:tcPr>
          <w:p>
            <w:pPr>
              <w:pStyle w:val="TableParagraph"/>
              <w:spacing w:before="143"/>
              <w:ind w:right="50"/>
              <w:jc w:val="right"/>
              <w:rPr>
                <w:sz w:val="20"/>
              </w:rPr>
            </w:pPr>
            <w:r>
              <w:rPr>
                <w:spacing w:val="-5"/>
                <w:sz w:val="20"/>
              </w:rPr>
              <w:t>24</w:t>
            </w:r>
          </w:p>
        </w:tc>
      </w:tr>
      <w:tr>
        <w:trPr>
          <w:trHeight w:val="759" w:hRule="atLeast"/>
        </w:trPr>
        <w:tc>
          <w:tcPr>
            <w:tcW w:w="8507" w:type="dxa"/>
          </w:tcPr>
          <w:p>
            <w:pPr>
              <w:pStyle w:val="TableParagraph"/>
              <w:numPr>
                <w:ilvl w:val="0"/>
                <w:numId w:val="6"/>
              </w:numPr>
              <w:tabs>
                <w:tab w:pos="477" w:val="left" w:leader="none"/>
              </w:tabs>
              <w:spacing w:line="268" w:lineRule="auto" w:before="128" w:after="0"/>
              <w:ind w:left="477" w:right="360" w:hanging="428"/>
              <w:jc w:val="left"/>
              <w:rPr>
                <w:sz w:val="20"/>
              </w:rPr>
            </w:pPr>
            <w:r>
              <w:rPr>
                <w:spacing w:val="-2"/>
                <w:sz w:val="20"/>
              </w:rPr>
              <w:t>Constricting</w:t>
            </w:r>
            <w:r>
              <w:rPr>
                <w:spacing w:val="-4"/>
                <w:sz w:val="20"/>
              </w:rPr>
              <w:t> </w:t>
            </w:r>
            <w:r>
              <w:rPr>
                <w:spacing w:val="-2"/>
                <w:sz w:val="20"/>
              </w:rPr>
              <w:t>the</w:t>
            </w:r>
            <w:r>
              <w:rPr>
                <w:spacing w:val="-3"/>
                <w:sz w:val="20"/>
              </w:rPr>
              <w:t> </w:t>
            </w:r>
            <w:r>
              <w:rPr>
                <w:spacing w:val="-2"/>
                <w:sz w:val="20"/>
              </w:rPr>
              <w:t>market by building</w:t>
            </w:r>
            <w:r>
              <w:rPr>
                <w:spacing w:val="-4"/>
                <w:sz w:val="20"/>
              </w:rPr>
              <w:t> </w:t>
            </w:r>
            <w:r>
              <w:rPr>
                <w:spacing w:val="-2"/>
                <w:sz w:val="20"/>
              </w:rPr>
              <w:t>up</w:t>
            </w:r>
            <w:r>
              <w:rPr>
                <w:spacing w:val="-3"/>
                <w:sz w:val="20"/>
              </w:rPr>
              <w:t> </w:t>
            </w:r>
            <w:r>
              <w:rPr>
                <w:spacing w:val="-2"/>
                <w:sz w:val="20"/>
              </w:rPr>
              <w:t>large</w:t>
            </w:r>
            <w:r>
              <w:rPr>
                <w:spacing w:val="-3"/>
                <w:sz w:val="20"/>
              </w:rPr>
              <w:t> </w:t>
            </w:r>
            <w:r>
              <w:rPr>
                <w:spacing w:val="-2"/>
                <w:sz w:val="20"/>
              </w:rPr>
              <w:t>positions (cornering) or depositing</w:t>
            </w:r>
            <w:r>
              <w:rPr>
                <w:spacing w:val="-4"/>
                <w:sz w:val="20"/>
              </w:rPr>
              <w:t> </w:t>
            </w:r>
            <w:r>
              <w:rPr>
                <w:spacing w:val="-2"/>
                <w:sz w:val="20"/>
              </w:rPr>
              <w:t>securities </w:t>
            </w:r>
            <w:r>
              <w:rPr>
                <w:sz w:val="20"/>
              </w:rPr>
              <w:t>with third parties (parking) in order to distort securities prices (creating a squeeze).</w:t>
            </w:r>
          </w:p>
        </w:tc>
        <w:tc>
          <w:tcPr>
            <w:tcW w:w="700" w:type="dxa"/>
          </w:tcPr>
          <w:p>
            <w:pPr>
              <w:pStyle w:val="TableParagraph"/>
              <w:spacing w:before="143"/>
              <w:ind w:right="47"/>
              <w:jc w:val="right"/>
              <w:rPr>
                <w:sz w:val="20"/>
              </w:rPr>
            </w:pPr>
            <w:r>
              <w:rPr>
                <w:spacing w:val="-5"/>
                <w:sz w:val="20"/>
              </w:rPr>
              <w:t>25</w:t>
            </w:r>
          </w:p>
        </w:tc>
      </w:tr>
      <w:tr>
        <w:trPr>
          <w:trHeight w:val="760" w:hRule="atLeast"/>
        </w:trPr>
        <w:tc>
          <w:tcPr>
            <w:tcW w:w="8507" w:type="dxa"/>
          </w:tcPr>
          <w:p>
            <w:pPr>
              <w:pStyle w:val="TableParagraph"/>
              <w:numPr>
                <w:ilvl w:val="0"/>
                <w:numId w:val="7"/>
              </w:numPr>
              <w:tabs>
                <w:tab w:pos="477" w:val="left" w:leader="none"/>
              </w:tabs>
              <w:spacing w:line="271" w:lineRule="auto" w:before="126" w:after="0"/>
              <w:ind w:left="477" w:right="361" w:hanging="428"/>
              <w:jc w:val="left"/>
              <w:rPr>
                <w:sz w:val="20"/>
              </w:rPr>
            </w:pPr>
            <w:r>
              <w:rPr>
                <w:sz w:val="20"/>
              </w:rPr>
              <w:t>Buying</w:t>
            </w:r>
            <w:r>
              <w:rPr>
                <w:spacing w:val="26"/>
                <w:sz w:val="20"/>
              </w:rPr>
              <w:t> </w:t>
            </w:r>
            <w:r>
              <w:rPr>
                <w:sz w:val="20"/>
              </w:rPr>
              <w:t>or</w:t>
            </w:r>
            <w:r>
              <w:rPr>
                <w:spacing w:val="25"/>
                <w:sz w:val="20"/>
              </w:rPr>
              <w:t> </w:t>
            </w:r>
            <w:r>
              <w:rPr>
                <w:sz w:val="20"/>
              </w:rPr>
              <w:t>selling securities</w:t>
            </w:r>
            <w:r>
              <w:rPr>
                <w:spacing w:val="25"/>
                <w:sz w:val="20"/>
              </w:rPr>
              <w:t> </w:t>
            </w:r>
            <w:r>
              <w:rPr>
                <w:sz w:val="20"/>
              </w:rPr>
              <w:t>shortly</w:t>
            </w:r>
            <w:r>
              <w:rPr>
                <w:spacing w:val="25"/>
                <w:sz w:val="20"/>
              </w:rPr>
              <w:t> </w:t>
            </w:r>
            <w:r>
              <w:rPr>
                <w:sz w:val="20"/>
              </w:rPr>
              <w:t>before</w:t>
            </w:r>
            <w:r>
              <w:rPr>
                <w:spacing w:val="26"/>
                <w:sz w:val="20"/>
              </w:rPr>
              <w:t> </w:t>
            </w:r>
            <w:r>
              <w:rPr>
                <w:sz w:val="20"/>
              </w:rPr>
              <w:t>the exchange closes</w:t>
            </w:r>
            <w:r>
              <w:rPr>
                <w:spacing w:val="25"/>
                <w:sz w:val="20"/>
              </w:rPr>
              <w:t> </w:t>
            </w:r>
            <w:r>
              <w:rPr>
                <w:sz w:val="20"/>
              </w:rPr>
              <w:t>in</w:t>
            </w:r>
            <w:r>
              <w:rPr>
                <w:spacing w:val="26"/>
                <w:sz w:val="20"/>
              </w:rPr>
              <w:t> </w:t>
            </w:r>
            <w:r>
              <w:rPr>
                <w:sz w:val="20"/>
              </w:rPr>
              <w:t>order</w:t>
            </w:r>
            <w:r>
              <w:rPr>
                <w:spacing w:val="25"/>
                <w:sz w:val="20"/>
              </w:rPr>
              <w:t> </w:t>
            </w:r>
            <w:r>
              <w:rPr>
                <w:sz w:val="20"/>
              </w:rPr>
              <w:t>to</w:t>
            </w:r>
            <w:r>
              <w:rPr>
                <w:spacing w:val="26"/>
                <w:sz w:val="20"/>
              </w:rPr>
              <w:t> </w:t>
            </w:r>
            <w:r>
              <w:rPr>
                <w:sz w:val="20"/>
              </w:rPr>
              <w:t>influence closing prices (marking the close).</w:t>
            </w:r>
          </w:p>
        </w:tc>
        <w:tc>
          <w:tcPr>
            <w:tcW w:w="700" w:type="dxa"/>
          </w:tcPr>
          <w:p>
            <w:pPr>
              <w:pStyle w:val="TableParagraph"/>
              <w:spacing w:before="142"/>
              <w:ind w:right="47"/>
              <w:jc w:val="right"/>
              <w:rPr>
                <w:sz w:val="20"/>
              </w:rPr>
            </w:pPr>
            <w:r>
              <w:rPr>
                <w:spacing w:val="-5"/>
                <w:sz w:val="20"/>
              </w:rPr>
              <w:t>26</w:t>
            </w:r>
          </w:p>
        </w:tc>
      </w:tr>
      <w:tr>
        <w:trPr>
          <w:trHeight w:val="1019" w:hRule="atLeast"/>
        </w:trPr>
        <w:tc>
          <w:tcPr>
            <w:tcW w:w="8507" w:type="dxa"/>
          </w:tcPr>
          <w:p>
            <w:pPr>
              <w:pStyle w:val="TableParagraph"/>
              <w:numPr>
                <w:ilvl w:val="0"/>
                <w:numId w:val="8"/>
              </w:numPr>
              <w:tabs>
                <w:tab w:pos="475" w:val="left" w:leader="none"/>
                <w:tab w:pos="477" w:val="left" w:leader="none"/>
              </w:tabs>
              <w:spacing w:line="271" w:lineRule="auto" w:before="126" w:after="0"/>
              <w:ind w:left="477" w:right="350" w:hanging="428"/>
              <w:jc w:val="both"/>
              <w:rPr>
                <w:sz w:val="20"/>
              </w:rPr>
            </w:pPr>
            <w:r>
              <w:rPr>
                <w:sz w:val="20"/>
              </w:rPr>
              <w:t>Buying</w:t>
            </w:r>
            <w:r>
              <w:rPr>
                <w:spacing w:val="-4"/>
                <w:sz w:val="20"/>
              </w:rPr>
              <w:t> </w:t>
            </w:r>
            <w:r>
              <w:rPr>
                <w:sz w:val="20"/>
              </w:rPr>
              <w:t>or</w:t>
            </w:r>
            <w:r>
              <w:rPr>
                <w:spacing w:val="-6"/>
                <w:sz w:val="20"/>
              </w:rPr>
              <w:t> </w:t>
            </w:r>
            <w:r>
              <w:rPr>
                <w:sz w:val="20"/>
              </w:rPr>
              <w:t>selling</w:t>
            </w:r>
            <w:r>
              <w:rPr>
                <w:spacing w:val="-7"/>
                <w:sz w:val="20"/>
              </w:rPr>
              <w:t> </w:t>
            </w:r>
            <w:r>
              <w:rPr>
                <w:sz w:val="20"/>
              </w:rPr>
              <w:t>securities</w:t>
            </w:r>
            <w:r>
              <w:rPr>
                <w:spacing w:val="-3"/>
                <w:sz w:val="20"/>
              </w:rPr>
              <w:t> </w:t>
            </w:r>
            <w:r>
              <w:rPr>
                <w:sz w:val="20"/>
              </w:rPr>
              <w:t>in</w:t>
            </w:r>
            <w:r>
              <w:rPr>
                <w:spacing w:val="-4"/>
                <w:sz w:val="20"/>
              </w:rPr>
              <w:t> </w:t>
            </w:r>
            <w:r>
              <w:rPr>
                <w:sz w:val="20"/>
              </w:rPr>
              <w:t>order</w:t>
            </w:r>
            <w:r>
              <w:rPr>
                <w:spacing w:val="-6"/>
                <w:sz w:val="20"/>
              </w:rPr>
              <w:t> </w:t>
            </w:r>
            <w:r>
              <w:rPr>
                <w:sz w:val="20"/>
              </w:rPr>
              <w:t>to</w:t>
            </w:r>
            <w:r>
              <w:rPr>
                <w:spacing w:val="-4"/>
                <w:sz w:val="20"/>
              </w:rPr>
              <w:t> </w:t>
            </w:r>
            <w:r>
              <w:rPr>
                <w:sz w:val="20"/>
              </w:rPr>
              <w:t>move</w:t>
            </w:r>
            <w:r>
              <w:rPr>
                <w:spacing w:val="-4"/>
                <w:sz w:val="20"/>
              </w:rPr>
              <w:t> </w:t>
            </w:r>
            <w:r>
              <w:rPr>
                <w:sz w:val="20"/>
              </w:rPr>
              <w:t>prices</w:t>
            </w:r>
            <w:r>
              <w:rPr>
                <w:spacing w:val="-6"/>
                <w:sz w:val="20"/>
              </w:rPr>
              <w:t> </w:t>
            </w:r>
            <w:r>
              <w:rPr>
                <w:sz w:val="20"/>
              </w:rPr>
              <w:t>(ramping)</w:t>
            </w:r>
            <w:r>
              <w:rPr>
                <w:spacing w:val="-3"/>
                <w:sz w:val="20"/>
              </w:rPr>
              <w:t> </w:t>
            </w:r>
            <w:r>
              <w:rPr>
                <w:sz w:val="20"/>
              </w:rPr>
              <w:t>or</w:t>
            </w:r>
            <w:r>
              <w:rPr>
                <w:spacing w:val="-6"/>
                <w:sz w:val="20"/>
              </w:rPr>
              <w:t> </w:t>
            </w:r>
            <w:r>
              <w:rPr>
                <w:sz w:val="20"/>
              </w:rPr>
              <w:t>keep</w:t>
            </w:r>
            <w:r>
              <w:rPr>
                <w:spacing w:val="-5"/>
                <w:sz w:val="20"/>
              </w:rPr>
              <w:t> </w:t>
            </w:r>
            <w:r>
              <w:rPr>
                <w:sz w:val="20"/>
              </w:rPr>
              <w:t>them</w:t>
            </w:r>
            <w:r>
              <w:rPr>
                <w:spacing w:val="-5"/>
                <w:sz w:val="20"/>
              </w:rPr>
              <w:t> </w:t>
            </w:r>
            <w:r>
              <w:rPr>
                <w:sz w:val="20"/>
              </w:rPr>
              <w:t>at</w:t>
            </w:r>
            <w:r>
              <w:rPr>
                <w:spacing w:val="-4"/>
                <w:sz w:val="20"/>
              </w:rPr>
              <w:t> </w:t>
            </w:r>
            <w:r>
              <w:rPr>
                <w:sz w:val="20"/>
              </w:rPr>
              <w:t>a</w:t>
            </w:r>
            <w:r>
              <w:rPr>
                <w:spacing w:val="-7"/>
                <w:sz w:val="20"/>
              </w:rPr>
              <w:t> </w:t>
            </w:r>
            <w:r>
              <w:rPr>
                <w:sz w:val="20"/>
              </w:rPr>
              <w:t>specific level (e.g. capping, pegging), unless this is done to stabilise prices following a public placement of securities in accordance with Article 55</w:t>
            </w:r>
            <w:r>
              <w:rPr>
                <w:i/>
                <w:sz w:val="20"/>
              </w:rPr>
              <w:t>e </w:t>
            </w:r>
            <w:r>
              <w:rPr>
                <w:sz w:val="20"/>
              </w:rPr>
              <w:t>SESTO.</w:t>
            </w:r>
          </w:p>
        </w:tc>
        <w:tc>
          <w:tcPr>
            <w:tcW w:w="700" w:type="dxa"/>
          </w:tcPr>
          <w:p>
            <w:pPr>
              <w:pStyle w:val="TableParagraph"/>
              <w:spacing w:before="142"/>
              <w:ind w:right="50"/>
              <w:jc w:val="right"/>
              <w:rPr>
                <w:sz w:val="20"/>
              </w:rPr>
            </w:pPr>
            <w:r>
              <w:rPr>
                <w:spacing w:val="-5"/>
                <w:sz w:val="20"/>
              </w:rPr>
              <w:t>27</w:t>
            </w:r>
          </w:p>
        </w:tc>
      </w:tr>
      <w:tr>
        <w:trPr>
          <w:trHeight w:val="631" w:hRule="atLeast"/>
        </w:trPr>
        <w:tc>
          <w:tcPr>
            <w:tcW w:w="8507" w:type="dxa"/>
          </w:tcPr>
          <w:p>
            <w:pPr>
              <w:pStyle w:val="TableParagraph"/>
              <w:numPr>
                <w:ilvl w:val="0"/>
                <w:numId w:val="9"/>
              </w:numPr>
              <w:tabs>
                <w:tab w:pos="477" w:val="left" w:leader="none"/>
              </w:tabs>
              <w:spacing w:line="260" w:lineRule="atLeast" w:before="91" w:after="0"/>
              <w:ind w:left="477" w:right="363" w:hanging="428"/>
              <w:jc w:val="left"/>
              <w:rPr>
                <w:sz w:val="20"/>
              </w:rPr>
            </w:pPr>
            <w:r>
              <w:rPr>
                <w:sz w:val="20"/>
              </w:rPr>
              <w:t>Influencing commodity prices in order to give out false or misleading signals regarding the supply of or demand for securities.</w:t>
            </w:r>
          </w:p>
        </w:tc>
        <w:tc>
          <w:tcPr>
            <w:tcW w:w="700" w:type="dxa"/>
          </w:tcPr>
          <w:p>
            <w:pPr>
              <w:pStyle w:val="TableParagraph"/>
              <w:spacing w:before="142"/>
              <w:ind w:right="47"/>
              <w:jc w:val="right"/>
              <w:rPr>
                <w:sz w:val="20"/>
              </w:rPr>
            </w:pPr>
            <w:r>
              <w:rPr>
                <w:spacing w:val="-5"/>
                <w:sz w:val="20"/>
              </w:rPr>
              <w:t>28</w:t>
            </w:r>
          </w:p>
        </w:tc>
      </w:tr>
    </w:tbl>
    <w:p>
      <w:pPr>
        <w:pStyle w:val="TableParagraph"/>
        <w:spacing w:after="0"/>
        <w:jc w:val="right"/>
        <w:rPr>
          <w:sz w:val="20"/>
        </w:rPr>
        <w:sectPr>
          <w:pgSz w:w="11900" w:h="16850"/>
          <w:pgMar w:header="828" w:footer="318" w:top="1400" w:bottom="500" w:left="1559" w:right="850"/>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24"/>
        <w:rPr>
          <w:b/>
          <w:sz w:val="20"/>
        </w:rPr>
      </w:pPr>
    </w:p>
    <w:tbl>
      <w:tblPr>
        <w:tblW w:w="0" w:type="auto"/>
        <w:jc w:val="left"/>
        <w:tblInd w:w="2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505"/>
        <w:gridCol w:w="701"/>
      </w:tblGrid>
      <w:tr>
        <w:trPr>
          <w:trHeight w:val="633" w:hRule="atLeast"/>
        </w:trPr>
        <w:tc>
          <w:tcPr>
            <w:tcW w:w="8505" w:type="dxa"/>
          </w:tcPr>
          <w:p>
            <w:pPr>
              <w:pStyle w:val="TableParagraph"/>
              <w:numPr>
                <w:ilvl w:val="0"/>
                <w:numId w:val="10"/>
              </w:numPr>
              <w:tabs>
                <w:tab w:pos="477" w:val="left" w:leader="none"/>
              </w:tabs>
              <w:spacing w:line="271" w:lineRule="auto" w:before="0" w:after="0"/>
              <w:ind w:left="477" w:right="359" w:hanging="428"/>
              <w:jc w:val="left"/>
              <w:rPr>
                <w:sz w:val="20"/>
              </w:rPr>
            </w:pPr>
            <w:r>
              <w:rPr>
                <w:sz w:val="20"/>
              </w:rPr>
              <w:t>Creating an overhang of buy or sell orders by entering large orders in the order book that are capable of influencing prices in order to influence the valuation of a security.</w:t>
            </w:r>
          </w:p>
        </w:tc>
        <w:tc>
          <w:tcPr>
            <w:tcW w:w="701" w:type="dxa"/>
          </w:tcPr>
          <w:p>
            <w:pPr>
              <w:pStyle w:val="TableParagraph"/>
              <w:spacing w:before="15"/>
              <w:ind w:right="46"/>
              <w:jc w:val="right"/>
              <w:rPr>
                <w:sz w:val="20"/>
              </w:rPr>
            </w:pPr>
            <w:r>
              <w:rPr>
                <w:spacing w:val="-5"/>
                <w:sz w:val="20"/>
              </w:rPr>
              <w:t>29</w:t>
            </w:r>
          </w:p>
        </w:tc>
      </w:tr>
      <w:tr>
        <w:trPr>
          <w:trHeight w:val="771" w:hRule="atLeast"/>
        </w:trPr>
        <w:tc>
          <w:tcPr>
            <w:tcW w:w="8505" w:type="dxa"/>
          </w:tcPr>
          <w:p>
            <w:pPr>
              <w:pStyle w:val="TableParagraph"/>
              <w:numPr>
                <w:ilvl w:val="0"/>
                <w:numId w:val="11"/>
              </w:numPr>
              <w:tabs>
                <w:tab w:pos="477" w:val="left" w:leader="none"/>
              </w:tabs>
              <w:spacing w:line="268" w:lineRule="auto" w:before="126" w:after="0"/>
              <w:ind w:left="477" w:right="361" w:hanging="428"/>
              <w:jc w:val="left"/>
              <w:rPr>
                <w:sz w:val="20"/>
              </w:rPr>
            </w:pPr>
            <w:r>
              <w:rPr>
                <w:sz w:val="20"/>
              </w:rPr>
              <w:t>Placing orders in the trading system in order to create an illusion of supply or demand and then deleting them prior to execution (spoofing, layering).</w:t>
            </w:r>
          </w:p>
        </w:tc>
        <w:tc>
          <w:tcPr>
            <w:tcW w:w="701" w:type="dxa"/>
          </w:tcPr>
          <w:p>
            <w:pPr>
              <w:pStyle w:val="TableParagraph"/>
              <w:spacing w:before="142"/>
              <w:ind w:right="46"/>
              <w:jc w:val="right"/>
              <w:rPr>
                <w:sz w:val="20"/>
              </w:rPr>
            </w:pPr>
            <w:r>
              <w:rPr>
                <w:spacing w:val="-5"/>
                <w:sz w:val="20"/>
              </w:rPr>
              <w:t>30</w:t>
            </w:r>
          </w:p>
        </w:tc>
      </w:tr>
      <w:tr>
        <w:trPr>
          <w:trHeight w:val="489" w:hRule="atLeast"/>
        </w:trPr>
        <w:tc>
          <w:tcPr>
            <w:tcW w:w="8505" w:type="dxa"/>
          </w:tcPr>
          <w:p>
            <w:pPr>
              <w:pStyle w:val="TableParagraph"/>
              <w:spacing w:before="132"/>
              <w:ind w:left="50"/>
              <w:rPr>
                <w:sz w:val="20"/>
              </w:rPr>
            </w:pPr>
            <w:r>
              <w:rPr>
                <w:sz w:val="20"/>
              </w:rPr>
              <w:t>The</w:t>
            </w:r>
            <w:r>
              <w:rPr>
                <w:spacing w:val="-11"/>
                <w:sz w:val="20"/>
              </w:rPr>
              <w:t> </w:t>
            </w:r>
            <w:r>
              <w:rPr>
                <w:sz w:val="20"/>
              </w:rPr>
              <w:t>following</w:t>
            </w:r>
            <w:r>
              <w:rPr>
                <w:spacing w:val="-8"/>
                <w:sz w:val="20"/>
              </w:rPr>
              <w:t> </w:t>
            </w:r>
            <w:r>
              <w:rPr>
                <w:sz w:val="20"/>
              </w:rPr>
              <w:t>are</w:t>
            </w:r>
            <w:r>
              <w:rPr>
                <w:spacing w:val="-10"/>
                <w:sz w:val="20"/>
              </w:rPr>
              <w:t> </w:t>
            </w:r>
            <w:r>
              <w:rPr>
                <w:sz w:val="20"/>
              </w:rPr>
              <w:t>specifically</w:t>
            </w:r>
            <w:r>
              <w:rPr>
                <w:spacing w:val="-9"/>
                <w:sz w:val="20"/>
              </w:rPr>
              <w:t> </w:t>
            </w:r>
            <w:r>
              <w:rPr>
                <w:sz w:val="20"/>
              </w:rPr>
              <w:t>permissible</w:t>
            </w:r>
            <w:r>
              <w:rPr>
                <w:spacing w:val="-9"/>
                <w:sz w:val="20"/>
              </w:rPr>
              <w:t> </w:t>
            </w:r>
            <w:r>
              <w:rPr>
                <w:sz w:val="20"/>
              </w:rPr>
              <w:t>securities</w:t>
            </w:r>
            <w:r>
              <w:rPr>
                <w:spacing w:val="-9"/>
                <w:sz w:val="20"/>
              </w:rPr>
              <w:t> </w:t>
            </w:r>
            <w:r>
              <w:rPr>
                <w:sz w:val="20"/>
              </w:rPr>
              <w:t>trades</w:t>
            </w:r>
            <w:r>
              <w:rPr>
                <w:spacing w:val="-8"/>
                <w:sz w:val="20"/>
              </w:rPr>
              <w:t> </w:t>
            </w:r>
            <w:r>
              <w:rPr>
                <w:sz w:val="20"/>
              </w:rPr>
              <w:t>and</w:t>
            </w:r>
            <w:r>
              <w:rPr>
                <w:spacing w:val="-10"/>
                <w:sz w:val="20"/>
              </w:rPr>
              <w:t> </w:t>
            </w:r>
            <w:r>
              <w:rPr>
                <w:spacing w:val="-2"/>
                <w:sz w:val="20"/>
              </w:rPr>
              <w:t>conduct:</w:t>
            </w:r>
          </w:p>
        </w:tc>
        <w:tc>
          <w:tcPr>
            <w:tcW w:w="701" w:type="dxa"/>
          </w:tcPr>
          <w:p>
            <w:pPr>
              <w:pStyle w:val="TableParagraph"/>
              <w:spacing w:before="132"/>
              <w:ind w:right="46"/>
              <w:jc w:val="right"/>
              <w:rPr>
                <w:sz w:val="20"/>
              </w:rPr>
            </w:pPr>
            <w:r>
              <w:rPr>
                <w:spacing w:val="-5"/>
                <w:sz w:val="20"/>
              </w:rPr>
              <w:t>31</w:t>
            </w:r>
          </w:p>
        </w:tc>
      </w:tr>
      <w:tr>
        <w:trPr>
          <w:trHeight w:val="759" w:hRule="atLeast"/>
        </w:trPr>
        <w:tc>
          <w:tcPr>
            <w:tcW w:w="8505" w:type="dxa"/>
          </w:tcPr>
          <w:p>
            <w:pPr>
              <w:pStyle w:val="TableParagraph"/>
              <w:numPr>
                <w:ilvl w:val="0"/>
                <w:numId w:val="12"/>
              </w:numPr>
              <w:tabs>
                <w:tab w:pos="477" w:val="left" w:leader="none"/>
              </w:tabs>
              <w:spacing w:line="268" w:lineRule="auto" w:before="126" w:after="0"/>
              <w:ind w:left="477" w:right="358" w:hanging="428"/>
              <w:jc w:val="left"/>
              <w:rPr>
                <w:sz w:val="20"/>
              </w:rPr>
            </w:pPr>
            <w:r>
              <w:rPr>
                <w:sz w:val="20"/>
              </w:rPr>
              <w:t>Market making for the purpose of ensuring liquidity in a security on both buy and sell sides and, where appropriate, reducing the bid/ask spread.</w:t>
            </w:r>
          </w:p>
        </w:tc>
        <w:tc>
          <w:tcPr>
            <w:tcW w:w="701" w:type="dxa"/>
          </w:tcPr>
          <w:p>
            <w:pPr>
              <w:pStyle w:val="TableParagraph"/>
              <w:spacing w:before="142"/>
              <w:ind w:right="46"/>
              <w:jc w:val="right"/>
              <w:rPr>
                <w:sz w:val="20"/>
              </w:rPr>
            </w:pPr>
            <w:r>
              <w:rPr>
                <w:spacing w:val="-5"/>
                <w:sz w:val="20"/>
              </w:rPr>
              <w:t>32</w:t>
            </w:r>
          </w:p>
        </w:tc>
      </w:tr>
      <w:tr>
        <w:trPr>
          <w:trHeight w:val="759" w:hRule="atLeast"/>
        </w:trPr>
        <w:tc>
          <w:tcPr>
            <w:tcW w:w="8505" w:type="dxa"/>
          </w:tcPr>
          <w:p>
            <w:pPr>
              <w:pStyle w:val="TableParagraph"/>
              <w:numPr>
                <w:ilvl w:val="0"/>
                <w:numId w:val="13"/>
              </w:numPr>
              <w:tabs>
                <w:tab w:pos="477" w:val="left" w:leader="none"/>
              </w:tabs>
              <w:spacing w:line="268" w:lineRule="auto" w:before="127" w:after="0"/>
              <w:ind w:left="477" w:right="360" w:hanging="428"/>
              <w:jc w:val="left"/>
              <w:rPr>
                <w:sz w:val="20"/>
              </w:rPr>
            </w:pPr>
            <w:r>
              <w:rPr>
                <w:sz w:val="20"/>
              </w:rPr>
              <w:t>Issuing</w:t>
            </w:r>
            <w:r>
              <w:rPr>
                <w:spacing w:val="40"/>
                <w:sz w:val="20"/>
              </w:rPr>
              <w:t> </w:t>
            </w:r>
            <w:r>
              <w:rPr>
                <w:sz w:val="20"/>
              </w:rPr>
              <w:t>parallel</w:t>
            </w:r>
            <w:r>
              <w:rPr>
                <w:spacing w:val="40"/>
                <w:sz w:val="20"/>
              </w:rPr>
              <w:t> </w:t>
            </w:r>
            <w:r>
              <w:rPr>
                <w:sz w:val="20"/>
              </w:rPr>
              <w:t>buy</w:t>
            </w:r>
            <w:r>
              <w:rPr>
                <w:spacing w:val="40"/>
                <w:sz w:val="20"/>
              </w:rPr>
              <w:t> </w:t>
            </w:r>
            <w:r>
              <w:rPr>
                <w:sz w:val="20"/>
              </w:rPr>
              <w:t>and</w:t>
            </w:r>
            <w:r>
              <w:rPr>
                <w:spacing w:val="40"/>
                <w:sz w:val="20"/>
              </w:rPr>
              <w:t> </w:t>
            </w:r>
            <w:r>
              <w:rPr>
                <w:sz w:val="20"/>
              </w:rPr>
              <w:t>sell</w:t>
            </w:r>
            <w:r>
              <w:rPr>
                <w:spacing w:val="40"/>
                <w:sz w:val="20"/>
              </w:rPr>
              <w:t> </w:t>
            </w:r>
            <w:r>
              <w:rPr>
                <w:sz w:val="20"/>
              </w:rPr>
              <w:t>orders</w:t>
            </w:r>
            <w:r>
              <w:rPr>
                <w:spacing w:val="40"/>
                <w:sz w:val="20"/>
              </w:rPr>
              <w:t> </w:t>
            </w:r>
            <w:r>
              <w:rPr>
                <w:sz w:val="20"/>
              </w:rPr>
              <w:t>in</w:t>
            </w:r>
            <w:r>
              <w:rPr>
                <w:spacing w:val="40"/>
                <w:sz w:val="20"/>
              </w:rPr>
              <w:t> </w:t>
            </w:r>
            <w:r>
              <w:rPr>
                <w:sz w:val="20"/>
              </w:rPr>
              <w:t>the</w:t>
            </w:r>
            <w:r>
              <w:rPr>
                <w:spacing w:val="40"/>
                <w:sz w:val="20"/>
              </w:rPr>
              <w:t> </w:t>
            </w:r>
            <w:r>
              <w:rPr>
                <w:sz w:val="20"/>
              </w:rPr>
              <w:t>same</w:t>
            </w:r>
            <w:r>
              <w:rPr>
                <w:spacing w:val="40"/>
                <w:sz w:val="20"/>
              </w:rPr>
              <w:t> </w:t>
            </w:r>
            <w:r>
              <w:rPr>
                <w:sz w:val="20"/>
              </w:rPr>
              <w:t>financial</w:t>
            </w:r>
            <w:r>
              <w:rPr>
                <w:spacing w:val="40"/>
                <w:sz w:val="20"/>
              </w:rPr>
              <w:t> </w:t>
            </w:r>
            <w:r>
              <w:rPr>
                <w:sz w:val="20"/>
              </w:rPr>
              <w:t>instrument</w:t>
            </w:r>
            <w:r>
              <w:rPr>
                <w:spacing w:val="40"/>
                <w:sz w:val="20"/>
              </w:rPr>
              <w:t> </w:t>
            </w:r>
            <w:r>
              <w:rPr>
                <w:sz w:val="20"/>
              </w:rPr>
              <w:t>or</w:t>
            </w:r>
            <w:r>
              <w:rPr>
                <w:spacing w:val="40"/>
                <w:sz w:val="20"/>
              </w:rPr>
              <w:t> </w:t>
            </w:r>
            <w:r>
              <w:rPr>
                <w:sz w:val="20"/>
              </w:rPr>
              <w:t>different derivatives (e.g. on different trading venues) for the purpose of arbitrage.</w:t>
            </w:r>
          </w:p>
        </w:tc>
        <w:tc>
          <w:tcPr>
            <w:tcW w:w="701" w:type="dxa"/>
          </w:tcPr>
          <w:p>
            <w:pPr>
              <w:pStyle w:val="TableParagraph"/>
              <w:spacing w:before="143"/>
              <w:ind w:right="48"/>
              <w:jc w:val="right"/>
              <w:rPr>
                <w:sz w:val="20"/>
              </w:rPr>
            </w:pPr>
            <w:r>
              <w:rPr>
                <w:spacing w:val="-5"/>
                <w:sz w:val="20"/>
              </w:rPr>
              <w:t>33*</w:t>
            </w:r>
          </w:p>
        </w:tc>
      </w:tr>
      <w:tr>
        <w:trPr>
          <w:trHeight w:val="760" w:hRule="atLeast"/>
        </w:trPr>
        <w:tc>
          <w:tcPr>
            <w:tcW w:w="8505" w:type="dxa"/>
          </w:tcPr>
          <w:p>
            <w:pPr>
              <w:pStyle w:val="TableParagraph"/>
              <w:numPr>
                <w:ilvl w:val="0"/>
                <w:numId w:val="14"/>
              </w:numPr>
              <w:tabs>
                <w:tab w:pos="477" w:val="left" w:leader="none"/>
              </w:tabs>
              <w:spacing w:line="271" w:lineRule="auto" w:before="126" w:after="0"/>
              <w:ind w:left="477" w:right="350" w:hanging="428"/>
              <w:jc w:val="left"/>
              <w:rPr>
                <w:sz w:val="20"/>
              </w:rPr>
            </w:pPr>
            <w:r>
              <w:rPr>
                <w:sz w:val="20"/>
              </w:rPr>
              <w:t>Offering liquidity (liquidity providers, e.g. algorithmic trading), provided the order book entries and trades do not give out misleading signals for other market participants.</w:t>
            </w:r>
          </w:p>
        </w:tc>
        <w:tc>
          <w:tcPr>
            <w:tcW w:w="701" w:type="dxa"/>
          </w:tcPr>
          <w:p>
            <w:pPr>
              <w:pStyle w:val="TableParagraph"/>
              <w:spacing w:before="142"/>
              <w:ind w:right="49"/>
              <w:jc w:val="right"/>
              <w:rPr>
                <w:sz w:val="20"/>
              </w:rPr>
            </w:pPr>
            <w:r>
              <w:rPr>
                <w:spacing w:val="-5"/>
                <w:sz w:val="20"/>
              </w:rPr>
              <w:t>34</w:t>
            </w:r>
          </w:p>
        </w:tc>
      </w:tr>
      <w:tr>
        <w:trPr>
          <w:trHeight w:val="1020" w:hRule="atLeast"/>
        </w:trPr>
        <w:tc>
          <w:tcPr>
            <w:tcW w:w="8505" w:type="dxa"/>
          </w:tcPr>
          <w:p>
            <w:pPr>
              <w:pStyle w:val="TableParagraph"/>
              <w:numPr>
                <w:ilvl w:val="0"/>
                <w:numId w:val="15"/>
              </w:numPr>
              <w:tabs>
                <w:tab w:pos="475" w:val="left" w:leader="none"/>
                <w:tab w:pos="477" w:val="left" w:leader="none"/>
              </w:tabs>
              <w:spacing w:line="271" w:lineRule="auto" w:before="126" w:after="0"/>
              <w:ind w:left="477" w:right="353" w:hanging="428"/>
              <w:jc w:val="both"/>
              <w:rPr>
                <w:sz w:val="20"/>
              </w:rPr>
            </w:pPr>
            <w:r>
              <w:rPr>
                <w:sz w:val="20"/>
              </w:rPr>
              <w:t>Nostro-nostro in-house crosses where equal and opposite trades are matched in the stock exchange system independently of one another and without any previous </w:t>
            </w:r>
            <w:r>
              <w:rPr>
                <w:spacing w:val="-2"/>
                <w:sz w:val="20"/>
              </w:rPr>
              <w:t>agreement.</w:t>
            </w:r>
          </w:p>
        </w:tc>
        <w:tc>
          <w:tcPr>
            <w:tcW w:w="701" w:type="dxa"/>
          </w:tcPr>
          <w:p>
            <w:pPr>
              <w:pStyle w:val="TableParagraph"/>
              <w:spacing w:before="142"/>
              <w:ind w:right="49"/>
              <w:jc w:val="right"/>
              <w:rPr>
                <w:sz w:val="20"/>
              </w:rPr>
            </w:pPr>
            <w:r>
              <w:rPr>
                <w:spacing w:val="-5"/>
                <w:sz w:val="20"/>
              </w:rPr>
              <w:t>35</w:t>
            </w:r>
          </w:p>
        </w:tc>
      </w:tr>
      <w:tr>
        <w:trPr>
          <w:trHeight w:val="770" w:hRule="atLeast"/>
        </w:trPr>
        <w:tc>
          <w:tcPr>
            <w:tcW w:w="8505" w:type="dxa"/>
          </w:tcPr>
          <w:p>
            <w:pPr>
              <w:pStyle w:val="TableParagraph"/>
              <w:numPr>
                <w:ilvl w:val="0"/>
                <w:numId w:val="16"/>
              </w:numPr>
              <w:tabs>
                <w:tab w:pos="477" w:val="left" w:leader="none"/>
              </w:tabs>
              <w:spacing w:line="268" w:lineRule="auto" w:before="126" w:after="0"/>
              <w:ind w:left="477" w:right="358" w:hanging="428"/>
              <w:jc w:val="left"/>
              <w:rPr>
                <w:sz w:val="20"/>
              </w:rPr>
            </w:pPr>
            <w:r>
              <w:rPr>
                <w:sz w:val="20"/>
              </w:rPr>
              <w:t>Not</w:t>
            </w:r>
            <w:r>
              <w:rPr>
                <w:spacing w:val="33"/>
                <w:sz w:val="20"/>
              </w:rPr>
              <w:t> </w:t>
            </w:r>
            <w:r>
              <w:rPr>
                <w:sz w:val="20"/>
              </w:rPr>
              <w:t>deleting</w:t>
            </w:r>
            <w:r>
              <w:rPr>
                <w:spacing w:val="33"/>
                <w:sz w:val="20"/>
              </w:rPr>
              <w:t> </w:t>
            </w:r>
            <w:r>
              <w:rPr>
                <w:sz w:val="20"/>
              </w:rPr>
              <w:t>prices</w:t>
            </w:r>
            <w:r>
              <w:rPr>
                <w:spacing w:val="34"/>
                <w:sz w:val="20"/>
              </w:rPr>
              <w:t> </w:t>
            </w:r>
            <w:r>
              <w:rPr>
                <w:sz w:val="20"/>
              </w:rPr>
              <w:t>that</w:t>
            </w:r>
            <w:r>
              <w:rPr>
                <w:spacing w:val="36"/>
                <w:sz w:val="20"/>
              </w:rPr>
              <w:t> </w:t>
            </w:r>
            <w:r>
              <w:rPr>
                <w:sz w:val="20"/>
              </w:rPr>
              <w:t>have</w:t>
            </w:r>
            <w:r>
              <w:rPr>
                <w:spacing w:val="33"/>
                <w:sz w:val="20"/>
              </w:rPr>
              <w:t> </w:t>
            </w:r>
            <w:r>
              <w:rPr>
                <w:sz w:val="20"/>
              </w:rPr>
              <w:t>already</w:t>
            </w:r>
            <w:r>
              <w:rPr>
                <w:spacing w:val="34"/>
                <w:sz w:val="20"/>
              </w:rPr>
              <w:t> </w:t>
            </w:r>
            <w:r>
              <w:rPr>
                <w:sz w:val="20"/>
              </w:rPr>
              <w:t>been</w:t>
            </w:r>
            <w:r>
              <w:rPr>
                <w:spacing w:val="36"/>
                <w:sz w:val="20"/>
              </w:rPr>
              <w:t> </w:t>
            </w:r>
            <w:r>
              <w:rPr>
                <w:sz w:val="20"/>
              </w:rPr>
              <w:t>provided</w:t>
            </w:r>
            <w:r>
              <w:rPr>
                <w:spacing w:val="33"/>
                <w:sz w:val="20"/>
              </w:rPr>
              <w:t> </w:t>
            </w:r>
            <w:r>
              <w:rPr>
                <w:sz w:val="20"/>
              </w:rPr>
              <w:t>when</w:t>
            </w:r>
            <w:r>
              <w:rPr>
                <w:spacing w:val="33"/>
                <w:sz w:val="20"/>
              </w:rPr>
              <w:t> </w:t>
            </w:r>
            <w:r>
              <w:rPr>
                <w:sz w:val="20"/>
              </w:rPr>
              <w:t>trading</w:t>
            </w:r>
            <w:r>
              <w:rPr>
                <w:spacing w:val="33"/>
                <w:sz w:val="20"/>
              </w:rPr>
              <w:t> </w:t>
            </w:r>
            <w:r>
              <w:rPr>
                <w:sz w:val="20"/>
              </w:rPr>
              <w:t>is</w:t>
            </w:r>
            <w:r>
              <w:rPr>
                <w:spacing w:val="35"/>
                <w:sz w:val="20"/>
              </w:rPr>
              <w:t> </w:t>
            </w:r>
            <w:r>
              <w:rPr>
                <w:sz w:val="20"/>
              </w:rPr>
              <w:t>suspended</w:t>
            </w:r>
            <w:r>
              <w:rPr>
                <w:spacing w:val="36"/>
                <w:sz w:val="20"/>
              </w:rPr>
              <w:t> </w:t>
            </w:r>
            <w:r>
              <w:rPr>
                <w:sz w:val="20"/>
              </w:rPr>
              <w:t>in connection with buybacks under Article 123 para. 1 let. e FMIO.</w:t>
            </w:r>
          </w:p>
        </w:tc>
        <w:tc>
          <w:tcPr>
            <w:tcW w:w="701" w:type="dxa"/>
          </w:tcPr>
          <w:p>
            <w:pPr>
              <w:pStyle w:val="TableParagraph"/>
              <w:spacing w:before="142"/>
              <w:ind w:right="48"/>
              <w:jc w:val="right"/>
              <w:rPr>
                <w:sz w:val="20"/>
              </w:rPr>
            </w:pPr>
            <w:r>
              <w:rPr>
                <w:spacing w:val="-5"/>
                <w:sz w:val="20"/>
              </w:rPr>
              <w:t>36*</w:t>
            </w:r>
          </w:p>
        </w:tc>
      </w:tr>
      <w:tr>
        <w:trPr>
          <w:trHeight w:val="489" w:hRule="atLeast"/>
        </w:trPr>
        <w:tc>
          <w:tcPr>
            <w:tcW w:w="8505" w:type="dxa"/>
          </w:tcPr>
          <w:p>
            <w:pPr>
              <w:pStyle w:val="TableParagraph"/>
              <w:spacing w:before="132"/>
              <w:ind w:left="50"/>
              <w:rPr>
                <w:sz w:val="20"/>
              </w:rPr>
            </w:pPr>
            <w:r>
              <w:rPr>
                <w:sz w:val="20"/>
              </w:rPr>
              <w:t>No</w:t>
            </w:r>
            <w:r>
              <w:rPr>
                <w:spacing w:val="-6"/>
                <w:sz w:val="20"/>
              </w:rPr>
              <w:t> </w:t>
            </w:r>
            <w:r>
              <w:rPr>
                <w:sz w:val="20"/>
              </w:rPr>
              <w:t>violation</w:t>
            </w:r>
            <w:r>
              <w:rPr>
                <w:spacing w:val="-4"/>
                <w:sz w:val="20"/>
              </w:rPr>
              <w:t> </w:t>
            </w:r>
            <w:r>
              <w:rPr>
                <w:sz w:val="20"/>
              </w:rPr>
              <w:t>of</w:t>
            </w:r>
            <w:r>
              <w:rPr>
                <w:spacing w:val="-4"/>
                <w:sz w:val="20"/>
              </w:rPr>
              <w:t> </w:t>
            </w:r>
            <w:r>
              <w:rPr>
                <w:sz w:val="20"/>
              </w:rPr>
              <w:t>Article</w:t>
            </w:r>
            <w:r>
              <w:rPr>
                <w:spacing w:val="-5"/>
                <w:sz w:val="20"/>
              </w:rPr>
              <w:t> </w:t>
            </w:r>
            <w:r>
              <w:rPr>
                <w:sz w:val="20"/>
              </w:rPr>
              <w:t>143</w:t>
            </w:r>
            <w:r>
              <w:rPr>
                <w:spacing w:val="-6"/>
                <w:sz w:val="20"/>
              </w:rPr>
              <w:t> </w:t>
            </w:r>
            <w:r>
              <w:rPr>
                <w:sz w:val="20"/>
              </w:rPr>
              <w:t>FMIA</w:t>
            </w:r>
            <w:r>
              <w:rPr>
                <w:spacing w:val="-5"/>
                <w:sz w:val="20"/>
              </w:rPr>
              <w:t> </w:t>
            </w:r>
            <w:r>
              <w:rPr>
                <w:sz w:val="20"/>
              </w:rPr>
              <w:t>is</w:t>
            </w:r>
            <w:r>
              <w:rPr>
                <w:spacing w:val="-5"/>
                <w:sz w:val="20"/>
              </w:rPr>
              <w:t> </w:t>
            </w:r>
            <w:r>
              <w:rPr>
                <w:sz w:val="20"/>
              </w:rPr>
              <w:t>assumed</w:t>
            </w:r>
            <w:r>
              <w:rPr>
                <w:spacing w:val="-5"/>
                <w:sz w:val="20"/>
              </w:rPr>
              <w:t> </w:t>
            </w:r>
            <w:r>
              <w:rPr>
                <w:sz w:val="20"/>
              </w:rPr>
              <w:t>in</w:t>
            </w:r>
            <w:r>
              <w:rPr>
                <w:spacing w:val="-6"/>
                <w:sz w:val="20"/>
              </w:rPr>
              <w:t> </w:t>
            </w:r>
            <w:r>
              <w:rPr>
                <w:sz w:val="20"/>
              </w:rPr>
              <w:t>the</w:t>
            </w:r>
            <w:r>
              <w:rPr>
                <w:spacing w:val="-6"/>
                <w:sz w:val="20"/>
              </w:rPr>
              <w:t> </w:t>
            </w:r>
            <w:r>
              <w:rPr>
                <w:sz w:val="20"/>
              </w:rPr>
              <w:t>following</w:t>
            </w:r>
            <w:r>
              <w:rPr>
                <w:spacing w:val="-3"/>
                <w:sz w:val="20"/>
              </w:rPr>
              <w:t> </w:t>
            </w:r>
            <w:r>
              <w:rPr>
                <w:spacing w:val="-2"/>
                <w:sz w:val="20"/>
              </w:rPr>
              <w:t>cases:</w:t>
            </w:r>
          </w:p>
        </w:tc>
        <w:tc>
          <w:tcPr>
            <w:tcW w:w="701" w:type="dxa"/>
          </w:tcPr>
          <w:p>
            <w:pPr>
              <w:pStyle w:val="TableParagraph"/>
              <w:spacing w:before="132"/>
              <w:ind w:right="49"/>
              <w:jc w:val="right"/>
              <w:rPr>
                <w:sz w:val="20"/>
              </w:rPr>
            </w:pPr>
            <w:r>
              <w:rPr>
                <w:spacing w:val="-5"/>
                <w:sz w:val="20"/>
              </w:rPr>
              <w:t>37</w:t>
            </w:r>
          </w:p>
        </w:tc>
      </w:tr>
      <w:tr>
        <w:trPr>
          <w:trHeight w:val="759" w:hRule="atLeast"/>
        </w:trPr>
        <w:tc>
          <w:tcPr>
            <w:tcW w:w="8505" w:type="dxa"/>
          </w:tcPr>
          <w:p>
            <w:pPr>
              <w:pStyle w:val="TableParagraph"/>
              <w:numPr>
                <w:ilvl w:val="0"/>
                <w:numId w:val="17"/>
              </w:numPr>
              <w:tabs>
                <w:tab w:pos="477" w:val="left" w:leader="none"/>
              </w:tabs>
              <w:spacing w:line="268" w:lineRule="auto" w:before="126" w:after="0"/>
              <w:ind w:left="477" w:right="355" w:hanging="428"/>
              <w:jc w:val="left"/>
              <w:rPr>
                <w:sz w:val="20"/>
              </w:rPr>
            </w:pPr>
            <w:r>
              <w:rPr>
                <w:sz w:val="20"/>
              </w:rPr>
              <w:t>Securities</w:t>
            </w:r>
            <w:r>
              <w:rPr>
                <w:spacing w:val="-14"/>
                <w:sz w:val="20"/>
              </w:rPr>
              <w:t> </w:t>
            </w:r>
            <w:r>
              <w:rPr>
                <w:sz w:val="20"/>
              </w:rPr>
              <w:t>trades</w:t>
            </w:r>
            <w:r>
              <w:rPr>
                <w:spacing w:val="-14"/>
                <w:sz w:val="20"/>
              </w:rPr>
              <w:t> </w:t>
            </w:r>
            <w:r>
              <w:rPr>
                <w:sz w:val="20"/>
              </w:rPr>
              <w:t>with</w:t>
            </w:r>
            <w:r>
              <w:rPr>
                <w:spacing w:val="-14"/>
                <w:sz w:val="20"/>
              </w:rPr>
              <w:t> </w:t>
            </w:r>
            <w:r>
              <w:rPr>
                <w:sz w:val="20"/>
              </w:rPr>
              <w:t>a</w:t>
            </w:r>
            <w:r>
              <w:rPr>
                <w:spacing w:val="-14"/>
                <w:sz w:val="20"/>
              </w:rPr>
              <w:t> </w:t>
            </w:r>
            <w:r>
              <w:rPr>
                <w:sz w:val="20"/>
              </w:rPr>
              <w:t>demonstrable</w:t>
            </w:r>
            <w:r>
              <w:rPr>
                <w:spacing w:val="-14"/>
                <w:sz w:val="20"/>
              </w:rPr>
              <w:t> </w:t>
            </w:r>
            <w:r>
              <w:rPr>
                <w:sz w:val="20"/>
              </w:rPr>
              <w:t>economic</w:t>
            </w:r>
            <w:r>
              <w:rPr>
                <w:spacing w:val="-14"/>
                <w:sz w:val="20"/>
              </w:rPr>
              <w:t> </w:t>
            </w:r>
            <w:r>
              <w:rPr>
                <w:sz w:val="20"/>
              </w:rPr>
              <w:t>background</w:t>
            </w:r>
            <w:r>
              <w:rPr>
                <w:spacing w:val="-14"/>
                <w:sz w:val="20"/>
              </w:rPr>
              <w:t> </w:t>
            </w:r>
            <w:r>
              <w:rPr>
                <w:sz w:val="20"/>
              </w:rPr>
              <w:t>that</w:t>
            </w:r>
            <w:r>
              <w:rPr>
                <w:spacing w:val="-14"/>
                <w:sz w:val="20"/>
              </w:rPr>
              <w:t> </w:t>
            </w:r>
            <w:r>
              <w:rPr>
                <w:sz w:val="20"/>
              </w:rPr>
              <w:t>correspond</w:t>
            </w:r>
            <w:r>
              <w:rPr>
                <w:spacing w:val="-14"/>
                <w:sz w:val="20"/>
              </w:rPr>
              <w:t> </w:t>
            </w:r>
            <w:r>
              <w:rPr>
                <w:sz w:val="20"/>
              </w:rPr>
              <w:t>to</w:t>
            </w:r>
            <w:r>
              <w:rPr>
                <w:spacing w:val="-13"/>
                <w:sz w:val="20"/>
              </w:rPr>
              <w:t> </w:t>
            </w:r>
            <w:r>
              <w:rPr>
                <w:sz w:val="20"/>
              </w:rPr>
              <w:t>genuine bid and ask behaviour.</w:t>
            </w:r>
          </w:p>
        </w:tc>
        <w:tc>
          <w:tcPr>
            <w:tcW w:w="701" w:type="dxa"/>
          </w:tcPr>
          <w:p>
            <w:pPr>
              <w:pStyle w:val="TableParagraph"/>
              <w:spacing w:before="142"/>
              <w:ind w:right="49"/>
              <w:jc w:val="right"/>
              <w:rPr>
                <w:sz w:val="20"/>
              </w:rPr>
            </w:pPr>
            <w:r>
              <w:rPr>
                <w:spacing w:val="-5"/>
                <w:sz w:val="20"/>
              </w:rPr>
              <w:t>38</w:t>
            </w:r>
          </w:p>
        </w:tc>
      </w:tr>
      <w:tr>
        <w:trPr>
          <w:trHeight w:val="769" w:hRule="atLeast"/>
        </w:trPr>
        <w:tc>
          <w:tcPr>
            <w:tcW w:w="8505" w:type="dxa"/>
          </w:tcPr>
          <w:p>
            <w:pPr>
              <w:pStyle w:val="TableParagraph"/>
              <w:numPr>
                <w:ilvl w:val="0"/>
                <w:numId w:val="18"/>
              </w:numPr>
              <w:tabs>
                <w:tab w:pos="477" w:val="left" w:leader="none"/>
              </w:tabs>
              <w:spacing w:line="268" w:lineRule="auto" w:before="127" w:after="0"/>
              <w:ind w:left="477" w:right="356" w:hanging="428"/>
              <w:jc w:val="left"/>
              <w:rPr>
                <w:sz w:val="20"/>
              </w:rPr>
            </w:pPr>
            <w:r>
              <w:rPr>
                <w:sz w:val="20"/>
              </w:rPr>
              <w:t>Use of a volume-weighted average price (VWAP) algorithm to repurchase securities</w:t>
            </w:r>
            <w:r>
              <w:rPr>
                <w:spacing w:val="40"/>
                <w:sz w:val="20"/>
              </w:rPr>
              <w:t> </w:t>
            </w:r>
            <w:r>
              <w:rPr>
                <w:sz w:val="20"/>
              </w:rPr>
              <w:t>during a buyback.</w:t>
            </w:r>
          </w:p>
        </w:tc>
        <w:tc>
          <w:tcPr>
            <w:tcW w:w="701" w:type="dxa"/>
          </w:tcPr>
          <w:p>
            <w:pPr>
              <w:pStyle w:val="TableParagraph"/>
              <w:spacing w:before="143"/>
              <w:ind w:right="46"/>
              <w:jc w:val="right"/>
              <w:rPr>
                <w:sz w:val="20"/>
              </w:rPr>
            </w:pPr>
            <w:r>
              <w:rPr>
                <w:spacing w:val="-5"/>
                <w:sz w:val="20"/>
              </w:rPr>
              <w:t>39</w:t>
            </w:r>
          </w:p>
        </w:tc>
      </w:tr>
      <w:tr>
        <w:trPr>
          <w:trHeight w:val="1387" w:hRule="atLeast"/>
        </w:trPr>
        <w:tc>
          <w:tcPr>
            <w:tcW w:w="8505" w:type="dxa"/>
          </w:tcPr>
          <w:p>
            <w:pPr>
              <w:pStyle w:val="TableParagraph"/>
              <w:spacing w:line="271" w:lineRule="auto" w:before="130"/>
              <w:ind w:left="50" w:right="349"/>
              <w:jc w:val="both"/>
              <w:rPr>
                <w:sz w:val="20"/>
              </w:rPr>
            </w:pPr>
            <w:r>
              <w:rPr>
                <w:sz w:val="20"/>
              </w:rPr>
              <w:t>It is assumed that the parties involved in price stabilisation in connection with a public placement of securities do not violate Article 143 FMIA if the issuer of the securities, which is itself not involved in the public placement, fails to meet its reporting obligations under Article</w:t>
            </w:r>
            <w:r>
              <w:rPr>
                <w:spacing w:val="-13"/>
                <w:sz w:val="20"/>
              </w:rPr>
              <w:t> </w:t>
            </w:r>
            <w:r>
              <w:rPr>
                <w:sz w:val="20"/>
              </w:rPr>
              <w:t>126</w:t>
            </w:r>
            <w:r>
              <w:rPr>
                <w:spacing w:val="-13"/>
                <w:sz w:val="20"/>
              </w:rPr>
              <w:t> </w:t>
            </w:r>
            <w:r>
              <w:rPr>
                <w:sz w:val="20"/>
              </w:rPr>
              <w:t>lets.</w:t>
            </w:r>
            <w:r>
              <w:rPr>
                <w:spacing w:val="-13"/>
                <w:sz w:val="20"/>
              </w:rPr>
              <w:t> </w:t>
            </w:r>
            <w:r>
              <w:rPr>
                <w:sz w:val="20"/>
              </w:rPr>
              <w:t>d</w:t>
            </w:r>
            <w:r>
              <w:rPr>
                <w:spacing w:val="-13"/>
                <w:sz w:val="20"/>
              </w:rPr>
              <w:t> </w:t>
            </w:r>
            <w:r>
              <w:rPr>
                <w:sz w:val="20"/>
              </w:rPr>
              <w:t>and</w:t>
            </w:r>
            <w:r>
              <w:rPr>
                <w:spacing w:val="-13"/>
                <w:sz w:val="20"/>
              </w:rPr>
              <w:t> </w:t>
            </w:r>
            <w:r>
              <w:rPr>
                <w:sz w:val="20"/>
              </w:rPr>
              <w:t>e</w:t>
            </w:r>
            <w:r>
              <w:rPr>
                <w:spacing w:val="-13"/>
                <w:sz w:val="20"/>
              </w:rPr>
              <w:t> </w:t>
            </w:r>
            <w:r>
              <w:rPr>
                <w:sz w:val="20"/>
              </w:rPr>
              <w:t>FMIO,</w:t>
            </w:r>
            <w:r>
              <w:rPr>
                <w:spacing w:val="-13"/>
                <w:sz w:val="20"/>
              </w:rPr>
              <w:t> </w:t>
            </w:r>
            <w:r>
              <w:rPr>
                <w:sz w:val="20"/>
              </w:rPr>
              <w:t>provided</w:t>
            </w:r>
            <w:r>
              <w:rPr>
                <w:spacing w:val="-13"/>
                <w:sz w:val="20"/>
              </w:rPr>
              <w:t> </w:t>
            </w:r>
            <w:r>
              <w:rPr>
                <w:sz w:val="20"/>
              </w:rPr>
              <w:t>the</w:t>
            </w:r>
            <w:r>
              <w:rPr>
                <w:spacing w:val="-13"/>
                <w:sz w:val="20"/>
              </w:rPr>
              <w:t> </w:t>
            </w:r>
            <w:r>
              <w:rPr>
                <w:sz w:val="20"/>
              </w:rPr>
              <w:t>parties</w:t>
            </w:r>
            <w:r>
              <w:rPr>
                <w:spacing w:val="-12"/>
                <w:sz w:val="20"/>
              </w:rPr>
              <w:t> </w:t>
            </w:r>
            <w:r>
              <w:rPr>
                <w:sz w:val="20"/>
              </w:rPr>
              <w:t>comply</w:t>
            </w:r>
            <w:r>
              <w:rPr>
                <w:spacing w:val="-12"/>
                <w:sz w:val="20"/>
              </w:rPr>
              <w:t> </w:t>
            </w:r>
            <w:r>
              <w:rPr>
                <w:sz w:val="20"/>
              </w:rPr>
              <w:t>with</w:t>
            </w:r>
            <w:r>
              <w:rPr>
                <w:spacing w:val="-13"/>
                <w:sz w:val="20"/>
              </w:rPr>
              <w:t> </w:t>
            </w:r>
            <w:r>
              <w:rPr>
                <w:sz w:val="20"/>
              </w:rPr>
              <w:t>all</w:t>
            </w:r>
            <w:r>
              <w:rPr>
                <w:spacing w:val="-14"/>
                <w:sz w:val="20"/>
              </w:rPr>
              <w:t> </w:t>
            </w:r>
            <w:r>
              <w:rPr>
                <w:sz w:val="20"/>
              </w:rPr>
              <w:t>other</w:t>
            </w:r>
            <w:r>
              <w:rPr>
                <w:spacing w:val="-12"/>
                <w:sz w:val="20"/>
              </w:rPr>
              <w:t> </w:t>
            </w:r>
            <w:r>
              <w:rPr>
                <w:sz w:val="20"/>
              </w:rPr>
              <w:t>“safe</w:t>
            </w:r>
            <w:r>
              <w:rPr>
                <w:spacing w:val="-14"/>
                <w:sz w:val="20"/>
              </w:rPr>
              <w:t> </w:t>
            </w:r>
            <w:r>
              <w:rPr>
                <w:sz w:val="20"/>
              </w:rPr>
              <w:t>harbour”</w:t>
            </w:r>
            <w:r>
              <w:rPr>
                <w:spacing w:val="-12"/>
                <w:sz w:val="20"/>
              </w:rPr>
              <w:t> </w:t>
            </w:r>
            <w:r>
              <w:rPr>
                <w:spacing w:val="-2"/>
                <w:sz w:val="20"/>
              </w:rPr>
              <w:t>rules.</w:t>
            </w:r>
          </w:p>
        </w:tc>
        <w:tc>
          <w:tcPr>
            <w:tcW w:w="701" w:type="dxa"/>
          </w:tcPr>
          <w:p>
            <w:pPr>
              <w:pStyle w:val="TableParagraph"/>
              <w:spacing w:before="132"/>
              <w:ind w:right="49"/>
              <w:jc w:val="right"/>
              <w:rPr>
                <w:sz w:val="20"/>
              </w:rPr>
            </w:pPr>
            <w:r>
              <w:rPr>
                <w:spacing w:val="-5"/>
                <w:sz w:val="20"/>
              </w:rPr>
              <w:t>40</w:t>
            </w:r>
          </w:p>
        </w:tc>
      </w:tr>
      <w:tr>
        <w:trPr>
          <w:trHeight w:val="926" w:hRule="atLeast"/>
        </w:trPr>
        <w:tc>
          <w:tcPr>
            <w:tcW w:w="8505" w:type="dxa"/>
          </w:tcPr>
          <w:p>
            <w:pPr>
              <w:pStyle w:val="TableParagraph"/>
              <w:tabs>
                <w:tab w:pos="616" w:val="left" w:leader="none"/>
              </w:tabs>
              <w:spacing w:before="237"/>
              <w:ind w:left="50" w:right="356"/>
              <w:rPr>
                <w:b/>
                <w:sz w:val="24"/>
              </w:rPr>
            </w:pPr>
            <w:r>
              <w:rPr>
                <w:b/>
                <w:spacing w:val="-4"/>
                <w:sz w:val="24"/>
              </w:rPr>
              <w:t>VI.</w:t>
            </w:r>
            <w:r>
              <w:rPr>
                <w:b/>
                <w:sz w:val="24"/>
              </w:rPr>
              <w:tab/>
              <w:t>Market abuse on the primary market, with foreign securities or on other markets</w:t>
            </w:r>
          </w:p>
        </w:tc>
        <w:tc>
          <w:tcPr>
            <w:tcW w:w="701" w:type="dxa"/>
          </w:tcPr>
          <w:p>
            <w:pPr>
              <w:pStyle w:val="TableParagraph"/>
              <w:rPr>
                <w:rFonts w:ascii="Times New Roman"/>
                <w:sz w:val="20"/>
              </w:rPr>
            </w:pPr>
          </w:p>
        </w:tc>
      </w:tr>
      <w:tr>
        <w:trPr>
          <w:trHeight w:val="1660" w:hRule="atLeast"/>
        </w:trPr>
        <w:tc>
          <w:tcPr>
            <w:tcW w:w="8505" w:type="dxa"/>
          </w:tcPr>
          <w:p>
            <w:pPr>
              <w:pStyle w:val="TableParagraph"/>
              <w:spacing w:line="271" w:lineRule="auto" w:before="130"/>
              <w:ind w:left="50" w:right="351"/>
              <w:jc w:val="both"/>
              <w:rPr>
                <w:sz w:val="20"/>
              </w:rPr>
            </w:pPr>
            <w:r>
              <w:rPr>
                <w:sz w:val="20"/>
              </w:rPr>
              <w:t>For the purpose of assessing the assurance of proper business conduct on the part of the supervised</w:t>
            </w:r>
            <w:r>
              <w:rPr>
                <w:spacing w:val="-5"/>
                <w:sz w:val="20"/>
              </w:rPr>
              <w:t> </w:t>
            </w:r>
            <w:r>
              <w:rPr>
                <w:sz w:val="20"/>
              </w:rPr>
              <w:t>institutions</w:t>
            </w:r>
            <w:r>
              <w:rPr>
                <w:spacing w:val="-6"/>
                <w:sz w:val="20"/>
              </w:rPr>
              <w:t> </w:t>
            </w:r>
            <w:r>
              <w:rPr>
                <w:sz w:val="20"/>
              </w:rPr>
              <w:t>listed</w:t>
            </w:r>
            <w:r>
              <w:rPr>
                <w:spacing w:val="-7"/>
                <w:sz w:val="20"/>
              </w:rPr>
              <w:t> </w:t>
            </w:r>
            <w:r>
              <w:rPr>
                <w:sz w:val="20"/>
              </w:rPr>
              <w:t>in</w:t>
            </w:r>
            <w:r>
              <w:rPr>
                <w:spacing w:val="-4"/>
                <w:sz w:val="20"/>
              </w:rPr>
              <w:t> </w:t>
            </w:r>
            <w:r>
              <w:rPr>
                <w:sz w:val="20"/>
              </w:rPr>
              <w:t>margin</w:t>
            </w:r>
            <w:r>
              <w:rPr>
                <w:spacing w:val="-5"/>
                <w:sz w:val="20"/>
              </w:rPr>
              <w:t> </w:t>
            </w:r>
            <w:r>
              <w:rPr>
                <w:sz w:val="20"/>
              </w:rPr>
              <w:t>nos.</w:t>
            </w:r>
            <w:r>
              <w:rPr>
                <w:spacing w:val="-4"/>
                <w:sz w:val="20"/>
              </w:rPr>
              <w:t> </w:t>
            </w:r>
            <w:r>
              <w:rPr>
                <w:sz w:val="20"/>
              </w:rPr>
              <w:t>4,</w:t>
            </w:r>
            <w:r>
              <w:rPr>
                <w:spacing w:val="-5"/>
                <w:sz w:val="20"/>
              </w:rPr>
              <w:t> </w:t>
            </w:r>
            <w:r>
              <w:rPr>
                <w:sz w:val="20"/>
              </w:rPr>
              <w:t>5</w:t>
            </w:r>
            <w:r>
              <w:rPr>
                <w:spacing w:val="-4"/>
                <w:sz w:val="20"/>
              </w:rPr>
              <w:t> </w:t>
            </w:r>
            <w:r>
              <w:rPr>
                <w:sz w:val="20"/>
              </w:rPr>
              <w:t>and</w:t>
            </w:r>
            <w:r>
              <w:rPr>
                <w:spacing w:val="-7"/>
                <w:sz w:val="20"/>
              </w:rPr>
              <w:t> </w:t>
            </w:r>
            <w:r>
              <w:rPr>
                <w:sz w:val="20"/>
              </w:rPr>
              <w:t>6</w:t>
            </w:r>
            <w:r>
              <w:rPr>
                <w:spacing w:val="-2"/>
                <w:sz w:val="20"/>
              </w:rPr>
              <w:t> </w:t>
            </w:r>
            <w:r>
              <w:rPr>
                <w:sz w:val="20"/>
              </w:rPr>
              <w:t>and</w:t>
            </w:r>
            <w:r>
              <w:rPr>
                <w:spacing w:val="-5"/>
                <w:sz w:val="20"/>
              </w:rPr>
              <w:t> </w:t>
            </w:r>
            <w:r>
              <w:rPr>
                <w:sz w:val="20"/>
              </w:rPr>
              <w:t>with</w:t>
            </w:r>
            <w:r>
              <w:rPr>
                <w:spacing w:val="-4"/>
                <w:sz w:val="20"/>
              </w:rPr>
              <w:t> </w:t>
            </w:r>
            <w:r>
              <w:rPr>
                <w:sz w:val="20"/>
              </w:rPr>
              <w:t>a</w:t>
            </w:r>
            <w:r>
              <w:rPr>
                <w:spacing w:val="-7"/>
                <w:sz w:val="20"/>
              </w:rPr>
              <w:t> </w:t>
            </w:r>
            <w:r>
              <w:rPr>
                <w:sz w:val="20"/>
              </w:rPr>
              <w:t>view</w:t>
            </w:r>
            <w:r>
              <w:rPr>
                <w:spacing w:val="-4"/>
                <w:sz w:val="20"/>
              </w:rPr>
              <w:t> </w:t>
            </w:r>
            <w:r>
              <w:rPr>
                <w:sz w:val="20"/>
              </w:rPr>
              <w:t>to</w:t>
            </w:r>
            <w:r>
              <w:rPr>
                <w:spacing w:val="-5"/>
                <w:sz w:val="20"/>
              </w:rPr>
              <w:t> </w:t>
            </w:r>
            <w:r>
              <w:rPr>
                <w:sz w:val="20"/>
              </w:rPr>
              <w:t>applying</w:t>
            </w:r>
            <w:r>
              <w:rPr>
                <w:spacing w:val="-2"/>
                <w:sz w:val="20"/>
              </w:rPr>
              <w:t> </w:t>
            </w:r>
            <w:r>
              <w:rPr>
                <w:sz w:val="20"/>
              </w:rPr>
              <w:t>measures in accordance with Articles 29-37 of the Financial Market Supervision Act (FINMASA; SR 956.1) the provisions on insider information and market manipulation (sections III-V) of this Circular)</w:t>
            </w:r>
            <w:r>
              <w:rPr>
                <w:spacing w:val="-1"/>
                <w:sz w:val="20"/>
              </w:rPr>
              <w:t> </w:t>
            </w:r>
            <w:r>
              <w:rPr>
                <w:sz w:val="20"/>
              </w:rPr>
              <w:t>apply</w:t>
            </w:r>
            <w:r>
              <w:rPr>
                <w:spacing w:val="-2"/>
                <w:sz w:val="20"/>
              </w:rPr>
              <w:t> </w:t>
            </w:r>
            <w:r>
              <w:rPr>
                <w:sz w:val="20"/>
              </w:rPr>
              <w:t>not</w:t>
            </w:r>
            <w:r>
              <w:rPr>
                <w:spacing w:val="-3"/>
                <w:sz w:val="20"/>
              </w:rPr>
              <w:t> </w:t>
            </w:r>
            <w:r>
              <w:rPr>
                <w:sz w:val="20"/>
              </w:rPr>
              <w:t>only</w:t>
            </w:r>
            <w:r>
              <w:rPr>
                <w:spacing w:val="-2"/>
                <w:sz w:val="20"/>
              </w:rPr>
              <w:t> </w:t>
            </w:r>
            <w:r>
              <w:rPr>
                <w:sz w:val="20"/>
              </w:rPr>
              <w:t>in</w:t>
            </w:r>
            <w:r>
              <w:rPr>
                <w:spacing w:val="-3"/>
                <w:sz w:val="20"/>
              </w:rPr>
              <w:t> </w:t>
            </w:r>
            <w:r>
              <w:rPr>
                <w:sz w:val="20"/>
              </w:rPr>
              <w:t>respect</w:t>
            </w:r>
            <w:r>
              <w:rPr>
                <w:spacing w:val="-3"/>
                <w:sz w:val="20"/>
              </w:rPr>
              <w:t> </w:t>
            </w:r>
            <w:r>
              <w:rPr>
                <w:sz w:val="20"/>
              </w:rPr>
              <w:t>of</w:t>
            </w:r>
            <w:r>
              <w:rPr>
                <w:spacing w:val="-3"/>
                <w:sz w:val="20"/>
              </w:rPr>
              <w:t> </w:t>
            </w:r>
            <w:r>
              <w:rPr>
                <w:sz w:val="20"/>
              </w:rPr>
              <w:t>securities</w:t>
            </w:r>
            <w:r>
              <w:rPr>
                <w:spacing w:val="-2"/>
                <w:sz w:val="20"/>
              </w:rPr>
              <w:t> </w:t>
            </w:r>
            <w:r>
              <w:rPr>
                <w:sz w:val="20"/>
              </w:rPr>
              <w:t>admitted</w:t>
            </w:r>
            <w:r>
              <w:rPr>
                <w:spacing w:val="-3"/>
                <w:sz w:val="20"/>
              </w:rPr>
              <w:t> </w:t>
            </w:r>
            <w:r>
              <w:rPr>
                <w:sz w:val="20"/>
              </w:rPr>
              <w:t>to</w:t>
            </w:r>
            <w:r>
              <w:rPr>
                <w:spacing w:val="-3"/>
                <w:sz w:val="20"/>
              </w:rPr>
              <w:t> </w:t>
            </w:r>
            <w:r>
              <w:rPr>
                <w:sz w:val="20"/>
              </w:rPr>
              <w:t>trading</w:t>
            </w:r>
            <w:r>
              <w:rPr>
                <w:spacing w:val="-4"/>
                <w:sz w:val="20"/>
              </w:rPr>
              <w:t> </w:t>
            </w:r>
            <w:r>
              <w:rPr>
                <w:sz w:val="20"/>
              </w:rPr>
              <w:t>on Swiss</w:t>
            </w:r>
            <w:r>
              <w:rPr>
                <w:spacing w:val="-2"/>
                <w:sz w:val="20"/>
              </w:rPr>
              <w:t> </w:t>
            </w:r>
            <w:r>
              <w:rPr>
                <w:sz w:val="20"/>
              </w:rPr>
              <w:t>trading</w:t>
            </w:r>
            <w:r>
              <w:rPr>
                <w:spacing w:val="-3"/>
                <w:sz w:val="20"/>
              </w:rPr>
              <w:t> </w:t>
            </w:r>
            <w:r>
              <w:rPr>
                <w:sz w:val="20"/>
              </w:rPr>
              <w:t>venues,</w:t>
            </w:r>
          </w:p>
          <w:p>
            <w:pPr>
              <w:pStyle w:val="TableParagraph"/>
              <w:spacing w:line="210" w:lineRule="exact" w:before="1"/>
              <w:ind w:left="50"/>
              <w:jc w:val="both"/>
              <w:rPr>
                <w:sz w:val="20"/>
              </w:rPr>
            </w:pPr>
            <w:r>
              <w:rPr>
                <w:sz w:val="20"/>
              </w:rPr>
              <w:t>but</w:t>
            </w:r>
            <w:r>
              <w:rPr>
                <w:spacing w:val="-7"/>
                <w:sz w:val="20"/>
              </w:rPr>
              <w:t> </w:t>
            </w:r>
            <w:r>
              <w:rPr>
                <w:sz w:val="20"/>
              </w:rPr>
              <w:t>also</w:t>
            </w:r>
            <w:r>
              <w:rPr>
                <w:spacing w:val="-7"/>
                <w:sz w:val="20"/>
              </w:rPr>
              <w:t> </w:t>
            </w:r>
            <w:r>
              <w:rPr>
                <w:i/>
                <w:sz w:val="20"/>
              </w:rPr>
              <w:t>mutatis</w:t>
            </w:r>
            <w:r>
              <w:rPr>
                <w:i/>
                <w:spacing w:val="-6"/>
                <w:sz w:val="20"/>
              </w:rPr>
              <w:t> </w:t>
            </w:r>
            <w:r>
              <w:rPr>
                <w:i/>
                <w:sz w:val="20"/>
              </w:rPr>
              <w:t>mutandis</w:t>
            </w:r>
            <w:r>
              <w:rPr>
                <w:i/>
                <w:spacing w:val="-1"/>
                <w:sz w:val="20"/>
              </w:rPr>
              <w:t> </w:t>
            </w:r>
            <w:r>
              <w:rPr>
                <w:sz w:val="20"/>
              </w:rPr>
              <w:t>in</w:t>
            </w:r>
            <w:r>
              <w:rPr>
                <w:spacing w:val="-7"/>
                <w:sz w:val="20"/>
              </w:rPr>
              <w:t> </w:t>
            </w:r>
            <w:r>
              <w:rPr>
                <w:sz w:val="20"/>
              </w:rPr>
              <w:t>respect</w:t>
            </w:r>
            <w:r>
              <w:rPr>
                <w:spacing w:val="-7"/>
                <w:sz w:val="20"/>
              </w:rPr>
              <w:t> </w:t>
            </w:r>
            <w:r>
              <w:rPr>
                <w:sz w:val="20"/>
              </w:rPr>
              <w:t>of</w:t>
            </w:r>
            <w:r>
              <w:rPr>
                <w:spacing w:val="-5"/>
                <w:sz w:val="20"/>
              </w:rPr>
              <w:t> </w:t>
            </w:r>
            <w:r>
              <w:rPr>
                <w:sz w:val="20"/>
              </w:rPr>
              <w:t>the</w:t>
            </w:r>
            <w:r>
              <w:rPr>
                <w:spacing w:val="-5"/>
                <w:sz w:val="20"/>
              </w:rPr>
              <w:t> </w:t>
            </w:r>
            <w:r>
              <w:rPr>
                <w:sz w:val="20"/>
              </w:rPr>
              <w:t>following</w:t>
            </w:r>
            <w:r>
              <w:rPr>
                <w:spacing w:val="-5"/>
                <w:sz w:val="20"/>
              </w:rPr>
              <w:t> </w:t>
            </w:r>
            <w:r>
              <w:rPr>
                <w:sz w:val="20"/>
              </w:rPr>
              <w:t>in</w:t>
            </w:r>
            <w:r>
              <w:rPr>
                <w:spacing w:val="-5"/>
                <w:sz w:val="20"/>
              </w:rPr>
              <w:t> </w:t>
            </w:r>
            <w:r>
              <w:rPr>
                <w:spacing w:val="-2"/>
                <w:sz w:val="20"/>
              </w:rPr>
              <w:t>particular:</w:t>
            </w:r>
          </w:p>
        </w:tc>
        <w:tc>
          <w:tcPr>
            <w:tcW w:w="701" w:type="dxa"/>
          </w:tcPr>
          <w:p>
            <w:pPr>
              <w:pStyle w:val="TableParagraph"/>
              <w:spacing w:before="132"/>
              <w:ind w:right="49"/>
              <w:jc w:val="right"/>
              <w:rPr>
                <w:sz w:val="20"/>
              </w:rPr>
            </w:pPr>
            <w:r>
              <w:rPr>
                <w:spacing w:val="-5"/>
                <w:sz w:val="20"/>
              </w:rPr>
              <w:t>41</w:t>
            </w:r>
          </w:p>
        </w:tc>
      </w:tr>
    </w:tbl>
    <w:p>
      <w:pPr>
        <w:pStyle w:val="TableParagraph"/>
        <w:spacing w:after="0"/>
        <w:jc w:val="right"/>
        <w:rPr>
          <w:sz w:val="20"/>
        </w:rPr>
        <w:sectPr>
          <w:pgSz w:w="11900" w:h="16850"/>
          <w:pgMar w:header="828" w:footer="318" w:top="1400" w:bottom="500" w:left="1559" w:right="850"/>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26"/>
        <w:rPr>
          <w:b/>
          <w:sz w:val="20"/>
        </w:rPr>
      </w:pPr>
    </w:p>
    <w:tbl>
      <w:tblPr>
        <w:tblW w:w="0" w:type="auto"/>
        <w:jc w:val="left"/>
        <w:tblInd w:w="2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505"/>
        <w:gridCol w:w="702"/>
      </w:tblGrid>
      <w:tr>
        <w:trPr>
          <w:trHeight w:val="371" w:hRule="atLeast"/>
        </w:trPr>
        <w:tc>
          <w:tcPr>
            <w:tcW w:w="8505" w:type="dxa"/>
          </w:tcPr>
          <w:p>
            <w:pPr>
              <w:pStyle w:val="TableParagraph"/>
              <w:numPr>
                <w:ilvl w:val="0"/>
                <w:numId w:val="19"/>
              </w:numPr>
              <w:tabs>
                <w:tab w:pos="477" w:val="left" w:leader="none"/>
              </w:tabs>
              <w:spacing w:line="244" w:lineRule="exact" w:before="0" w:after="0"/>
              <w:ind w:left="477" w:right="0" w:hanging="427"/>
              <w:jc w:val="left"/>
              <w:rPr>
                <w:sz w:val="20"/>
              </w:rPr>
            </w:pPr>
            <w:r>
              <w:rPr>
                <w:sz w:val="20"/>
              </w:rPr>
              <w:t>Securities</w:t>
            </w:r>
            <w:r>
              <w:rPr>
                <w:spacing w:val="-7"/>
                <w:sz w:val="20"/>
              </w:rPr>
              <w:t> </w:t>
            </w:r>
            <w:r>
              <w:rPr>
                <w:sz w:val="20"/>
              </w:rPr>
              <w:t>trading</w:t>
            </w:r>
            <w:r>
              <w:rPr>
                <w:spacing w:val="-6"/>
                <w:sz w:val="20"/>
              </w:rPr>
              <w:t> </w:t>
            </w:r>
            <w:r>
              <w:rPr>
                <w:sz w:val="20"/>
              </w:rPr>
              <w:t>in</w:t>
            </w:r>
            <w:r>
              <w:rPr>
                <w:spacing w:val="-7"/>
                <w:sz w:val="20"/>
              </w:rPr>
              <w:t> </w:t>
            </w:r>
            <w:r>
              <w:rPr>
                <w:sz w:val="20"/>
              </w:rPr>
              <w:t>the</w:t>
            </w:r>
            <w:r>
              <w:rPr>
                <w:spacing w:val="-8"/>
                <w:sz w:val="20"/>
              </w:rPr>
              <w:t> </w:t>
            </w:r>
            <w:r>
              <w:rPr>
                <w:sz w:val="20"/>
              </w:rPr>
              <w:t>primary</w:t>
            </w:r>
            <w:r>
              <w:rPr>
                <w:spacing w:val="-6"/>
                <w:sz w:val="20"/>
              </w:rPr>
              <w:t> </w:t>
            </w:r>
            <w:r>
              <w:rPr>
                <w:spacing w:val="-2"/>
                <w:sz w:val="20"/>
              </w:rPr>
              <w:t>market</w:t>
            </w:r>
          </w:p>
        </w:tc>
        <w:tc>
          <w:tcPr>
            <w:tcW w:w="702" w:type="dxa"/>
          </w:tcPr>
          <w:p>
            <w:pPr>
              <w:pStyle w:val="TableParagraph"/>
              <w:spacing w:before="12"/>
              <w:ind w:right="47"/>
              <w:jc w:val="right"/>
              <w:rPr>
                <w:sz w:val="20"/>
              </w:rPr>
            </w:pPr>
            <w:r>
              <w:rPr>
                <w:spacing w:val="-5"/>
                <w:sz w:val="20"/>
              </w:rPr>
              <w:t>42</w:t>
            </w:r>
          </w:p>
        </w:tc>
      </w:tr>
      <w:tr>
        <w:trPr>
          <w:trHeight w:val="758" w:hRule="atLeast"/>
        </w:trPr>
        <w:tc>
          <w:tcPr>
            <w:tcW w:w="8505" w:type="dxa"/>
          </w:tcPr>
          <w:p>
            <w:pPr>
              <w:pStyle w:val="TableParagraph"/>
              <w:numPr>
                <w:ilvl w:val="0"/>
                <w:numId w:val="20"/>
              </w:numPr>
              <w:tabs>
                <w:tab w:pos="477" w:val="left" w:leader="none"/>
              </w:tabs>
              <w:spacing w:line="268" w:lineRule="auto" w:before="126" w:after="0"/>
              <w:ind w:left="477" w:right="355" w:hanging="428"/>
              <w:jc w:val="left"/>
              <w:rPr>
                <w:sz w:val="20"/>
              </w:rPr>
            </w:pPr>
            <w:r>
              <w:rPr>
                <w:sz w:val="20"/>
              </w:rPr>
              <w:t>Securities that are only admitted to trading on trading venues outside Switzerland as well as securit-related derivatives.</w:t>
            </w:r>
          </w:p>
        </w:tc>
        <w:tc>
          <w:tcPr>
            <w:tcW w:w="702" w:type="dxa"/>
          </w:tcPr>
          <w:p>
            <w:pPr>
              <w:pStyle w:val="TableParagraph"/>
              <w:spacing w:before="142"/>
              <w:ind w:right="49"/>
              <w:jc w:val="right"/>
              <w:rPr>
                <w:sz w:val="20"/>
              </w:rPr>
            </w:pPr>
            <w:r>
              <w:rPr>
                <w:spacing w:val="-5"/>
                <w:sz w:val="20"/>
              </w:rPr>
              <w:t>43*</w:t>
            </w:r>
          </w:p>
        </w:tc>
      </w:tr>
      <w:tr>
        <w:trPr>
          <w:trHeight w:val="877" w:hRule="atLeast"/>
        </w:trPr>
        <w:tc>
          <w:tcPr>
            <w:tcW w:w="8505" w:type="dxa"/>
          </w:tcPr>
          <w:p>
            <w:pPr>
              <w:pStyle w:val="TableParagraph"/>
              <w:numPr>
                <w:ilvl w:val="0"/>
                <w:numId w:val="21"/>
              </w:numPr>
              <w:tabs>
                <w:tab w:pos="477" w:val="left" w:leader="none"/>
              </w:tabs>
              <w:spacing w:line="271" w:lineRule="auto" w:before="126" w:after="0"/>
              <w:ind w:left="477" w:right="356" w:hanging="428"/>
              <w:jc w:val="left"/>
              <w:rPr>
                <w:sz w:val="20"/>
              </w:rPr>
            </w:pPr>
            <w:r>
              <w:rPr>
                <w:sz w:val="20"/>
              </w:rPr>
              <w:t>Trading</w:t>
            </w:r>
            <w:r>
              <w:rPr>
                <w:spacing w:val="-8"/>
                <w:sz w:val="20"/>
              </w:rPr>
              <w:t> </w:t>
            </w:r>
            <w:r>
              <w:rPr>
                <w:sz w:val="20"/>
              </w:rPr>
              <w:t>on</w:t>
            </w:r>
            <w:r>
              <w:rPr>
                <w:spacing w:val="-6"/>
                <w:sz w:val="20"/>
              </w:rPr>
              <w:t> </w:t>
            </w:r>
            <w:r>
              <w:rPr>
                <w:sz w:val="20"/>
              </w:rPr>
              <w:t>markets</w:t>
            </w:r>
            <w:r>
              <w:rPr>
                <w:spacing w:val="-7"/>
                <w:sz w:val="20"/>
              </w:rPr>
              <w:t> </w:t>
            </w:r>
            <w:r>
              <w:rPr>
                <w:sz w:val="20"/>
              </w:rPr>
              <w:t>other</w:t>
            </w:r>
            <w:r>
              <w:rPr>
                <w:spacing w:val="-7"/>
                <w:sz w:val="20"/>
              </w:rPr>
              <w:t> </w:t>
            </w:r>
            <w:r>
              <w:rPr>
                <w:sz w:val="20"/>
              </w:rPr>
              <w:t>than</w:t>
            </w:r>
            <w:r>
              <w:rPr>
                <w:spacing w:val="-8"/>
                <w:sz w:val="20"/>
              </w:rPr>
              <w:t> </w:t>
            </w:r>
            <w:r>
              <w:rPr>
                <w:sz w:val="20"/>
              </w:rPr>
              <w:t>the</w:t>
            </w:r>
            <w:r>
              <w:rPr>
                <w:spacing w:val="-8"/>
                <w:sz w:val="20"/>
              </w:rPr>
              <w:t> </w:t>
            </w:r>
            <w:r>
              <w:rPr>
                <w:sz w:val="20"/>
              </w:rPr>
              <w:t>securities</w:t>
            </w:r>
            <w:r>
              <w:rPr>
                <w:spacing w:val="-7"/>
                <w:sz w:val="20"/>
              </w:rPr>
              <w:t> </w:t>
            </w:r>
            <w:r>
              <w:rPr>
                <w:sz w:val="20"/>
              </w:rPr>
              <w:t>market</w:t>
            </w:r>
            <w:r>
              <w:rPr>
                <w:spacing w:val="-8"/>
                <w:sz w:val="20"/>
              </w:rPr>
              <w:t> </w:t>
            </w:r>
            <w:r>
              <w:rPr>
                <w:sz w:val="20"/>
              </w:rPr>
              <w:t>(e.g.</w:t>
            </w:r>
            <w:r>
              <w:rPr>
                <w:spacing w:val="-8"/>
                <w:sz w:val="20"/>
              </w:rPr>
              <w:t> </w:t>
            </w:r>
            <w:r>
              <w:rPr>
                <w:sz w:val="20"/>
              </w:rPr>
              <w:t>commodity,</w:t>
            </w:r>
            <w:r>
              <w:rPr>
                <w:spacing w:val="-7"/>
                <w:sz w:val="20"/>
              </w:rPr>
              <w:t> </w:t>
            </w:r>
            <w:r>
              <w:rPr>
                <w:sz w:val="20"/>
              </w:rPr>
              <w:t>foreign</w:t>
            </w:r>
            <w:r>
              <w:rPr>
                <w:spacing w:val="-8"/>
                <w:sz w:val="20"/>
              </w:rPr>
              <w:t> </w:t>
            </w:r>
            <w:r>
              <w:rPr>
                <w:sz w:val="20"/>
              </w:rPr>
              <w:t>exchange and interest rate markets), particularly in connection with benchmarks.</w:t>
            </w:r>
          </w:p>
        </w:tc>
        <w:tc>
          <w:tcPr>
            <w:tcW w:w="702" w:type="dxa"/>
          </w:tcPr>
          <w:p>
            <w:pPr>
              <w:pStyle w:val="TableParagraph"/>
              <w:spacing w:before="142"/>
              <w:ind w:right="47"/>
              <w:jc w:val="right"/>
              <w:rPr>
                <w:sz w:val="20"/>
              </w:rPr>
            </w:pPr>
            <w:r>
              <w:rPr>
                <w:spacing w:val="-5"/>
                <w:sz w:val="20"/>
              </w:rPr>
              <w:t>44</w:t>
            </w:r>
          </w:p>
        </w:tc>
      </w:tr>
      <w:tr>
        <w:trPr>
          <w:trHeight w:val="694" w:hRule="atLeast"/>
        </w:trPr>
        <w:tc>
          <w:tcPr>
            <w:tcW w:w="8505" w:type="dxa"/>
          </w:tcPr>
          <w:p>
            <w:pPr>
              <w:pStyle w:val="TableParagraph"/>
              <w:tabs>
                <w:tab w:pos="616" w:val="left" w:leader="none"/>
              </w:tabs>
              <w:spacing w:before="235"/>
              <w:ind w:left="50"/>
              <w:rPr>
                <w:b/>
                <w:sz w:val="24"/>
              </w:rPr>
            </w:pPr>
            <w:r>
              <w:rPr>
                <w:b/>
                <w:spacing w:val="-4"/>
                <w:sz w:val="24"/>
              </w:rPr>
              <w:t>VII.</w:t>
            </w:r>
            <w:r>
              <w:rPr>
                <w:b/>
                <w:sz w:val="24"/>
              </w:rPr>
              <w:tab/>
              <w:t>Organisational</w:t>
            </w:r>
            <w:r>
              <w:rPr>
                <w:b/>
                <w:spacing w:val="-8"/>
                <w:sz w:val="24"/>
              </w:rPr>
              <w:t> </w:t>
            </w:r>
            <w:r>
              <w:rPr>
                <w:b/>
                <w:spacing w:val="-2"/>
                <w:sz w:val="24"/>
              </w:rPr>
              <w:t>requirements</w:t>
            </w:r>
          </w:p>
        </w:tc>
        <w:tc>
          <w:tcPr>
            <w:tcW w:w="702" w:type="dxa"/>
          </w:tcPr>
          <w:p>
            <w:pPr>
              <w:pStyle w:val="TableParagraph"/>
              <w:rPr>
                <w:rFonts w:ascii="Times New Roman"/>
                <w:sz w:val="20"/>
              </w:rPr>
            </w:pPr>
          </w:p>
        </w:tc>
      </w:tr>
      <w:tr>
        <w:trPr>
          <w:trHeight w:val="589" w:hRule="atLeast"/>
        </w:trPr>
        <w:tc>
          <w:tcPr>
            <w:tcW w:w="8505" w:type="dxa"/>
          </w:tcPr>
          <w:p>
            <w:pPr>
              <w:pStyle w:val="TableParagraph"/>
              <w:tabs>
                <w:tab w:pos="616" w:val="left" w:leader="none"/>
              </w:tabs>
              <w:spacing w:before="175"/>
              <w:ind w:left="50"/>
              <w:rPr>
                <w:sz w:val="24"/>
              </w:rPr>
            </w:pPr>
            <w:r>
              <w:rPr>
                <w:spacing w:val="-5"/>
                <w:sz w:val="24"/>
              </w:rPr>
              <w:t>A.</w:t>
            </w:r>
            <w:r>
              <w:rPr>
                <w:sz w:val="24"/>
              </w:rPr>
              <w:tab/>
            </w:r>
            <w:r>
              <w:rPr>
                <w:spacing w:val="-4"/>
                <w:sz w:val="24"/>
              </w:rPr>
              <w:t>Scope</w:t>
            </w:r>
          </w:p>
        </w:tc>
        <w:tc>
          <w:tcPr>
            <w:tcW w:w="702" w:type="dxa"/>
          </w:tcPr>
          <w:p>
            <w:pPr>
              <w:pStyle w:val="TableParagraph"/>
              <w:rPr>
                <w:rFonts w:ascii="Times New Roman"/>
                <w:sz w:val="20"/>
              </w:rPr>
            </w:pPr>
          </w:p>
        </w:tc>
      </w:tr>
      <w:tr>
        <w:trPr>
          <w:trHeight w:val="1801" w:hRule="atLeast"/>
        </w:trPr>
        <w:tc>
          <w:tcPr>
            <w:tcW w:w="8505" w:type="dxa"/>
          </w:tcPr>
          <w:p>
            <w:pPr>
              <w:pStyle w:val="TableParagraph"/>
              <w:spacing w:line="271" w:lineRule="auto" w:before="131"/>
              <w:ind w:left="50" w:right="358"/>
              <w:jc w:val="both"/>
              <w:rPr>
                <w:sz w:val="20"/>
              </w:rPr>
            </w:pPr>
            <w:r>
              <w:rPr>
                <w:sz w:val="20"/>
              </w:rPr>
              <w:t>The supervised institutions listed in margin no. 4 and 5 must meet the organisational requirements set</w:t>
            </w:r>
            <w:r>
              <w:rPr>
                <w:spacing w:val="-1"/>
                <w:sz w:val="20"/>
              </w:rPr>
              <w:t> </w:t>
            </w:r>
            <w:r>
              <w:rPr>
                <w:sz w:val="20"/>
              </w:rPr>
              <w:t>out in this section in</w:t>
            </w:r>
            <w:r>
              <w:rPr>
                <w:spacing w:val="-1"/>
                <w:sz w:val="20"/>
              </w:rPr>
              <w:t> </w:t>
            </w:r>
            <w:r>
              <w:rPr>
                <w:sz w:val="20"/>
              </w:rPr>
              <w:t>line</w:t>
            </w:r>
            <w:r>
              <w:rPr>
                <w:spacing w:val="-1"/>
                <w:sz w:val="20"/>
              </w:rPr>
              <w:t> </w:t>
            </w:r>
            <w:r>
              <w:rPr>
                <w:sz w:val="20"/>
              </w:rPr>
              <w:t>with their risk situation.</w:t>
            </w:r>
            <w:r>
              <w:rPr>
                <w:spacing w:val="-1"/>
                <w:sz w:val="20"/>
              </w:rPr>
              <w:t> </w:t>
            </w:r>
            <w:r>
              <w:rPr>
                <w:sz w:val="20"/>
              </w:rPr>
              <w:t>Risk is assessed</w:t>
            </w:r>
            <w:r>
              <w:rPr>
                <w:spacing w:val="-2"/>
                <w:sz w:val="20"/>
              </w:rPr>
              <w:t> </w:t>
            </w:r>
            <w:r>
              <w:rPr>
                <w:sz w:val="20"/>
              </w:rPr>
              <w:t>in</w:t>
            </w:r>
            <w:r>
              <w:rPr>
                <w:spacing w:val="-1"/>
                <w:sz w:val="20"/>
              </w:rPr>
              <w:t> </w:t>
            </w:r>
            <w:r>
              <w:rPr>
                <w:sz w:val="20"/>
              </w:rPr>
              <w:t>terms of</w:t>
            </w:r>
            <w:r>
              <w:rPr>
                <w:spacing w:val="-2"/>
                <w:sz w:val="20"/>
              </w:rPr>
              <w:t> </w:t>
            </w:r>
            <w:r>
              <w:rPr>
                <w:sz w:val="20"/>
              </w:rPr>
              <w:t>specific business activity,</w:t>
            </w:r>
            <w:r>
              <w:rPr>
                <w:spacing w:val="-1"/>
                <w:sz w:val="20"/>
              </w:rPr>
              <w:t> </w:t>
            </w:r>
            <w:r>
              <w:rPr>
                <w:sz w:val="20"/>
              </w:rPr>
              <w:t>size</w:t>
            </w:r>
            <w:r>
              <w:rPr>
                <w:spacing w:val="-2"/>
                <w:sz w:val="20"/>
              </w:rPr>
              <w:t> </w:t>
            </w:r>
            <w:r>
              <w:rPr>
                <w:sz w:val="20"/>
              </w:rPr>
              <w:t>and</w:t>
            </w:r>
            <w:r>
              <w:rPr>
                <w:spacing w:val="-2"/>
                <w:sz w:val="20"/>
              </w:rPr>
              <w:t> </w:t>
            </w:r>
            <w:r>
              <w:rPr>
                <w:sz w:val="20"/>
              </w:rPr>
              <w:t>structure.</w:t>
            </w:r>
            <w:r>
              <w:rPr>
                <w:spacing w:val="-1"/>
                <w:sz w:val="20"/>
              </w:rPr>
              <w:t> </w:t>
            </w:r>
            <w:r>
              <w:rPr>
                <w:sz w:val="20"/>
              </w:rPr>
              <w:t>The</w:t>
            </w:r>
            <w:r>
              <w:rPr>
                <w:spacing w:val="-2"/>
                <w:sz w:val="20"/>
              </w:rPr>
              <w:t> </w:t>
            </w:r>
            <w:r>
              <w:rPr>
                <w:sz w:val="20"/>
              </w:rPr>
              <w:t>organisational</w:t>
            </w:r>
            <w:r>
              <w:rPr>
                <w:spacing w:val="-2"/>
                <w:sz w:val="20"/>
              </w:rPr>
              <w:t> </w:t>
            </w:r>
            <w:r>
              <w:rPr>
                <w:sz w:val="20"/>
              </w:rPr>
              <w:t>requirements expand on the licensing requirements stipulated in the financial market laws regarding assurance of proper business conduct and organisation as well as the duty to provide information stipulated in Article 29 para. 2 FINMASA.</w:t>
            </w:r>
          </w:p>
        </w:tc>
        <w:tc>
          <w:tcPr>
            <w:tcW w:w="702" w:type="dxa"/>
          </w:tcPr>
          <w:p>
            <w:pPr>
              <w:pStyle w:val="TableParagraph"/>
              <w:spacing w:before="134"/>
              <w:ind w:right="47"/>
              <w:jc w:val="right"/>
              <w:rPr>
                <w:sz w:val="20"/>
              </w:rPr>
            </w:pPr>
            <w:r>
              <w:rPr>
                <w:spacing w:val="-5"/>
                <w:sz w:val="20"/>
              </w:rPr>
              <w:t>45</w:t>
            </w:r>
          </w:p>
        </w:tc>
      </w:tr>
      <w:tr>
        <w:trPr>
          <w:trHeight w:val="1584" w:hRule="atLeast"/>
        </w:trPr>
        <w:tc>
          <w:tcPr>
            <w:tcW w:w="8505" w:type="dxa"/>
          </w:tcPr>
          <w:p>
            <w:pPr>
              <w:pStyle w:val="TableParagraph"/>
              <w:spacing w:line="271" w:lineRule="auto" w:before="130"/>
              <w:ind w:left="50" w:right="356"/>
              <w:jc w:val="both"/>
              <w:rPr>
                <w:sz w:val="20"/>
              </w:rPr>
            </w:pPr>
            <w:r>
              <w:rPr>
                <w:sz w:val="20"/>
              </w:rPr>
              <w:t>Supervised</w:t>
            </w:r>
            <w:r>
              <w:rPr>
                <w:spacing w:val="-3"/>
                <w:sz w:val="20"/>
              </w:rPr>
              <w:t> </w:t>
            </w:r>
            <w:r>
              <w:rPr>
                <w:sz w:val="20"/>
              </w:rPr>
              <w:t>institutions must</w:t>
            </w:r>
            <w:r>
              <w:rPr>
                <w:spacing w:val="-4"/>
                <w:sz w:val="20"/>
              </w:rPr>
              <w:t> </w:t>
            </w:r>
            <w:r>
              <w:rPr>
                <w:sz w:val="20"/>
              </w:rPr>
              <w:t>assess</w:t>
            </w:r>
            <w:r>
              <w:rPr>
                <w:spacing w:val="-3"/>
                <w:sz w:val="20"/>
              </w:rPr>
              <w:t> </w:t>
            </w:r>
            <w:r>
              <w:rPr>
                <w:sz w:val="20"/>
              </w:rPr>
              <w:t>the</w:t>
            </w:r>
            <w:r>
              <w:rPr>
                <w:spacing w:val="-2"/>
                <w:sz w:val="20"/>
              </w:rPr>
              <w:t> </w:t>
            </w:r>
            <w:r>
              <w:rPr>
                <w:sz w:val="20"/>
              </w:rPr>
              <w:t>risks</w:t>
            </w:r>
            <w:r>
              <w:rPr>
                <w:spacing w:val="-3"/>
                <w:sz w:val="20"/>
              </w:rPr>
              <w:t> </w:t>
            </w:r>
            <w:r>
              <w:rPr>
                <w:sz w:val="20"/>
              </w:rPr>
              <w:t>arising</w:t>
            </w:r>
            <w:r>
              <w:rPr>
                <w:spacing w:val="-2"/>
                <w:sz w:val="20"/>
              </w:rPr>
              <w:t> </w:t>
            </w:r>
            <w:r>
              <w:rPr>
                <w:sz w:val="20"/>
              </w:rPr>
              <w:t>within</w:t>
            </w:r>
            <w:r>
              <w:rPr>
                <w:spacing w:val="-2"/>
                <w:sz w:val="20"/>
              </w:rPr>
              <w:t> </w:t>
            </w:r>
            <w:r>
              <w:rPr>
                <w:sz w:val="20"/>
              </w:rPr>
              <w:t>the</w:t>
            </w:r>
            <w:r>
              <w:rPr>
                <w:spacing w:val="-4"/>
                <w:sz w:val="20"/>
              </w:rPr>
              <w:t> </w:t>
            </w:r>
            <w:r>
              <w:rPr>
                <w:sz w:val="20"/>
              </w:rPr>
              <w:t>scope</w:t>
            </w:r>
            <w:r>
              <w:rPr>
                <w:spacing w:val="-4"/>
                <w:sz w:val="20"/>
              </w:rPr>
              <w:t> </w:t>
            </w:r>
            <w:r>
              <w:rPr>
                <w:sz w:val="20"/>
              </w:rPr>
              <w:t>of</w:t>
            </w:r>
            <w:r>
              <w:rPr>
                <w:spacing w:val="-4"/>
                <w:sz w:val="20"/>
              </w:rPr>
              <w:t> </w:t>
            </w:r>
            <w:r>
              <w:rPr>
                <w:sz w:val="20"/>
              </w:rPr>
              <w:t>this</w:t>
            </w:r>
            <w:r>
              <w:rPr>
                <w:spacing w:val="-3"/>
                <w:sz w:val="20"/>
              </w:rPr>
              <w:t> </w:t>
            </w:r>
            <w:r>
              <w:rPr>
                <w:sz w:val="20"/>
              </w:rPr>
              <w:t>Circular</w:t>
            </w:r>
            <w:r>
              <w:rPr>
                <w:spacing w:val="-4"/>
                <w:sz w:val="20"/>
              </w:rPr>
              <w:t> </w:t>
            </w:r>
            <w:r>
              <w:rPr>
                <w:sz w:val="20"/>
              </w:rPr>
              <w:t>once</w:t>
            </w:r>
            <w:r>
              <w:rPr>
                <w:spacing w:val="-2"/>
                <w:sz w:val="20"/>
              </w:rPr>
              <w:t> </w:t>
            </w:r>
            <w:r>
              <w:rPr>
                <w:sz w:val="20"/>
              </w:rPr>
              <w:t>a year</w:t>
            </w:r>
            <w:r>
              <w:rPr>
                <w:spacing w:val="-5"/>
                <w:sz w:val="20"/>
              </w:rPr>
              <w:t> </w:t>
            </w:r>
            <w:r>
              <w:rPr>
                <w:sz w:val="20"/>
              </w:rPr>
              <w:t>and</w:t>
            </w:r>
            <w:r>
              <w:rPr>
                <w:spacing w:val="-6"/>
                <w:sz w:val="20"/>
              </w:rPr>
              <w:t> </w:t>
            </w:r>
            <w:r>
              <w:rPr>
                <w:sz w:val="20"/>
              </w:rPr>
              <w:t>additionally</w:t>
            </w:r>
            <w:r>
              <w:rPr>
                <w:spacing w:val="-5"/>
                <w:sz w:val="20"/>
              </w:rPr>
              <w:t> </w:t>
            </w:r>
            <w:r>
              <w:rPr>
                <w:sz w:val="20"/>
              </w:rPr>
              <w:t>on</w:t>
            </w:r>
            <w:r>
              <w:rPr>
                <w:spacing w:val="-7"/>
                <w:sz w:val="20"/>
              </w:rPr>
              <w:t> </w:t>
            </w:r>
            <w:r>
              <w:rPr>
                <w:sz w:val="20"/>
              </w:rPr>
              <w:t>an</w:t>
            </w:r>
            <w:r>
              <w:rPr>
                <w:spacing w:val="-2"/>
                <w:sz w:val="20"/>
              </w:rPr>
              <w:t> </w:t>
            </w:r>
            <w:r>
              <w:rPr>
                <w:sz w:val="20"/>
              </w:rPr>
              <w:t>ad-hoc</w:t>
            </w:r>
            <w:r>
              <w:rPr>
                <w:spacing w:val="-5"/>
                <w:sz w:val="20"/>
              </w:rPr>
              <w:t> </w:t>
            </w:r>
            <w:r>
              <w:rPr>
                <w:sz w:val="20"/>
              </w:rPr>
              <w:t>basis</w:t>
            </w:r>
            <w:r>
              <w:rPr>
                <w:spacing w:val="-5"/>
                <w:sz w:val="20"/>
              </w:rPr>
              <w:t> </w:t>
            </w:r>
            <w:r>
              <w:rPr>
                <w:sz w:val="20"/>
              </w:rPr>
              <w:t>as</w:t>
            </w:r>
            <w:r>
              <w:rPr>
                <w:spacing w:val="-5"/>
                <w:sz w:val="20"/>
              </w:rPr>
              <w:t> </w:t>
            </w:r>
            <w:r>
              <w:rPr>
                <w:sz w:val="20"/>
              </w:rPr>
              <w:t>required.</w:t>
            </w:r>
            <w:r>
              <w:rPr>
                <w:spacing w:val="-6"/>
                <w:sz w:val="20"/>
              </w:rPr>
              <w:t> </w:t>
            </w:r>
            <w:r>
              <w:rPr>
                <w:sz w:val="20"/>
              </w:rPr>
              <w:t>The</w:t>
            </w:r>
            <w:r>
              <w:rPr>
                <w:spacing w:val="-7"/>
                <w:sz w:val="20"/>
              </w:rPr>
              <w:t> </w:t>
            </w:r>
            <w:r>
              <w:rPr>
                <w:sz w:val="20"/>
              </w:rPr>
              <w:t>organisational</w:t>
            </w:r>
            <w:r>
              <w:rPr>
                <w:spacing w:val="-7"/>
                <w:sz w:val="20"/>
              </w:rPr>
              <w:t> </w:t>
            </w:r>
            <w:r>
              <w:rPr>
                <w:sz w:val="20"/>
              </w:rPr>
              <w:t>measures</w:t>
            </w:r>
            <w:r>
              <w:rPr>
                <w:spacing w:val="-2"/>
                <w:sz w:val="20"/>
              </w:rPr>
              <w:t> </w:t>
            </w:r>
            <w:r>
              <w:rPr>
                <w:sz w:val="20"/>
              </w:rPr>
              <w:t>required to comply with this Circular are then defined on the basis of the risk assessment. The risk assessment and the measures must be signed off by the supervised institution’s executive governing bodies.</w:t>
            </w:r>
          </w:p>
        </w:tc>
        <w:tc>
          <w:tcPr>
            <w:tcW w:w="702" w:type="dxa"/>
          </w:tcPr>
          <w:p>
            <w:pPr>
              <w:pStyle w:val="TableParagraph"/>
              <w:spacing w:before="132"/>
              <w:ind w:right="50"/>
              <w:jc w:val="right"/>
              <w:rPr>
                <w:sz w:val="20"/>
              </w:rPr>
            </w:pPr>
            <w:r>
              <w:rPr>
                <w:spacing w:val="-5"/>
                <w:sz w:val="20"/>
              </w:rPr>
              <w:t>46</w:t>
            </w:r>
          </w:p>
        </w:tc>
      </w:tr>
      <w:tr>
        <w:trPr>
          <w:trHeight w:val="590" w:hRule="atLeast"/>
        </w:trPr>
        <w:tc>
          <w:tcPr>
            <w:tcW w:w="8505" w:type="dxa"/>
          </w:tcPr>
          <w:p>
            <w:pPr>
              <w:pStyle w:val="TableParagraph"/>
              <w:tabs>
                <w:tab w:pos="616" w:val="left" w:leader="none"/>
              </w:tabs>
              <w:spacing w:before="175"/>
              <w:ind w:left="50"/>
              <w:rPr>
                <w:sz w:val="24"/>
              </w:rPr>
            </w:pPr>
            <w:r>
              <w:rPr>
                <w:spacing w:val="-5"/>
                <w:sz w:val="24"/>
              </w:rPr>
              <w:t>B.</w:t>
            </w:r>
            <w:r>
              <w:rPr>
                <w:sz w:val="24"/>
              </w:rPr>
              <w:tab/>
              <w:t>Dealing</w:t>
            </w:r>
            <w:r>
              <w:rPr>
                <w:spacing w:val="-3"/>
                <w:sz w:val="24"/>
              </w:rPr>
              <w:t> </w:t>
            </w:r>
            <w:r>
              <w:rPr>
                <w:sz w:val="24"/>
              </w:rPr>
              <w:t>with</w:t>
            </w:r>
            <w:r>
              <w:rPr>
                <w:spacing w:val="-4"/>
                <w:sz w:val="24"/>
              </w:rPr>
              <w:t> </w:t>
            </w:r>
            <w:r>
              <w:rPr>
                <w:sz w:val="24"/>
              </w:rPr>
              <w:t>market</w:t>
            </w:r>
            <w:r>
              <w:rPr>
                <w:spacing w:val="-2"/>
                <w:sz w:val="24"/>
              </w:rPr>
              <w:t> </w:t>
            </w:r>
            <w:r>
              <w:rPr>
                <w:spacing w:val="-4"/>
                <w:sz w:val="24"/>
              </w:rPr>
              <w:t>abuse</w:t>
            </w:r>
          </w:p>
        </w:tc>
        <w:tc>
          <w:tcPr>
            <w:tcW w:w="702" w:type="dxa"/>
          </w:tcPr>
          <w:p>
            <w:pPr>
              <w:pStyle w:val="TableParagraph"/>
              <w:rPr>
                <w:rFonts w:ascii="Times New Roman"/>
                <w:sz w:val="20"/>
              </w:rPr>
            </w:pPr>
          </w:p>
        </w:tc>
      </w:tr>
      <w:tr>
        <w:trPr>
          <w:trHeight w:val="2061" w:hRule="atLeast"/>
        </w:trPr>
        <w:tc>
          <w:tcPr>
            <w:tcW w:w="8505" w:type="dxa"/>
          </w:tcPr>
          <w:p>
            <w:pPr>
              <w:pStyle w:val="TableParagraph"/>
              <w:spacing w:line="271" w:lineRule="auto" w:before="131"/>
              <w:ind w:left="50" w:right="349"/>
              <w:jc w:val="both"/>
              <w:rPr>
                <w:sz w:val="20"/>
              </w:rPr>
            </w:pPr>
            <w:r>
              <w:rPr>
                <w:sz w:val="20"/>
              </w:rPr>
              <w:t>Where there are clear indications that securities trades for clients may not comply with the requirements</w:t>
            </w:r>
            <w:r>
              <w:rPr>
                <w:spacing w:val="-1"/>
                <w:sz w:val="20"/>
              </w:rPr>
              <w:t> </w:t>
            </w:r>
            <w:r>
              <w:rPr>
                <w:sz w:val="20"/>
              </w:rPr>
              <w:t>set</w:t>
            </w:r>
            <w:r>
              <w:rPr>
                <w:spacing w:val="-2"/>
                <w:sz w:val="20"/>
              </w:rPr>
              <w:t> </w:t>
            </w:r>
            <w:r>
              <w:rPr>
                <w:sz w:val="20"/>
              </w:rPr>
              <w:t>out</w:t>
            </w:r>
            <w:r>
              <w:rPr>
                <w:spacing w:val="-2"/>
                <w:sz w:val="20"/>
              </w:rPr>
              <w:t> </w:t>
            </w:r>
            <w:r>
              <w:rPr>
                <w:sz w:val="20"/>
              </w:rPr>
              <w:t>in Articles</w:t>
            </w:r>
            <w:r>
              <w:rPr>
                <w:spacing w:val="-1"/>
                <w:sz w:val="20"/>
              </w:rPr>
              <w:t> </w:t>
            </w:r>
            <w:r>
              <w:rPr>
                <w:sz w:val="20"/>
              </w:rPr>
              <w:t>142 and</w:t>
            </w:r>
            <w:r>
              <w:rPr>
                <w:spacing w:val="-2"/>
                <w:sz w:val="20"/>
              </w:rPr>
              <w:t> </w:t>
            </w:r>
            <w:r>
              <w:rPr>
                <w:sz w:val="20"/>
              </w:rPr>
              <w:t>143</w:t>
            </w:r>
            <w:r>
              <w:rPr>
                <w:spacing w:val="-2"/>
                <w:sz w:val="20"/>
              </w:rPr>
              <w:t> </w:t>
            </w:r>
            <w:r>
              <w:rPr>
                <w:sz w:val="20"/>
              </w:rPr>
              <w:t>FMIA or sections</w:t>
            </w:r>
            <w:r>
              <w:rPr>
                <w:spacing w:val="-1"/>
                <w:sz w:val="20"/>
              </w:rPr>
              <w:t> </w:t>
            </w:r>
            <w:r>
              <w:rPr>
                <w:sz w:val="20"/>
              </w:rPr>
              <w:t>III–VI,</w:t>
            </w:r>
            <w:r>
              <w:rPr>
                <w:spacing w:val="-2"/>
                <w:sz w:val="20"/>
              </w:rPr>
              <w:t> </w:t>
            </w:r>
            <w:r>
              <w:rPr>
                <w:sz w:val="20"/>
              </w:rPr>
              <w:t>supervised institutions must clarify the background to such trades and, if necessary, refuse to be involved in them, although</w:t>
            </w:r>
            <w:r>
              <w:rPr>
                <w:spacing w:val="-4"/>
                <w:sz w:val="20"/>
              </w:rPr>
              <w:t> </w:t>
            </w:r>
            <w:r>
              <w:rPr>
                <w:sz w:val="20"/>
              </w:rPr>
              <w:t>systematic</w:t>
            </w:r>
            <w:r>
              <w:rPr>
                <w:spacing w:val="-2"/>
                <w:sz w:val="20"/>
              </w:rPr>
              <w:t> </w:t>
            </w:r>
            <w:r>
              <w:rPr>
                <w:sz w:val="20"/>
              </w:rPr>
              <w:t>monitoring</w:t>
            </w:r>
            <w:r>
              <w:rPr>
                <w:spacing w:val="-3"/>
                <w:sz w:val="20"/>
              </w:rPr>
              <w:t> </w:t>
            </w:r>
            <w:r>
              <w:rPr>
                <w:sz w:val="20"/>
              </w:rPr>
              <w:t>and</w:t>
            </w:r>
            <w:r>
              <w:rPr>
                <w:spacing w:val="-2"/>
                <w:sz w:val="20"/>
              </w:rPr>
              <w:t> </w:t>
            </w:r>
            <w:r>
              <w:rPr>
                <w:sz w:val="20"/>
              </w:rPr>
              <w:t>investigation</w:t>
            </w:r>
            <w:r>
              <w:rPr>
                <w:spacing w:val="-2"/>
                <w:sz w:val="20"/>
              </w:rPr>
              <w:t> </w:t>
            </w:r>
            <w:r>
              <w:rPr>
                <w:sz w:val="20"/>
              </w:rPr>
              <w:t>of</w:t>
            </w:r>
            <w:r>
              <w:rPr>
                <w:spacing w:val="-2"/>
                <w:sz w:val="20"/>
              </w:rPr>
              <w:t> </w:t>
            </w:r>
            <w:r>
              <w:rPr>
                <w:sz w:val="20"/>
              </w:rPr>
              <w:t>clients’</w:t>
            </w:r>
            <w:r>
              <w:rPr>
                <w:spacing w:val="-3"/>
                <w:sz w:val="20"/>
              </w:rPr>
              <w:t> </w:t>
            </w:r>
            <w:r>
              <w:rPr>
                <w:sz w:val="20"/>
              </w:rPr>
              <w:t>securities</w:t>
            </w:r>
            <w:r>
              <w:rPr>
                <w:spacing w:val="-3"/>
                <w:sz w:val="20"/>
              </w:rPr>
              <w:t> </w:t>
            </w:r>
            <w:r>
              <w:rPr>
                <w:sz w:val="20"/>
              </w:rPr>
              <w:t>trades</w:t>
            </w:r>
            <w:r>
              <w:rPr>
                <w:spacing w:val="-2"/>
                <w:sz w:val="20"/>
              </w:rPr>
              <w:t> </w:t>
            </w:r>
            <w:r>
              <w:rPr>
                <w:sz w:val="20"/>
              </w:rPr>
              <w:t>is</w:t>
            </w:r>
            <w:r>
              <w:rPr>
                <w:spacing w:val="-3"/>
                <w:sz w:val="20"/>
              </w:rPr>
              <w:t> </w:t>
            </w:r>
            <w:r>
              <w:rPr>
                <w:sz w:val="20"/>
              </w:rPr>
              <w:t>not</w:t>
            </w:r>
            <w:r>
              <w:rPr>
                <w:spacing w:val="-4"/>
                <w:sz w:val="20"/>
              </w:rPr>
              <w:t> </w:t>
            </w:r>
            <w:r>
              <w:rPr>
                <w:sz w:val="20"/>
              </w:rPr>
              <w:t>required. In the case of securities trades in accordance with Article 154 para. 2 or Article 155 para. 2 FMIA, their status as predicate offences to money laundering means that Article 19 of FINMA’s Anti-Money Laundering Ordinance (AMLO-FINMA; SR 955.033.0) applies.</w:t>
            </w:r>
          </w:p>
        </w:tc>
        <w:tc>
          <w:tcPr>
            <w:tcW w:w="702" w:type="dxa"/>
          </w:tcPr>
          <w:p>
            <w:pPr>
              <w:pStyle w:val="TableParagraph"/>
              <w:spacing w:before="134"/>
              <w:ind w:right="50"/>
              <w:jc w:val="right"/>
              <w:rPr>
                <w:sz w:val="20"/>
              </w:rPr>
            </w:pPr>
            <w:r>
              <w:rPr>
                <w:spacing w:val="-5"/>
                <w:sz w:val="20"/>
              </w:rPr>
              <w:t>47</w:t>
            </w:r>
          </w:p>
        </w:tc>
      </w:tr>
      <w:tr>
        <w:trPr>
          <w:trHeight w:val="1065" w:hRule="atLeast"/>
        </w:trPr>
        <w:tc>
          <w:tcPr>
            <w:tcW w:w="8505" w:type="dxa"/>
          </w:tcPr>
          <w:p>
            <w:pPr>
              <w:pStyle w:val="TableParagraph"/>
              <w:spacing w:line="273" w:lineRule="auto" w:before="130"/>
              <w:ind w:left="50" w:right="361"/>
              <w:jc w:val="both"/>
              <w:rPr>
                <w:sz w:val="20"/>
              </w:rPr>
            </w:pPr>
            <w:r>
              <w:rPr>
                <w:sz w:val="20"/>
              </w:rPr>
              <w:t>Trades that are contrary to Article 142 or Article 143 FMIA and are capable of having a substantial impact on the risks of a supervised institution or the financial sector as a whole must be reported to FINMA (Art. 29 para. 2 FINMASA).</w:t>
            </w:r>
          </w:p>
        </w:tc>
        <w:tc>
          <w:tcPr>
            <w:tcW w:w="702" w:type="dxa"/>
          </w:tcPr>
          <w:p>
            <w:pPr>
              <w:pStyle w:val="TableParagraph"/>
              <w:spacing w:before="132"/>
              <w:ind w:right="50"/>
              <w:jc w:val="right"/>
              <w:rPr>
                <w:sz w:val="20"/>
              </w:rPr>
            </w:pPr>
            <w:r>
              <w:rPr>
                <w:spacing w:val="-5"/>
                <w:sz w:val="20"/>
              </w:rPr>
              <w:t>48</w:t>
            </w:r>
          </w:p>
        </w:tc>
      </w:tr>
      <w:tr>
        <w:trPr>
          <w:trHeight w:val="589" w:hRule="atLeast"/>
        </w:trPr>
        <w:tc>
          <w:tcPr>
            <w:tcW w:w="8505" w:type="dxa"/>
          </w:tcPr>
          <w:p>
            <w:pPr>
              <w:pStyle w:val="TableParagraph"/>
              <w:tabs>
                <w:tab w:pos="616" w:val="left" w:leader="none"/>
              </w:tabs>
              <w:spacing w:before="174"/>
              <w:ind w:left="50"/>
              <w:rPr>
                <w:sz w:val="24"/>
              </w:rPr>
            </w:pPr>
            <w:r>
              <w:rPr>
                <w:spacing w:val="-5"/>
                <w:sz w:val="24"/>
              </w:rPr>
              <w:t>C.</w:t>
            </w:r>
            <w:r>
              <w:rPr>
                <w:sz w:val="24"/>
              </w:rPr>
              <w:tab/>
              <w:t>Information</w:t>
            </w:r>
            <w:r>
              <w:rPr>
                <w:spacing w:val="-3"/>
                <w:sz w:val="24"/>
              </w:rPr>
              <w:t> </w:t>
            </w:r>
            <w:r>
              <w:rPr>
                <w:sz w:val="24"/>
              </w:rPr>
              <w:t>barriers</w:t>
            </w:r>
            <w:r>
              <w:rPr>
                <w:spacing w:val="-2"/>
                <w:sz w:val="24"/>
              </w:rPr>
              <w:t> </w:t>
            </w:r>
            <w:r>
              <w:rPr>
                <w:sz w:val="24"/>
              </w:rPr>
              <w:t>/</w:t>
            </w:r>
            <w:r>
              <w:rPr>
                <w:spacing w:val="-3"/>
                <w:sz w:val="24"/>
              </w:rPr>
              <w:t> </w:t>
            </w:r>
            <w:r>
              <w:rPr>
                <w:sz w:val="24"/>
              </w:rPr>
              <w:t>areas</w:t>
            </w:r>
            <w:r>
              <w:rPr>
                <w:spacing w:val="-2"/>
                <w:sz w:val="24"/>
              </w:rPr>
              <w:t> </w:t>
            </w:r>
            <w:r>
              <w:rPr>
                <w:sz w:val="24"/>
              </w:rPr>
              <w:t>of</w:t>
            </w:r>
            <w:r>
              <w:rPr>
                <w:spacing w:val="-2"/>
                <w:sz w:val="24"/>
              </w:rPr>
              <w:t> confidentiality</w:t>
            </w:r>
          </w:p>
        </w:tc>
        <w:tc>
          <w:tcPr>
            <w:tcW w:w="702" w:type="dxa"/>
          </w:tcPr>
          <w:p>
            <w:pPr>
              <w:pStyle w:val="TableParagraph"/>
              <w:rPr>
                <w:rFonts w:ascii="Times New Roman"/>
                <w:sz w:val="20"/>
              </w:rPr>
            </w:pPr>
          </w:p>
        </w:tc>
      </w:tr>
      <w:tr>
        <w:trPr>
          <w:trHeight w:val="620" w:hRule="atLeast"/>
        </w:trPr>
        <w:tc>
          <w:tcPr>
            <w:tcW w:w="8505" w:type="dxa"/>
          </w:tcPr>
          <w:p>
            <w:pPr>
              <w:pStyle w:val="TableParagraph"/>
              <w:spacing w:line="260" w:lineRule="atLeast" w:before="80"/>
              <w:ind w:left="50"/>
              <w:rPr>
                <w:sz w:val="20"/>
              </w:rPr>
            </w:pPr>
            <w:r>
              <w:rPr>
                <w:sz w:val="20"/>
              </w:rPr>
              <w:t>The</w:t>
            </w:r>
            <w:r>
              <w:rPr>
                <w:spacing w:val="35"/>
                <w:sz w:val="20"/>
              </w:rPr>
              <w:t> </w:t>
            </w:r>
            <w:r>
              <w:rPr>
                <w:sz w:val="20"/>
              </w:rPr>
              <w:t>handling</w:t>
            </w:r>
            <w:r>
              <w:rPr>
                <w:spacing w:val="35"/>
                <w:sz w:val="20"/>
              </w:rPr>
              <w:t> </w:t>
            </w:r>
            <w:r>
              <w:rPr>
                <w:sz w:val="20"/>
              </w:rPr>
              <w:t>of</w:t>
            </w:r>
            <w:r>
              <w:rPr>
                <w:spacing w:val="36"/>
                <w:sz w:val="20"/>
              </w:rPr>
              <w:t> </w:t>
            </w:r>
            <w:r>
              <w:rPr>
                <w:sz w:val="20"/>
              </w:rPr>
              <w:t>insider</w:t>
            </w:r>
            <w:r>
              <w:rPr>
                <w:spacing w:val="37"/>
                <w:sz w:val="20"/>
              </w:rPr>
              <w:t> </w:t>
            </w:r>
            <w:r>
              <w:rPr>
                <w:sz w:val="20"/>
              </w:rPr>
              <w:t>information</w:t>
            </w:r>
            <w:r>
              <w:rPr>
                <w:spacing w:val="38"/>
                <w:sz w:val="20"/>
              </w:rPr>
              <w:t> </w:t>
            </w:r>
            <w:r>
              <w:rPr>
                <w:sz w:val="20"/>
              </w:rPr>
              <w:t>is</w:t>
            </w:r>
            <w:r>
              <w:rPr>
                <w:spacing w:val="37"/>
                <w:sz w:val="20"/>
              </w:rPr>
              <w:t> </w:t>
            </w:r>
            <w:r>
              <w:rPr>
                <w:sz w:val="20"/>
              </w:rPr>
              <w:t>to</w:t>
            </w:r>
            <w:r>
              <w:rPr>
                <w:spacing w:val="38"/>
                <w:sz w:val="20"/>
              </w:rPr>
              <w:t> </w:t>
            </w:r>
            <w:r>
              <w:rPr>
                <w:sz w:val="20"/>
              </w:rPr>
              <w:t>be</w:t>
            </w:r>
            <w:r>
              <w:rPr>
                <w:spacing w:val="38"/>
                <w:sz w:val="20"/>
              </w:rPr>
              <w:t> </w:t>
            </w:r>
            <w:r>
              <w:rPr>
                <w:sz w:val="20"/>
              </w:rPr>
              <w:t>organised</w:t>
            </w:r>
            <w:r>
              <w:rPr>
                <w:spacing w:val="35"/>
                <w:sz w:val="20"/>
              </w:rPr>
              <w:t> </w:t>
            </w:r>
            <w:r>
              <w:rPr>
                <w:sz w:val="20"/>
              </w:rPr>
              <w:t>and</w:t>
            </w:r>
            <w:r>
              <w:rPr>
                <w:spacing w:val="38"/>
                <w:sz w:val="20"/>
              </w:rPr>
              <w:t> </w:t>
            </w:r>
            <w:r>
              <w:rPr>
                <w:sz w:val="20"/>
              </w:rPr>
              <w:t>monitored</w:t>
            </w:r>
            <w:r>
              <w:rPr>
                <w:spacing w:val="36"/>
                <w:sz w:val="20"/>
              </w:rPr>
              <w:t> </w:t>
            </w:r>
            <w:r>
              <w:rPr>
                <w:sz w:val="20"/>
              </w:rPr>
              <w:t>such</w:t>
            </w:r>
            <w:r>
              <w:rPr>
                <w:spacing w:val="36"/>
                <w:sz w:val="20"/>
              </w:rPr>
              <w:t> </w:t>
            </w:r>
            <w:r>
              <w:rPr>
                <w:sz w:val="20"/>
              </w:rPr>
              <w:t>that</w:t>
            </w:r>
            <w:r>
              <w:rPr>
                <w:spacing w:val="36"/>
                <w:sz w:val="20"/>
              </w:rPr>
              <w:t> </w:t>
            </w:r>
            <w:r>
              <w:rPr>
                <w:sz w:val="20"/>
              </w:rPr>
              <w:t>market conduct</w:t>
            </w:r>
            <w:r>
              <w:rPr>
                <w:spacing w:val="31"/>
                <w:sz w:val="20"/>
              </w:rPr>
              <w:t> </w:t>
            </w:r>
            <w:r>
              <w:rPr>
                <w:sz w:val="20"/>
              </w:rPr>
              <w:t>prohibited</w:t>
            </w:r>
            <w:r>
              <w:rPr>
                <w:spacing w:val="31"/>
                <w:sz w:val="20"/>
              </w:rPr>
              <w:t> </w:t>
            </w:r>
            <w:r>
              <w:rPr>
                <w:sz w:val="20"/>
              </w:rPr>
              <w:t>under</w:t>
            </w:r>
            <w:r>
              <w:rPr>
                <w:spacing w:val="32"/>
                <w:sz w:val="20"/>
              </w:rPr>
              <w:t> </w:t>
            </w:r>
            <w:r>
              <w:rPr>
                <w:sz w:val="20"/>
              </w:rPr>
              <w:t>supervisory</w:t>
            </w:r>
            <w:r>
              <w:rPr>
                <w:spacing w:val="30"/>
                <w:sz w:val="20"/>
              </w:rPr>
              <w:t> </w:t>
            </w:r>
            <w:r>
              <w:rPr>
                <w:sz w:val="20"/>
              </w:rPr>
              <w:t>law</w:t>
            </w:r>
            <w:r>
              <w:rPr>
                <w:spacing w:val="32"/>
                <w:sz w:val="20"/>
              </w:rPr>
              <w:t> </w:t>
            </w:r>
            <w:r>
              <w:rPr>
                <w:sz w:val="20"/>
              </w:rPr>
              <w:t>can</w:t>
            </w:r>
            <w:r>
              <w:rPr>
                <w:spacing w:val="30"/>
                <w:sz w:val="20"/>
              </w:rPr>
              <w:t> </w:t>
            </w:r>
            <w:r>
              <w:rPr>
                <w:sz w:val="20"/>
              </w:rPr>
              <w:t>be</w:t>
            </w:r>
            <w:r>
              <w:rPr>
                <w:spacing w:val="31"/>
                <w:sz w:val="20"/>
              </w:rPr>
              <w:t> </w:t>
            </w:r>
            <w:r>
              <w:rPr>
                <w:sz w:val="20"/>
              </w:rPr>
              <w:t>prevented</w:t>
            </w:r>
            <w:r>
              <w:rPr>
                <w:spacing w:val="29"/>
                <w:sz w:val="20"/>
              </w:rPr>
              <w:t> </w:t>
            </w:r>
            <w:r>
              <w:rPr>
                <w:sz w:val="20"/>
              </w:rPr>
              <w:t>and</w:t>
            </w:r>
            <w:r>
              <w:rPr>
                <w:spacing w:val="30"/>
                <w:sz w:val="20"/>
              </w:rPr>
              <w:t> </w:t>
            </w:r>
            <w:r>
              <w:rPr>
                <w:sz w:val="20"/>
              </w:rPr>
              <w:t>identified.</w:t>
            </w:r>
            <w:r>
              <w:rPr>
                <w:spacing w:val="29"/>
                <w:sz w:val="20"/>
              </w:rPr>
              <w:t> </w:t>
            </w:r>
            <w:r>
              <w:rPr>
                <w:sz w:val="20"/>
              </w:rPr>
              <w:t>To</w:t>
            </w:r>
            <w:r>
              <w:rPr>
                <w:spacing w:val="31"/>
                <w:sz w:val="20"/>
              </w:rPr>
              <w:t> </w:t>
            </w:r>
            <w:r>
              <w:rPr>
                <w:sz w:val="20"/>
              </w:rPr>
              <w:t>this</w:t>
            </w:r>
            <w:r>
              <w:rPr>
                <w:spacing w:val="33"/>
                <w:sz w:val="20"/>
              </w:rPr>
              <w:t> </w:t>
            </w:r>
            <w:r>
              <w:rPr>
                <w:spacing w:val="-4"/>
                <w:sz w:val="20"/>
              </w:rPr>
              <w:t>end,</w:t>
            </w:r>
          </w:p>
        </w:tc>
        <w:tc>
          <w:tcPr>
            <w:tcW w:w="702" w:type="dxa"/>
          </w:tcPr>
          <w:p>
            <w:pPr>
              <w:pStyle w:val="TableParagraph"/>
              <w:spacing w:before="134"/>
              <w:ind w:right="50"/>
              <w:jc w:val="right"/>
              <w:rPr>
                <w:sz w:val="20"/>
              </w:rPr>
            </w:pPr>
            <w:r>
              <w:rPr>
                <w:spacing w:val="-5"/>
                <w:sz w:val="20"/>
              </w:rPr>
              <w:t>49</w:t>
            </w:r>
          </w:p>
        </w:tc>
      </w:tr>
    </w:tbl>
    <w:p>
      <w:pPr>
        <w:pStyle w:val="TableParagraph"/>
        <w:spacing w:after="0"/>
        <w:jc w:val="right"/>
        <w:rPr>
          <w:sz w:val="20"/>
        </w:rPr>
        <w:sectPr>
          <w:pgSz w:w="11900" w:h="16850"/>
          <w:pgMar w:header="828" w:footer="318" w:top="1400" w:bottom="500" w:left="1559" w:right="850"/>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4"/>
        <w:rPr>
          <w:b/>
          <w:sz w:val="20"/>
        </w:rPr>
      </w:pPr>
    </w:p>
    <w:tbl>
      <w:tblPr>
        <w:tblW w:w="0" w:type="auto"/>
        <w:jc w:val="left"/>
        <w:tblInd w:w="2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505"/>
        <w:gridCol w:w="701"/>
      </w:tblGrid>
      <w:tr>
        <w:trPr>
          <w:trHeight w:val="623" w:hRule="atLeast"/>
        </w:trPr>
        <w:tc>
          <w:tcPr>
            <w:tcW w:w="8505" w:type="dxa"/>
          </w:tcPr>
          <w:p>
            <w:pPr>
              <w:pStyle w:val="TableParagraph"/>
              <w:spacing w:line="276" w:lineRule="auto"/>
              <w:ind w:left="50"/>
              <w:rPr>
                <w:sz w:val="20"/>
              </w:rPr>
            </w:pPr>
            <w:r>
              <w:rPr>
                <w:sz w:val="20"/>
              </w:rPr>
              <w:t>supervised</w:t>
            </w:r>
            <w:r>
              <w:rPr>
                <w:spacing w:val="40"/>
                <w:sz w:val="20"/>
              </w:rPr>
              <w:t> </w:t>
            </w:r>
            <w:r>
              <w:rPr>
                <w:sz w:val="20"/>
              </w:rPr>
              <w:t>institutions</w:t>
            </w:r>
            <w:r>
              <w:rPr>
                <w:spacing w:val="40"/>
                <w:sz w:val="20"/>
              </w:rPr>
              <w:t> </w:t>
            </w:r>
            <w:r>
              <w:rPr>
                <w:sz w:val="20"/>
              </w:rPr>
              <w:t>must</w:t>
            </w:r>
            <w:r>
              <w:rPr>
                <w:spacing w:val="40"/>
                <w:sz w:val="20"/>
              </w:rPr>
              <w:t> </w:t>
            </w:r>
            <w:r>
              <w:rPr>
                <w:sz w:val="20"/>
              </w:rPr>
              <w:t>have</w:t>
            </w:r>
            <w:r>
              <w:rPr>
                <w:spacing w:val="40"/>
                <w:sz w:val="20"/>
              </w:rPr>
              <w:t> </w:t>
            </w:r>
            <w:r>
              <w:rPr>
                <w:sz w:val="20"/>
              </w:rPr>
              <w:t>adequate</w:t>
            </w:r>
            <w:r>
              <w:rPr>
                <w:spacing w:val="40"/>
                <w:sz w:val="20"/>
              </w:rPr>
              <w:t> </w:t>
            </w:r>
            <w:r>
              <w:rPr>
                <w:sz w:val="20"/>
              </w:rPr>
              <w:t>and</w:t>
            </w:r>
            <w:r>
              <w:rPr>
                <w:spacing w:val="40"/>
                <w:sz w:val="20"/>
              </w:rPr>
              <w:t> </w:t>
            </w:r>
            <w:r>
              <w:rPr>
                <w:sz w:val="20"/>
              </w:rPr>
              <w:t>appropriate</w:t>
            </w:r>
            <w:r>
              <w:rPr>
                <w:spacing w:val="40"/>
                <w:sz w:val="20"/>
              </w:rPr>
              <w:t> </w:t>
            </w:r>
            <w:r>
              <w:rPr>
                <w:sz w:val="20"/>
              </w:rPr>
              <w:t>organisation,</w:t>
            </w:r>
            <w:r>
              <w:rPr>
                <w:spacing w:val="40"/>
                <w:sz w:val="20"/>
              </w:rPr>
              <w:t> </w:t>
            </w:r>
            <w:r>
              <w:rPr>
                <w:sz w:val="20"/>
              </w:rPr>
              <w:t>training</w:t>
            </w:r>
            <w:r>
              <w:rPr>
                <w:spacing w:val="40"/>
                <w:sz w:val="20"/>
              </w:rPr>
              <w:t> </w:t>
            </w:r>
            <w:r>
              <w:rPr>
                <w:sz w:val="20"/>
              </w:rPr>
              <w:t>and controls in place.</w:t>
            </w:r>
          </w:p>
        </w:tc>
        <w:tc>
          <w:tcPr>
            <w:tcW w:w="701" w:type="dxa"/>
          </w:tcPr>
          <w:p>
            <w:pPr>
              <w:pStyle w:val="TableParagraph"/>
              <w:rPr>
                <w:rFonts w:ascii="Times New Roman"/>
                <w:sz w:val="20"/>
              </w:rPr>
            </w:pPr>
          </w:p>
        </w:tc>
      </w:tr>
      <w:tr>
        <w:trPr>
          <w:trHeight w:val="1800" w:hRule="atLeast"/>
        </w:trPr>
        <w:tc>
          <w:tcPr>
            <w:tcW w:w="8505" w:type="dxa"/>
          </w:tcPr>
          <w:p>
            <w:pPr>
              <w:pStyle w:val="TableParagraph"/>
              <w:spacing w:line="271" w:lineRule="auto" w:before="130"/>
              <w:ind w:left="50" w:right="349"/>
              <w:jc w:val="both"/>
              <w:rPr>
                <w:sz w:val="20"/>
              </w:rPr>
            </w:pPr>
            <w:r>
              <w:rPr>
                <w:sz w:val="20"/>
              </w:rPr>
              <w:t>By</w:t>
            </w:r>
            <w:r>
              <w:rPr>
                <w:spacing w:val="-5"/>
                <w:sz w:val="20"/>
              </w:rPr>
              <w:t> </w:t>
            </w:r>
            <w:r>
              <w:rPr>
                <w:sz w:val="20"/>
              </w:rPr>
              <w:t>putting</w:t>
            </w:r>
            <w:r>
              <w:rPr>
                <w:spacing w:val="-7"/>
                <w:sz w:val="20"/>
              </w:rPr>
              <w:t> </w:t>
            </w:r>
            <w:r>
              <w:rPr>
                <w:sz w:val="20"/>
              </w:rPr>
              <w:t>in</w:t>
            </w:r>
            <w:r>
              <w:rPr>
                <w:spacing w:val="-7"/>
                <w:sz w:val="20"/>
              </w:rPr>
              <w:t> </w:t>
            </w:r>
            <w:r>
              <w:rPr>
                <w:sz w:val="20"/>
              </w:rPr>
              <w:t>place</w:t>
            </w:r>
            <w:r>
              <w:rPr>
                <w:spacing w:val="-5"/>
                <w:sz w:val="20"/>
              </w:rPr>
              <w:t> </w:t>
            </w:r>
            <w:r>
              <w:rPr>
                <w:sz w:val="20"/>
              </w:rPr>
              <w:t>appropriate</w:t>
            </w:r>
            <w:r>
              <w:rPr>
                <w:spacing w:val="-7"/>
                <w:sz w:val="20"/>
              </w:rPr>
              <w:t> </w:t>
            </w:r>
            <w:r>
              <w:rPr>
                <w:sz w:val="20"/>
              </w:rPr>
              <w:t>and</w:t>
            </w:r>
            <w:r>
              <w:rPr>
                <w:spacing w:val="-5"/>
                <w:sz w:val="20"/>
              </w:rPr>
              <w:t> </w:t>
            </w:r>
            <w:r>
              <w:rPr>
                <w:sz w:val="20"/>
              </w:rPr>
              <w:t>effective</w:t>
            </w:r>
            <w:r>
              <w:rPr>
                <w:spacing w:val="-5"/>
                <w:sz w:val="20"/>
              </w:rPr>
              <w:t> </w:t>
            </w:r>
            <w:r>
              <w:rPr>
                <w:sz w:val="20"/>
              </w:rPr>
              <w:t>internal</w:t>
            </w:r>
            <w:r>
              <w:rPr>
                <w:spacing w:val="-6"/>
                <w:sz w:val="20"/>
              </w:rPr>
              <w:t> </w:t>
            </w:r>
            <w:r>
              <w:rPr>
                <w:sz w:val="20"/>
              </w:rPr>
              <w:t>precautions</w:t>
            </w:r>
            <w:r>
              <w:rPr>
                <w:spacing w:val="-5"/>
                <w:sz w:val="20"/>
              </w:rPr>
              <w:t> </w:t>
            </w:r>
            <w:r>
              <w:rPr>
                <w:sz w:val="20"/>
              </w:rPr>
              <w:t>and</w:t>
            </w:r>
            <w:r>
              <w:rPr>
                <w:spacing w:val="-5"/>
                <w:sz w:val="20"/>
              </w:rPr>
              <w:t> </w:t>
            </w:r>
            <w:r>
              <w:rPr>
                <w:sz w:val="20"/>
              </w:rPr>
              <w:t>processes,</w:t>
            </w:r>
            <w:r>
              <w:rPr>
                <w:spacing w:val="-6"/>
                <w:sz w:val="20"/>
              </w:rPr>
              <w:t> </w:t>
            </w:r>
            <w:r>
              <w:rPr>
                <w:sz w:val="20"/>
              </w:rPr>
              <w:t>supervised institutions ensure that the individuals with the power of decision over trading in securities and</w:t>
            </w:r>
            <w:r>
              <w:rPr>
                <w:spacing w:val="-11"/>
                <w:sz w:val="20"/>
              </w:rPr>
              <w:t> </w:t>
            </w:r>
            <w:r>
              <w:rPr>
                <w:sz w:val="20"/>
              </w:rPr>
              <w:t>derivatives</w:t>
            </w:r>
            <w:r>
              <w:rPr>
                <w:spacing w:val="-11"/>
                <w:sz w:val="20"/>
              </w:rPr>
              <w:t> </w:t>
            </w:r>
            <w:r>
              <w:rPr>
                <w:sz w:val="20"/>
              </w:rPr>
              <w:t>about</w:t>
            </w:r>
            <w:r>
              <w:rPr>
                <w:spacing w:val="-11"/>
                <w:sz w:val="20"/>
              </w:rPr>
              <w:t> </w:t>
            </w:r>
            <w:r>
              <w:rPr>
                <w:sz w:val="20"/>
              </w:rPr>
              <w:t>which</w:t>
            </w:r>
            <w:r>
              <w:rPr>
                <w:spacing w:val="-11"/>
                <w:sz w:val="20"/>
              </w:rPr>
              <w:t> </w:t>
            </w:r>
            <w:r>
              <w:rPr>
                <w:sz w:val="20"/>
              </w:rPr>
              <w:t>the</w:t>
            </w:r>
            <w:r>
              <w:rPr>
                <w:spacing w:val="-13"/>
                <w:sz w:val="20"/>
              </w:rPr>
              <w:t> </w:t>
            </w:r>
            <w:r>
              <w:rPr>
                <w:sz w:val="20"/>
              </w:rPr>
              <w:t>supervised</w:t>
            </w:r>
            <w:r>
              <w:rPr>
                <w:spacing w:val="-11"/>
                <w:sz w:val="20"/>
              </w:rPr>
              <w:t> </w:t>
            </w:r>
            <w:r>
              <w:rPr>
                <w:sz w:val="20"/>
              </w:rPr>
              <w:t>institution</w:t>
            </w:r>
            <w:r>
              <w:rPr>
                <w:spacing w:val="-11"/>
                <w:sz w:val="20"/>
              </w:rPr>
              <w:t> </w:t>
            </w:r>
            <w:r>
              <w:rPr>
                <w:sz w:val="20"/>
              </w:rPr>
              <w:t>possesses</w:t>
            </w:r>
            <w:r>
              <w:rPr>
                <w:spacing w:val="-11"/>
                <w:sz w:val="20"/>
              </w:rPr>
              <w:t> </w:t>
            </w:r>
            <w:r>
              <w:rPr>
                <w:sz w:val="20"/>
              </w:rPr>
              <w:t>insider</w:t>
            </w:r>
            <w:r>
              <w:rPr>
                <w:spacing w:val="-10"/>
                <w:sz w:val="20"/>
              </w:rPr>
              <w:t> </w:t>
            </w:r>
            <w:r>
              <w:rPr>
                <w:sz w:val="20"/>
              </w:rPr>
              <w:t>information</w:t>
            </w:r>
            <w:r>
              <w:rPr>
                <w:spacing w:val="-12"/>
                <w:sz w:val="20"/>
              </w:rPr>
              <w:t> </w:t>
            </w:r>
            <w:r>
              <w:rPr>
                <w:sz w:val="20"/>
              </w:rPr>
              <w:t>have</w:t>
            </w:r>
            <w:r>
              <w:rPr>
                <w:spacing w:val="-11"/>
                <w:sz w:val="20"/>
              </w:rPr>
              <w:t> </w:t>
            </w:r>
            <w:r>
              <w:rPr>
                <w:sz w:val="20"/>
              </w:rPr>
              <w:t>no knowledge of this insider information. They also ensure that individuals who do have knowledge</w:t>
            </w:r>
            <w:r>
              <w:rPr>
                <w:spacing w:val="-9"/>
                <w:sz w:val="20"/>
              </w:rPr>
              <w:t> </w:t>
            </w:r>
            <w:r>
              <w:rPr>
                <w:sz w:val="20"/>
              </w:rPr>
              <w:t>of</w:t>
            </w:r>
            <w:r>
              <w:rPr>
                <w:spacing w:val="-9"/>
                <w:sz w:val="20"/>
              </w:rPr>
              <w:t> </w:t>
            </w:r>
            <w:r>
              <w:rPr>
                <w:sz w:val="20"/>
              </w:rPr>
              <w:t>insider</w:t>
            </w:r>
            <w:r>
              <w:rPr>
                <w:spacing w:val="-9"/>
                <w:sz w:val="20"/>
              </w:rPr>
              <w:t> </w:t>
            </w:r>
            <w:r>
              <w:rPr>
                <w:sz w:val="20"/>
              </w:rPr>
              <w:t>information</w:t>
            </w:r>
            <w:r>
              <w:rPr>
                <w:spacing w:val="-11"/>
                <w:sz w:val="20"/>
              </w:rPr>
              <w:t> </w:t>
            </w:r>
            <w:r>
              <w:rPr>
                <w:sz w:val="20"/>
              </w:rPr>
              <w:t>are</w:t>
            </w:r>
            <w:r>
              <w:rPr>
                <w:spacing w:val="-9"/>
                <w:sz w:val="20"/>
              </w:rPr>
              <w:t> </w:t>
            </w:r>
            <w:r>
              <w:rPr>
                <w:sz w:val="20"/>
              </w:rPr>
              <w:t>not</w:t>
            </w:r>
            <w:r>
              <w:rPr>
                <w:spacing w:val="-11"/>
                <w:sz w:val="20"/>
              </w:rPr>
              <w:t> </w:t>
            </w:r>
            <w:r>
              <w:rPr>
                <w:sz w:val="20"/>
              </w:rPr>
              <w:t>able</w:t>
            </w:r>
            <w:r>
              <w:rPr>
                <w:spacing w:val="-9"/>
                <w:sz w:val="20"/>
              </w:rPr>
              <w:t> </w:t>
            </w:r>
            <w:r>
              <w:rPr>
                <w:sz w:val="20"/>
              </w:rPr>
              <w:t>to</w:t>
            </w:r>
            <w:r>
              <w:rPr>
                <w:spacing w:val="-9"/>
                <w:sz w:val="20"/>
              </w:rPr>
              <w:t> </w:t>
            </w:r>
            <w:r>
              <w:rPr>
                <w:sz w:val="20"/>
              </w:rPr>
              <w:t>influence</w:t>
            </w:r>
            <w:r>
              <w:rPr>
                <w:spacing w:val="-11"/>
                <w:sz w:val="20"/>
              </w:rPr>
              <w:t> </w:t>
            </w:r>
            <w:r>
              <w:rPr>
                <w:sz w:val="20"/>
              </w:rPr>
              <w:t>decisions</w:t>
            </w:r>
            <w:r>
              <w:rPr>
                <w:spacing w:val="-10"/>
                <w:sz w:val="20"/>
              </w:rPr>
              <w:t> </w:t>
            </w:r>
            <w:r>
              <w:rPr>
                <w:sz w:val="20"/>
              </w:rPr>
              <w:t>concerning</w:t>
            </w:r>
            <w:r>
              <w:rPr>
                <w:spacing w:val="-11"/>
                <w:sz w:val="20"/>
              </w:rPr>
              <w:t> </w:t>
            </w:r>
            <w:r>
              <w:rPr>
                <w:sz w:val="20"/>
              </w:rPr>
              <w:t>trading</w:t>
            </w:r>
            <w:r>
              <w:rPr>
                <w:spacing w:val="-11"/>
                <w:sz w:val="20"/>
              </w:rPr>
              <w:t> </w:t>
            </w:r>
            <w:r>
              <w:rPr>
                <w:sz w:val="20"/>
              </w:rPr>
              <w:t>in</w:t>
            </w:r>
            <w:r>
              <w:rPr>
                <w:spacing w:val="-11"/>
                <w:sz w:val="20"/>
              </w:rPr>
              <w:t> </w:t>
            </w:r>
            <w:r>
              <w:rPr>
                <w:sz w:val="20"/>
              </w:rPr>
              <w:t>the securities or derivatives to which the insider information pertains.</w:t>
            </w:r>
          </w:p>
        </w:tc>
        <w:tc>
          <w:tcPr>
            <w:tcW w:w="701" w:type="dxa"/>
          </w:tcPr>
          <w:p>
            <w:pPr>
              <w:pStyle w:val="TableParagraph"/>
              <w:spacing w:before="132"/>
              <w:ind w:right="48"/>
              <w:jc w:val="right"/>
              <w:rPr>
                <w:sz w:val="20"/>
              </w:rPr>
            </w:pPr>
            <w:r>
              <w:rPr>
                <w:spacing w:val="-5"/>
                <w:sz w:val="20"/>
              </w:rPr>
              <w:t>50*</w:t>
            </w:r>
          </w:p>
        </w:tc>
      </w:tr>
      <w:tr>
        <w:trPr>
          <w:trHeight w:val="1800" w:hRule="atLeast"/>
        </w:trPr>
        <w:tc>
          <w:tcPr>
            <w:tcW w:w="8505" w:type="dxa"/>
          </w:tcPr>
          <w:p>
            <w:pPr>
              <w:pStyle w:val="TableParagraph"/>
              <w:spacing w:line="271" w:lineRule="auto" w:before="130"/>
              <w:ind w:left="50" w:right="350"/>
              <w:jc w:val="both"/>
              <w:rPr>
                <w:sz w:val="20"/>
              </w:rPr>
            </w:pPr>
            <w:r>
              <w:rPr>
                <w:sz w:val="20"/>
              </w:rPr>
              <w:t>Appropriate</w:t>
            </w:r>
            <w:r>
              <w:rPr>
                <w:spacing w:val="-2"/>
                <w:sz w:val="20"/>
              </w:rPr>
              <w:t> </w:t>
            </w:r>
            <w:r>
              <w:rPr>
                <w:sz w:val="20"/>
              </w:rPr>
              <w:t>and</w:t>
            </w:r>
            <w:r>
              <w:rPr>
                <w:spacing w:val="-2"/>
                <w:sz w:val="20"/>
              </w:rPr>
              <w:t> </w:t>
            </w:r>
            <w:r>
              <w:rPr>
                <w:sz w:val="20"/>
              </w:rPr>
              <w:t>effective</w:t>
            </w:r>
            <w:r>
              <w:rPr>
                <w:spacing w:val="-2"/>
                <w:sz w:val="20"/>
              </w:rPr>
              <w:t> </w:t>
            </w:r>
            <w:r>
              <w:rPr>
                <w:sz w:val="20"/>
              </w:rPr>
              <w:t>precautions</w:t>
            </w:r>
            <w:r>
              <w:rPr>
                <w:spacing w:val="-1"/>
                <w:sz w:val="20"/>
              </w:rPr>
              <w:t> </w:t>
            </w:r>
            <w:r>
              <w:rPr>
                <w:sz w:val="20"/>
              </w:rPr>
              <w:t>in</w:t>
            </w:r>
            <w:r>
              <w:rPr>
                <w:spacing w:val="-2"/>
                <w:sz w:val="20"/>
              </w:rPr>
              <w:t> </w:t>
            </w:r>
            <w:r>
              <w:rPr>
                <w:sz w:val="20"/>
              </w:rPr>
              <w:t>accordance</w:t>
            </w:r>
            <w:r>
              <w:rPr>
                <w:spacing w:val="-2"/>
                <w:sz w:val="20"/>
              </w:rPr>
              <w:t> </w:t>
            </w:r>
            <w:r>
              <w:rPr>
                <w:sz w:val="20"/>
              </w:rPr>
              <w:t>with</w:t>
            </w:r>
            <w:r>
              <w:rPr>
                <w:spacing w:val="-2"/>
                <w:sz w:val="20"/>
              </w:rPr>
              <w:t> </w:t>
            </w:r>
            <w:r>
              <w:rPr>
                <w:sz w:val="20"/>
              </w:rPr>
              <w:t>margin</w:t>
            </w:r>
            <w:r>
              <w:rPr>
                <w:spacing w:val="-2"/>
                <w:sz w:val="20"/>
              </w:rPr>
              <w:t> </w:t>
            </w:r>
            <w:r>
              <w:rPr>
                <w:sz w:val="20"/>
              </w:rPr>
              <w:t>no. 50</w:t>
            </w:r>
            <w:r>
              <w:rPr>
                <w:spacing w:val="-2"/>
                <w:sz w:val="20"/>
              </w:rPr>
              <w:t> </w:t>
            </w:r>
            <w:r>
              <w:rPr>
                <w:sz w:val="20"/>
              </w:rPr>
              <w:t>include</w:t>
            </w:r>
            <w:r>
              <w:rPr>
                <w:spacing w:val="-3"/>
                <w:sz w:val="20"/>
              </w:rPr>
              <w:t> </w:t>
            </w:r>
            <w:r>
              <w:rPr>
                <w:sz w:val="20"/>
              </w:rPr>
              <w:t>in</w:t>
            </w:r>
            <w:r>
              <w:rPr>
                <w:spacing w:val="-2"/>
                <w:sz w:val="20"/>
              </w:rPr>
              <w:t> </w:t>
            </w:r>
            <w:r>
              <w:rPr>
                <w:sz w:val="20"/>
              </w:rPr>
              <w:t>particular measures</w:t>
            </w:r>
            <w:r>
              <w:rPr>
                <w:spacing w:val="-2"/>
                <w:sz w:val="20"/>
              </w:rPr>
              <w:t> </w:t>
            </w:r>
            <w:r>
              <w:rPr>
                <w:sz w:val="20"/>
              </w:rPr>
              <w:t>regarding</w:t>
            </w:r>
            <w:r>
              <w:rPr>
                <w:spacing w:val="-4"/>
                <w:sz w:val="20"/>
              </w:rPr>
              <w:t> </w:t>
            </w:r>
            <w:r>
              <w:rPr>
                <w:sz w:val="20"/>
              </w:rPr>
              <w:t>premises,</w:t>
            </w:r>
            <w:r>
              <w:rPr>
                <w:spacing w:val="-6"/>
                <w:sz w:val="20"/>
              </w:rPr>
              <w:t> </w:t>
            </w:r>
            <w:r>
              <w:rPr>
                <w:sz w:val="20"/>
              </w:rPr>
              <w:t>staff,</w:t>
            </w:r>
            <w:r>
              <w:rPr>
                <w:spacing w:val="-4"/>
                <w:sz w:val="20"/>
              </w:rPr>
              <w:t> </w:t>
            </w:r>
            <w:r>
              <w:rPr>
                <w:sz w:val="20"/>
              </w:rPr>
              <w:t>functions,</w:t>
            </w:r>
            <w:r>
              <w:rPr>
                <w:spacing w:val="-4"/>
                <w:sz w:val="20"/>
              </w:rPr>
              <w:t> </w:t>
            </w:r>
            <w:r>
              <w:rPr>
                <w:sz w:val="20"/>
              </w:rPr>
              <w:t>organisation</w:t>
            </w:r>
            <w:r>
              <w:rPr>
                <w:spacing w:val="-4"/>
                <w:sz w:val="20"/>
              </w:rPr>
              <w:t> </w:t>
            </w:r>
            <w:r>
              <w:rPr>
                <w:sz w:val="20"/>
              </w:rPr>
              <w:t>and</w:t>
            </w:r>
            <w:r>
              <w:rPr>
                <w:spacing w:val="-4"/>
                <w:sz w:val="20"/>
              </w:rPr>
              <w:t> </w:t>
            </w:r>
            <w:r>
              <w:rPr>
                <w:sz w:val="20"/>
              </w:rPr>
              <w:t>information technology</w:t>
            </w:r>
            <w:r>
              <w:rPr>
                <w:spacing w:val="-5"/>
                <w:sz w:val="20"/>
              </w:rPr>
              <w:t> </w:t>
            </w:r>
            <w:r>
              <w:rPr>
                <w:sz w:val="20"/>
              </w:rPr>
              <w:t>that are intended to create areas of confidentiality within which information can be isolated and controlled. Such precautions</w:t>
            </w:r>
            <w:r>
              <w:rPr>
                <w:spacing w:val="-1"/>
                <w:sz w:val="20"/>
              </w:rPr>
              <w:t> </w:t>
            </w:r>
            <w:r>
              <w:rPr>
                <w:sz w:val="20"/>
              </w:rPr>
              <w:t>must</w:t>
            </w:r>
            <w:r>
              <w:rPr>
                <w:spacing w:val="-2"/>
                <w:sz w:val="20"/>
              </w:rPr>
              <w:t> </w:t>
            </w:r>
            <w:r>
              <w:rPr>
                <w:sz w:val="20"/>
              </w:rPr>
              <w:t>be</w:t>
            </w:r>
            <w:r>
              <w:rPr>
                <w:spacing w:val="-2"/>
                <w:sz w:val="20"/>
              </w:rPr>
              <w:t> </w:t>
            </w:r>
            <w:r>
              <w:rPr>
                <w:sz w:val="20"/>
              </w:rPr>
              <w:t>set out in internal</w:t>
            </w:r>
            <w:r>
              <w:rPr>
                <w:spacing w:val="-3"/>
                <w:sz w:val="20"/>
              </w:rPr>
              <w:t> </w:t>
            </w:r>
            <w:r>
              <w:rPr>
                <w:sz w:val="20"/>
              </w:rPr>
              <w:t>directives or, if necessary,</w:t>
            </w:r>
            <w:r>
              <w:rPr>
                <w:spacing w:val="-2"/>
                <w:sz w:val="20"/>
              </w:rPr>
              <w:t> </w:t>
            </w:r>
            <w:r>
              <w:rPr>
                <w:sz w:val="20"/>
              </w:rPr>
              <w:t>taken on an ad-hoc basis. A suitable function (e.g. Compliance) must be assigned responsibility for monitoring adherence to these precautions.</w:t>
            </w:r>
          </w:p>
        </w:tc>
        <w:tc>
          <w:tcPr>
            <w:tcW w:w="701" w:type="dxa"/>
          </w:tcPr>
          <w:p>
            <w:pPr>
              <w:pStyle w:val="TableParagraph"/>
              <w:spacing w:before="132"/>
              <w:ind w:right="49"/>
              <w:jc w:val="right"/>
              <w:rPr>
                <w:sz w:val="20"/>
              </w:rPr>
            </w:pPr>
            <w:r>
              <w:rPr>
                <w:spacing w:val="-5"/>
                <w:sz w:val="20"/>
              </w:rPr>
              <w:t>51</w:t>
            </w:r>
          </w:p>
        </w:tc>
      </w:tr>
      <w:tr>
        <w:trPr>
          <w:trHeight w:val="804" w:hRule="atLeast"/>
        </w:trPr>
        <w:tc>
          <w:tcPr>
            <w:tcW w:w="8505" w:type="dxa"/>
          </w:tcPr>
          <w:p>
            <w:pPr>
              <w:pStyle w:val="TableParagraph"/>
              <w:spacing w:line="273" w:lineRule="auto" w:before="130"/>
              <w:ind w:left="50" w:right="356"/>
              <w:rPr>
                <w:sz w:val="20"/>
              </w:rPr>
            </w:pPr>
            <w:r>
              <w:rPr>
                <w:sz w:val="20"/>
              </w:rPr>
              <w:t>Where</w:t>
            </w:r>
            <w:r>
              <w:rPr>
                <w:spacing w:val="-10"/>
                <w:sz w:val="20"/>
              </w:rPr>
              <w:t> </w:t>
            </w:r>
            <w:r>
              <w:rPr>
                <w:sz w:val="20"/>
              </w:rPr>
              <w:t>insider</w:t>
            </w:r>
            <w:r>
              <w:rPr>
                <w:spacing w:val="-11"/>
                <w:sz w:val="20"/>
              </w:rPr>
              <w:t> </w:t>
            </w:r>
            <w:r>
              <w:rPr>
                <w:sz w:val="20"/>
              </w:rPr>
              <w:t>information</w:t>
            </w:r>
            <w:r>
              <w:rPr>
                <w:spacing w:val="-11"/>
                <w:sz w:val="20"/>
              </w:rPr>
              <w:t> </w:t>
            </w:r>
            <w:r>
              <w:rPr>
                <w:sz w:val="20"/>
              </w:rPr>
              <w:t>is</w:t>
            </w:r>
            <w:r>
              <w:rPr>
                <w:spacing w:val="-11"/>
                <w:sz w:val="20"/>
              </w:rPr>
              <w:t> </w:t>
            </w:r>
            <w:r>
              <w:rPr>
                <w:sz w:val="20"/>
              </w:rPr>
              <w:t>isolated</w:t>
            </w:r>
            <w:r>
              <w:rPr>
                <w:spacing w:val="-10"/>
                <w:sz w:val="20"/>
              </w:rPr>
              <w:t> </w:t>
            </w:r>
            <w:r>
              <w:rPr>
                <w:sz w:val="20"/>
              </w:rPr>
              <w:t>within</w:t>
            </w:r>
            <w:r>
              <w:rPr>
                <w:spacing w:val="-10"/>
                <w:sz w:val="20"/>
              </w:rPr>
              <w:t> </w:t>
            </w:r>
            <w:r>
              <w:rPr>
                <w:sz w:val="20"/>
              </w:rPr>
              <w:t>areas</w:t>
            </w:r>
            <w:r>
              <w:rPr>
                <w:spacing w:val="-9"/>
                <w:sz w:val="20"/>
              </w:rPr>
              <w:t> </w:t>
            </w:r>
            <w:r>
              <w:rPr>
                <w:sz w:val="20"/>
              </w:rPr>
              <w:t>of</w:t>
            </w:r>
            <w:r>
              <w:rPr>
                <w:spacing w:val="-13"/>
                <w:sz w:val="20"/>
              </w:rPr>
              <w:t> </w:t>
            </w:r>
            <w:r>
              <w:rPr>
                <w:sz w:val="20"/>
              </w:rPr>
              <w:t>confidentiality,</w:t>
            </w:r>
            <w:r>
              <w:rPr>
                <w:spacing w:val="-10"/>
                <w:sz w:val="20"/>
              </w:rPr>
              <w:t> </w:t>
            </w:r>
            <w:r>
              <w:rPr>
                <w:sz w:val="20"/>
              </w:rPr>
              <w:t>securities</w:t>
            </w:r>
            <w:r>
              <w:rPr>
                <w:spacing w:val="-11"/>
                <w:sz w:val="20"/>
              </w:rPr>
              <w:t> </w:t>
            </w:r>
            <w:r>
              <w:rPr>
                <w:sz w:val="20"/>
              </w:rPr>
              <w:t>trades</w:t>
            </w:r>
            <w:r>
              <w:rPr>
                <w:spacing w:val="-11"/>
                <w:sz w:val="20"/>
              </w:rPr>
              <w:t> </w:t>
            </w:r>
            <w:r>
              <w:rPr>
                <w:sz w:val="20"/>
              </w:rPr>
              <w:t>may</w:t>
            </w:r>
            <w:r>
              <w:rPr>
                <w:spacing w:val="-11"/>
                <w:sz w:val="20"/>
              </w:rPr>
              <w:t> </w:t>
            </w:r>
            <w:r>
              <w:rPr>
                <w:sz w:val="20"/>
              </w:rPr>
              <w:t>still be carried out in other organisational units.</w:t>
            </w:r>
          </w:p>
        </w:tc>
        <w:tc>
          <w:tcPr>
            <w:tcW w:w="701" w:type="dxa"/>
          </w:tcPr>
          <w:p>
            <w:pPr>
              <w:pStyle w:val="TableParagraph"/>
              <w:spacing w:before="132"/>
              <w:ind w:right="46"/>
              <w:jc w:val="right"/>
              <w:rPr>
                <w:sz w:val="20"/>
              </w:rPr>
            </w:pPr>
            <w:r>
              <w:rPr>
                <w:spacing w:val="-5"/>
                <w:sz w:val="20"/>
              </w:rPr>
              <w:t>52</w:t>
            </w:r>
          </w:p>
        </w:tc>
      </w:tr>
      <w:tr>
        <w:trPr>
          <w:trHeight w:val="590" w:hRule="atLeast"/>
        </w:trPr>
        <w:tc>
          <w:tcPr>
            <w:tcW w:w="8505" w:type="dxa"/>
          </w:tcPr>
          <w:p>
            <w:pPr>
              <w:pStyle w:val="TableParagraph"/>
              <w:tabs>
                <w:tab w:pos="616" w:val="left" w:leader="none"/>
              </w:tabs>
              <w:spacing w:before="176"/>
              <w:ind w:left="50"/>
              <w:rPr>
                <w:sz w:val="24"/>
              </w:rPr>
            </w:pPr>
            <w:r>
              <w:rPr>
                <w:spacing w:val="-5"/>
                <w:sz w:val="24"/>
              </w:rPr>
              <w:t>D.</w:t>
            </w:r>
            <w:r>
              <w:rPr>
                <w:sz w:val="24"/>
              </w:rPr>
              <w:tab/>
              <w:t>Surveillance</w:t>
            </w:r>
            <w:r>
              <w:rPr>
                <w:spacing w:val="-6"/>
                <w:sz w:val="24"/>
              </w:rPr>
              <w:t> </w:t>
            </w:r>
            <w:r>
              <w:rPr>
                <w:sz w:val="24"/>
              </w:rPr>
              <w:t>of</w:t>
            </w:r>
            <w:r>
              <w:rPr>
                <w:spacing w:val="-6"/>
                <w:sz w:val="24"/>
              </w:rPr>
              <w:t> </w:t>
            </w:r>
            <w:r>
              <w:rPr>
                <w:sz w:val="24"/>
              </w:rPr>
              <w:t>employee</w:t>
            </w:r>
            <w:r>
              <w:rPr>
                <w:spacing w:val="-3"/>
                <w:sz w:val="24"/>
              </w:rPr>
              <w:t> </w:t>
            </w:r>
            <w:r>
              <w:rPr>
                <w:spacing w:val="-2"/>
                <w:sz w:val="24"/>
              </w:rPr>
              <w:t>transactions</w:t>
            </w:r>
          </w:p>
        </w:tc>
        <w:tc>
          <w:tcPr>
            <w:tcW w:w="701" w:type="dxa"/>
          </w:tcPr>
          <w:p>
            <w:pPr>
              <w:pStyle w:val="TableParagraph"/>
              <w:rPr>
                <w:rFonts w:ascii="Times New Roman"/>
                <w:sz w:val="20"/>
              </w:rPr>
            </w:pPr>
          </w:p>
        </w:tc>
      </w:tr>
      <w:tr>
        <w:trPr>
          <w:trHeight w:val="1800" w:hRule="atLeast"/>
        </w:trPr>
        <w:tc>
          <w:tcPr>
            <w:tcW w:w="8505" w:type="dxa"/>
          </w:tcPr>
          <w:p>
            <w:pPr>
              <w:pStyle w:val="TableParagraph"/>
              <w:spacing w:line="271" w:lineRule="auto" w:before="131"/>
              <w:ind w:left="50" w:right="349"/>
              <w:jc w:val="both"/>
              <w:rPr>
                <w:sz w:val="20"/>
              </w:rPr>
            </w:pPr>
            <w:r>
              <w:rPr>
                <w:sz w:val="20"/>
              </w:rPr>
              <w:t>Supervised institutions must take measures for the surveillance of employee transactions. These measures must in particular be capable of preventing employees from misusing insider</w:t>
            </w:r>
            <w:r>
              <w:rPr>
                <w:spacing w:val="-4"/>
                <w:sz w:val="20"/>
              </w:rPr>
              <w:t> </w:t>
            </w:r>
            <w:r>
              <w:rPr>
                <w:sz w:val="20"/>
              </w:rPr>
              <w:t>information</w:t>
            </w:r>
            <w:r>
              <w:rPr>
                <w:spacing w:val="-3"/>
                <w:sz w:val="20"/>
              </w:rPr>
              <w:t> </w:t>
            </w:r>
            <w:r>
              <w:rPr>
                <w:sz w:val="20"/>
              </w:rPr>
              <w:t>in</w:t>
            </w:r>
            <w:r>
              <w:rPr>
                <w:spacing w:val="-4"/>
                <w:sz w:val="20"/>
              </w:rPr>
              <w:t> </w:t>
            </w:r>
            <w:r>
              <w:rPr>
                <w:sz w:val="20"/>
              </w:rPr>
              <w:t>transactions</w:t>
            </w:r>
            <w:r>
              <w:rPr>
                <w:spacing w:val="-3"/>
                <w:sz w:val="20"/>
              </w:rPr>
              <w:t> </w:t>
            </w:r>
            <w:r>
              <w:rPr>
                <w:sz w:val="20"/>
              </w:rPr>
              <w:t>for</w:t>
            </w:r>
            <w:r>
              <w:rPr>
                <w:spacing w:val="-4"/>
                <w:sz w:val="20"/>
              </w:rPr>
              <w:t> </w:t>
            </w:r>
            <w:r>
              <w:rPr>
                <w:sz w:val="20"/>
              </w:rPr>
              <w:t>their</w:t>
            </w:r>
            <w:r>
              <w:rPr>
                <w:spacing w:val="-3"/>
                <w:sz w:val="20"/>
              </w:rPr>
              <w:t> </w:t>
            </w:r>
            <w:r>
              <w:rPr>
                <w:sz w:val="20"/>
              </w:rPr>
              <w:t>own</w:t>
            </w:r>
            <w:r>
              <w:rPr>
                <w:spacing w:val="-4"/>
                <w:sz w:val="20"/>
              </w:rPr>
              <w:t> </w:t>
            </w:r>
            <w:r>
              <w:rPr>
                <w:sz w:val="20"/>
              </w:rPr>
              <w:t>account</w:t>
            </w:r>
            <w:r>
              <w:rPr>
                <w:spacing w:val="-4"/>
                <w:sz w:val="20"/>
              </w:rPr>
              <w:t> </w:t>
            </w:r>
            <w:r>
              <w:rPr>
                <w:sz w:val="20"/>
              </w:rPr>
              <w:t>and</w:t>
            </w:r>
            <w:r>
              <w:rPr>
                <w:spacing w:val="-4"/>
                <w:sz w:val="20"/>
              </w:rPr>
              <w:t> </w:t>
            </w:r>
            <w:r>
              <w:rPr>
                <w:sz w:val="20"/>
              </w:rPr>
              <w:t>of</w:t>
            </w:r>
            <w:r>
              <w:rPr>
                <w:spacing w:val="-2"/>
                <w:sz w:val="20"/>
              </w:rPr>
              <w:t> </w:t>
            </w:r>
            <w:r>
              <w:rPr>
                <w:sz w:val="20"/>
              </w:rPr>
              <w:t>identifying</w:t>
            </w:r>
            <w:r>
              <w:rPr>
                <w:spacing w:val="-4"/>
                <w:sz w:val="20"/>
              </w:rPr>
              <w:t> </w:t>
            </w:r>
            <w:r>
              <w:rPr>
                <w:sz w:val="20"/>
              </w:rPr>
              <w:t>such</w:t>
            </w:r>
            <w:r>
              <w:rPr>
                <w:spacing w:val="-4"/>
                <w:sz w:val="20"/>
              </w:rPr>
              <w:t> </w:t>
            </w:r>
            <w:r>
              <w:rPr>
                <w:sz w:val="20"/>
              </w:rPr>
              <w:t>misuse.</w:t>
            </w:r>
            <w:r>
              <w:rPr>
                <w:spacing w:val="-4"/>
                <w:sz w:val="20"/>
              </w:rPr>
              <w:t> </w:t>
            </w:r>
            <w:r>
              <w:rPr>
                <w:sz w:val="20"/>
              </w:rPr>
              <w:t>Due attention</w:t>
            </w:r>
            <w:r>
              <w:rPr>
                <w:spacing w:val="-7"/>
                <w:sz w:val="20"/>
              </w:rPr>
              <w:t> </w:t>
            </w:r>
            <w:r>
              <w:rPr>
                <w:sz w:val="20"/>
              </w:rPr>
              <w:t>must</w:t>
            </w:r>
            <w:r>
              <w:rPr>
                <w:spacing w:val="-7"/>
                <w:sz w:val="20"/>
              </w:rPr>
              <w:t> </w:t>
            </w:r>
            <w:r>
              <w:rPr>
                <w:sz w:val="20"/>
              </w:rPr>
              <w:t>be</w:t>
            </w:r>
            <w:r>
              <w:rPr>
                <w:spacing w:val="-7"/>
                <w:sz w:val="20"/>
              </w:rPr>
              <w:t> </w:t>
            </w:r>
            <w:r>
              <w:rPr>
                <w:sz w:val="20"/>
              </w:rPr>
              <w:t>paid</w:t>
            </w:r>
            <w:r>
              <w:rPr>
                <w:spacing w:val="-7"/>
                <w:sz w:val="20"/>
              </w:rPr>
              <w:t> </w:t>
            </w:r>
            <w:r>
              <w:rPr>
                <w:sz w:val="20"/>
              </w:rPr>
              <w:t>to</w:t>
            </w:r>
            <w:r>
              <w:rPr>
                <w:spacing w:val="-7"/>
                <w:sz w:val="20"/>
              </w:rPr>
              <w:t> </w:t>
            </w:r>
            <w:r>
              <w:rPr>
                <w:sz w:val="20"/>
              </w:rPr>
              <w:t>all</w:t>
            </w:r>
            <w:r>
              <w:rPr>
                <w:spacing w:val="-7"/>
                <w:sz w:val="20"/>
              </w:rPr>
              <w:t> </w:t>
            </w:r>
            <w:r>
              <w:rPr>
                <w:sz w:val="20"/>
              </w:rPr>
              <w:t>custody</w:t>
            </w:r>
            <w:r>
              <w:rPr>
                <w:spacing w:val="-8"/>
                <w:sz w:val="20"/>
              </w:rPr>
              <w:t> </w:t>
            </w:r>
            <w:r>
              <w:rPr>
                <w:sz w:val="20"/>
              </w:rPr>
              <w:t>accounts</w:t>
            </w:r>
            <w:r>
              <w:rPr>
                <w:spacing w:val="-8"/>
                <w:sz w:val="20"/>
              </w:rPr>
              <w:t> </w:t>
            </w:r>
            <w:r>
              <w:rPr>
                <w:sz w:val="20"/>
              </w:rPr>
              <w:t>and</w:t>
            </w:r>
            <w:r>
              <w:rPr>
                <w:spacing w:val="-7"/>
                <w:sz w:val="20"/>
              </w:rPr>
              <w:t> </w:t>
            </w:r>
            <w:r>
              <w:rPr>
                <w:sz w:val="20"/>
              </w:rPr>
              <w:t>related</w:t>
            </w:r>
            <w:r>
              <w:rPr>
                <w:spacing w:val="-9"/>
                <w:sz w:val="20"/>
              </w:rPr>
              <w:t> </w:t>
            </w:r>
            <w:r>
              <w:rPr>
                <w:sz w:val="20"/>
              </w:rPr>
              <w:t>cash</w:t>
            </w:r>
            <w:r>
              <w:rPr>
                <w:spacing w:val="-7"/>
                <w:sz w:val="20"/>
              </w:rPr>
              <w:t> </w:t>
            </w:r>
            <w:r>
              <w:rPr>
                <w:sz w:val="20"/>
              </w:rPr>
              <w:t>accounts</w:t>
            </w:r>
            <w:r>
              <w:rPr>
                <w:spacing w:val="-1"/>
                <w:sz w:val="20"/>
              </w:rPr>
              <w:t> </w:t>
            </w:r>
            <w:r>
              <w:rPr>
                <w:sz w:val="20"/>
              </w:rPr>
              <w:t>held</w:t>
            </w:r>
            <w:r>
              <w:rPr>
                <w:spacing w:val="-7"/>
                <w:sz w:val="20"/>
              </w:rPr>
              <w:t> </w:t>
            </w:r>
            <w:r>
              <w:rPr>
                <w:sz w:val="20"/>
              </w:rPr>
              <w:t>by</w:t>
            </w:r>
            <w:r>
              <w:rPr>
                <w:spacing w:val="-8"/>
                <w:sz w:val="20"/>
              </w:rPr>
              <w:t> </w:t>
            </w:r>
            <w:r>
              <w:rPr>
                <w:sz w:val="20"/>
              </w:rPr>
              <w:t>employees with</w:t>
            </w:r>
            <w:r>
              <w:rPr>
                <w:spacing w:val="-12"/>
                <w:sz w:val="20"/>
              </w:rPr>
              <w:t> </w:t>
            </w:r>
            <w:r>
              <w:rPr>
                <w:sz w:val="20"/>
              </w:rPr>
              <w:t>the</w:t>
            </w:r>
            <w:r>
              <w:rPr>
                <w:spacing w:val="-14"/>
                <w:sz w:val="20"/>
              </w:rPr>
              <w:t> </w:t>
            </w:r>
            <w:r>
              <w:rPr>
                <w:sz w:val="20"/>
              </w:rPr>
              <w:t>supervised</w:t>
            </w:r>
            <w:r>
              <w:rPr>
                <w:spacing w:val="-12"/>
                <w:sz w:val="20"/>
              </w:rPr>
              <w:t> </w:t>
            </w:r>
            <w:r>
              <w:rPr>
                <w:sz w:val="20"/>
              </w:rPr>
              <w:t>institution</w:t>
            </w:r>
            <w:r>
              <w:rPr>
                <w:spacing w:val="-12"/>
                <w:sz w:val="20"/>
              </w:rPr>
              <w:t> </w:t>
            </w:r>
            <w:r>
              <w:rPr>
                <w:sz w:val="20"/>
              </w:rPr>
              <w:t>or</w:t>
            </w:r>
            <w:r>
              <w:rPr>
                <w:spacing w:val="-13"/>
                <w:sz w:val="20"/>
              </w:rPr>
              <w:t> </w:t>
            </w:r>
            <w:r>
              <w:rPr>
                <w:sz w:val="20"/>
              </w:rPr>
              <w:t>a</w:t>
            </w:r>
            <w:r>
              <w:rPr>
                <w:spacing w:val="-12"/>
                <w:sz w:val="20"/>
              </w:rPr>
              <w:t> </w:t>
            </w:r>
            <w:r>
              <w:rPr>
                <w:sz w:val="20"/>
              </w:rPr>
              <w:t>third-party</w:t>
            </w:r>
            <w:r>
              <w:rPr>
                <w:spacing w:val="-10"/>
                <w:sz w:val="20"/>
              </w:rPr>
              <w:t> </w:t>
            </w:r>
            <w:r>
              <w:rPr>
                <w:sz w:val="20"/>
              </w:rPr>
              <w:t>institution</w:t>
            </w:r>
            <w:r>
              <w:rPr>
                <w:spacing w:val="-12"/>
                <w:sz w:val="20"/>
              </w:rPr>
              <w:t> </w:t>
            </w:r>
            <w:r>
              <w:rPr>
                <w:sz w:val="20"/>
              </w:rPr>
              <w:t>as</w:t>
            </w:r>
            <w:r>
              <w:rPr>
                <w:spacing w:val="-13"/>
                <w:sz w:val="20"/>
              </w:rPr>
              <w:t> </w:t>
            </w:r>
            <w:r>
              <w:rPr>
                <w:sz w:val="20"/>
              </w:rPr>
              <w:t>well</w:t>
            </w:r>
            <w:r>
              <w:rPr>
                <w:spacing w:val="-14"/>
                <w:sz w:val="20"/>
              </w:rPr>
              <w:t> </w:t>
            </w:r>
            <w:r>
              <w:rPr>
                <w:sz w:val="20"/>
              </w:rPr>
              <w:t>as</w:t>
            </w:r>
            <w:r>
              <w:rPr>
                <w:spacing w:val="-10"/>
                <w:sz w:val="20"/>
              </w:rPr>
              <w:t> </w:t>
            </w:r>
            <w:r>
              <w:rPr>
                <w:sz w:val="20"/>
              </w:rPr>
              <w:t>those</w:t>
            </w:r>
            <w:r>
              <w:rPr>
                <w:spacing w:val="-12"/>
                <w:sz w:val="20"/>
              </w:rPr>
              <w:t> </w:t>
            </w:r>
            <w:r>
              <w:rPr>
                <w:sz w:val="20"/>
              </w:rPr>
              <w:t>for</w:t>
            </w:r>
            <w:r>
              <w:rPr>
                <w:spacing w:val="-11"/>
                <w:sz w:val="20"/>
              </w:rPr>
              <w:t> </w:t>
            </w:r>
            <w:r>
              <w:rPr>
                <w:sz w:val="20"/>
              </w:rPr>
              <w:t>which</w:t>
            </w:r>
            <w:r>
              <w:rPr>
                <w:spacing w:val="-11"/>
                <w:sz w:val="20"/>
              </w:rPr>
              <w:t> </w:t>
            </w:r>
            <w:r>
              <w:rPr>
                <w:sz w:val="20"/>
              </w:rPr>
              <w:t>employees have beneficial ownership or power of attorney.</w:t>
            </w:r>
          </w:p>
        </w:tc>
        <w:tc>
          <w:tcPr>
            <w:tcW w:w="701" w:type="dxa"/>
          </w:tcPr>
          <w:p>
            <w:pPr>
              <w:pStyle w:val="TableParagraph"/>
              <w:spacing w:before="134"/>
              <w:ind w:right="46"/>
              <w:jc w:val="right"/>
              <w:rPr>
                <w:sz w:val="20"/>
              </w:rPr>
            </w:pPr>
            <w:r>
              <w:rPr>
                <w:spacing w:val="-5"/>
                <w:sz w:val="20"/>
              </w:rPr>
              <w:t>53</w:t>
            </w:r>
          </w:p>
        </w:tc>
      </w:tr>
      <w:tr>
        <w:trPr>
          <w:trHeight w:val="1280" w:hRule="atLeast"/>
        </w:trPr>
        <w:tc>
          <w:tcPr>
            <w:tcW w:w="8505" w:type="dxa"/>
          </w:tcPr>
          <w:p>
            <w:pPr>
              <w:pStyle w:val="TableParagraph"/>
              <w:spacing w:line="271" w:lineRule="auto" w:before="131"/>
              <w:ind w:left="50" w:right="349"/>
              <w:jc w:val="both"/>
              <w:rPr>
                <w:sz w:val="20"/>
              </w:rPr>
            </w:pPr>
            <w:r>
              <w:rPr>
                <w:sz w:val="20"/>
              </w:rPr>
              <w:t>For the purpose of these rules, employees are defined as all members of the supervised institution’s staff, together with the members of governing bodies responsible for directing, supervising and controlling, the executive management, partners with unlimited liability and anyone with a comparable function.</w:t>
            </w:r>
          </w:p>
        </w:tc>
        <w:tc>
          <w:tcPr>
            <w:tcW w:w="701" w:type="dxa"/>
          </w:tcPr>
          <w:p>
            <w:pPr>
              <w:pStyle w:val="TableParagraph"/>
              <w:spacing w:before="133"/>
              <w:ind w:right="46"/>
              <w:jc w:val="right"/>
              <w:rPr>
                <w:sz w:val="20"/>
              </w:rPr>
            </w:pPr>
            <w:r>
              <w:rPr>
                <w:spacing w:val="-5"/>
                <w:sz w:val="20"/>
              </w:rPr>
              <w:t>54</w:t>
            </w:r>
          </w:p>
        </w:tc>
      </w:tr>
      <w:tr>
        <w:trPr>
          <w:trHeight w:val="1585" w:hRule="atLeast"/>
        </w:trPr>
        <w:tc>
          <w:tcPr>
            <w:tcW w:w="8505" w:type="dxa"/>
          </w:tcPr>
          <w:p>
            <w:pPr>
              <w:pStyle w:val="TableParagraph"/>
              <w:spacing w:line="271" w:lineRule="auto" w:before="130"/>
              <w:ind w:left="50" w:right="352"/>
              <w:jc w:val="both"/>
              <w:rPr>
                <w:sz w:val="20"/>
              </w:rPr>
            </w:pPr>
            <w:r>
              <w:rPr>
                <w:sz w:val="20"/>
              </w:rPr>
              <w:t>Supervised institutions must set out their appropriate and suitable surveillance measures in an</w:t>
            </w:r>
            <w:r>
              <w:rPr>
                <w:spacing w:val="-6"/>
                <w:sz w:val="20"/>
              </w:rPr>
              <w:t> </w:t>
            </w:r>
            <w:r>
              <w:rPr>
                <w:sz w:val="20"/>
              </w:rPr>
              <w:t>internal</w:t>
            </w:r>
            <w:r>
              <w:rPr>
                <w:spacing w:val="-6"/>
                <w:sz w:val="20"/>
              </w:rPr>
              <w:t> </w:t>
            </w:r>
            <w:r>
              <w:rPr>
                <w:sz w:val="20"/>
              </w:rPr>
              <w:t>directive.</w:t>
            </w:r>
            <w:r>
              <w:rPr>
                <w:spacing w:val="-5"/>
                <w:sz w:val="20"/>
              </w:rPr>
              <w:t> </w:t>
            </w:r>
            <w:r>
              <w:rPr>
                <w:sz w:val="20"/>
              </w:rPr>
              <w:t>Different</w:t>
            </w:r>
            <w:r>
              <w:rPr>
                <w:spacing w:val="-5"/>
                <w:sz w:val="20"/>
              </w:rPr>
              <w:t> </w:t>
            </w:r>
            <w:r>
              <w:rPr>
                <w:sz w:val="20"/>
              </w:rPr>
              <w:t>levels of</w:t>
            </w:r>
            <w:r>
              <w:rPr>
                <w:spacing w:val="-5"/>
                <w:sz w:val="20"/>
              </w:rPr>
              <w:t> </w:t>
            </w:r>
            <w:r>
              <w:rPr>
                <w:sz w:val="20"/>
              </w:rPr>
              <w:t>surveillance</w:t>
            </w:r>
            <w:r>
              <w:rPr>
                <w:spacing w:val="-3"/>
                <w:sz w:val="20"/>
              </w:rPr>
              <w:t> </w:t>
            </w:r>
            <w:r>
              <w:rPr>
                <w:sz w:val="20"/>
              </w:rPr>
              <w:t>may</w:t>
            </w:r>
            <w:r>
              <w:rPr>
                <w:spacing w:val="-4"/>
                <w:sz w:val="20"/>
              </w:rPr>
              <w:t> </w:t>
            </w:r>
            <w:r>
              <w:rPr>
                <w:sz w:val="20"/>
              </w:rPr>
              <w:t>be</w:t>
            </w:r>
            <w:r>
              <w:rPr>
                <w:spacing w:val="-6"/>
                <w:sz w:val="20"/>
              </w:rPr>
              <w:t> </w:t>
            </w:r>
            <w:r>
              <w:rPr>
                <w:sz w:val="20"/>
              </w:rPr>
              <w:t>applied</w:t>
            </w:r>
            <w:r>
              <w:rPr>
                <w:spacing w:val="-5"/>
                <w:sz w:val="20"/>
              </w:rPr>
              <w:t> </w:t>
            </w:r>
            <w:r>
              <w:rPr>
                <w:sz w:val="20"/>
              </w:rPr>
              <w:t>to</w:t>
            </w:r>
            <w:r>
              <w:rPr>
                <w:spacing w:val="-5"/>
                <w:sz w:val="20"/>
              </w:rPr>
              <w:t> </w:t>
            </w:r>
            <w:r>
              <w:rPr>
                <w:sz w:val="20"/>
              </w:rPr>
              <w:t>different</w:t>
            </w:r>
            <w:r>
              <w:rPr>
                <w:spacing w:val="-5"/>
                <w:sz w:val="20"/>
              </w:rPr>
              <w:t> </w:t>
            </w:r>
            <w:r>
              <w:rPr>
                <w:sz w:val="20"/>
              </w:rPr>
              <w:t>categories</w:t>
            </w:r>
            <w:r>
              <w:rPr>
                <w:spacing w:val="-4"/>
                <w:sz w:val="20"/>
              </w:rPr>
              <w:t> </w:t>
            </w:r>
            <w:r>
              <w:rPr>
                <w:sz w:val="20"/>
              </w:rPr>
              <w:t>of employees or functions in line with the risk of misuse of insider information. Regardless of such risk categories, supervised institutions must ensure that they can access information on all relevant cash and custody accounts whenever necessary.</w:t>
            </w:r>
          </w:p>
        </w:tc>
        <w:tc>
          <w:tcPr>
            <w:tcW w:w="701" w:type="dxa"/>
          </w:tcPr>
          <w:p>
            <w:pPr>
              <w:pStyle w:val="TableParagraph"/>
              <w:spacing w:before="132"/>
              <w:ind w:right="46"/>
              <w:jc w:val="right"/>
              <w:rPr>
                <w:sz w:val="20"/>
              </w:rPr>
            </w:pPr>
            <w:r>
              <w:rPr>
                <w:spacing w:val="-5"/>
                <w:sz w:val="20"/>
              </w:rPr>
              <w:t>55</w:t>
            </w:r>
          </w:p>
        </w:tc>
      </w:tr>
      <w:tr>
        <w:trPr>
          <w:trHeight w:val="591" w:hRule="atLeast"/>
        </w:trPr>
        <w:tc>
          <w:tcPr>
            <w:tcW w:w="8505" w:type="dxa"/>
          </w:tcPr>
          <w:p>
            <w:pPr>
              <w:pStyle w:val="TableParagraph"/>
              <w:tabs>
                <w:tab w:pos="616" w:val="left" w:leader="none"/>
              </w:tabs>
              <w:spacing w:before="175"/>
              <w:ind w:left="50"/>
              <w:rPr>
                <w:sz w:val="24"/>
              </w:rPr>
            </w:pPr>
            <w:r>
              <w:rPr>
                <w:spacing w:val="-5"/>
                <w:sz w:val="24"/>
              </w:rPr>
              <w:t>E.</w:t>
            </w:r>
            <w:r>
              <w:rPr>
                <w:sz w:val="24"/>
              </w:rPr>
              <w:tab/>
              <w:t>Watch</w:t>
            </w:r>
            <w:r>
              <w:rPr>
                <w:spacing w:val="-3"/>
                <w:sz w:val="24"/>
              </w:rPr>
              <w:t> </w:t>
            </w:r>
            <w:r>
              <w:rPr>
                <w:sz w:val="24"/>
              </w:rPr>
              <w:t>list</w:t>
            </w:r>
            <w:r>
              <w:rPr>
                <w:spacing w:val="-2"/>
                <w:sz w:val="24"/>
              </w:rPr>
              <w:t> </w:t>
            </w:r>
            <w:r>
              <w:rPr>
                <w:sz w:val="24"/>
              </w:rPr>
              <w:t>and</w:t>
            </w:r>
            <w:r>
              <w:rPr>
                <w:spacing w:val="-3"/>
                <w:sz w:val="24"/>
              </w:rPr>
              <w:t> </w:t>
            </w:r>
            <w:r>
              <w:rPr>
                <w:sz w:val="24"/>
              </w:rPr>
              <w:t>restricted</w:t>
            </w:r>
            <w:r>
              <w:rPr>
                <w:spacing w:val="-2"/>
                <w:sz w:val="24"/>
              </w:rPr>
              <w:t> </w:t>
            </w:r>
            <w:r>
              <w:rPr>
                <w:spacing w:val="-4"/>
                <w:sz w:val="24"/>
              </w:rPr>
              <w:t>list</w:t>
            </w:r>
          </w:p>
        </w:tc>
        <w:tc>
          <w:tcPr>
            <w:tcW w:w="701" w:type="dxa"/>
          </w:tcPr>
          <w:p>
            <w:pPr>
              <w:pStyle w:val="TableParagraph"/>
              <w:rPr>
                <w:rFonts w:ascii="Times New Roman"/>
                <w:sz w:val="20"/>
              </w:rPr>
            </w:pPr>
          </w:p>
        </w:tc>
      </w:tr>
      <w:tr>
        <w:trPr>
          <w:trHeight w:val="499" w:hRule="atLeast"/>
        </w:trPr>
        <w:tc>
          <w:tcPr>
            <w:tcW w:w="8505" w:type="dxa"/>
          </w:tcPr>
          <w:p>
            <w:pPr>
              <w:pStyle w:val="TableParagraph"/>
              <w:spacing w:before="132"/>
              <w:ind w:left="50"/>
              <w:rPr>
                <w:sz w:val="20"/>
              </w:rPr>
            </w:pPr>
            <w:r>
              <w:rPr>
                <w:sz w:val="20"/>
              </w:rPr>
              <w:t>Supervised</w:t>
            </w:r>
            <w:r>
              <w:rPr>
                <w:spacing w:val="-7"/>
                <w:sz w:val="20"/>
              </w:rPr>
              <w:t> </w:t>
            </w:r>
            <w:r>
              <w:rPr>
                <w:sz w:val="20"/>
              </w:rPr>
              <w:t>institutions</w:t>
            </w:r>
            <w:r>
              <w:rPr>
                <w:spacing w:val="-6"/>
                <w:sz w:val="20"/>
              </w:rPr>
              <w:t> </w:t>
            </w:r>
            <w:r>
              <w:rPr>
                <w:sz w:val="20"/>
              </w:rPr>
              <w:t>must</w:t>
            </w:r>
            <w:r>
              <w:rPr>
                <w:spacing w:val="-7"/>
                <w:sz w:val="20"/>
              </w:rPr>
              <w:t> </w:t>
            </w:r>
            <w:r>
              <w:rPr>
                <w:sz w:val="20"/>
              </w:rPr>
              <w:t>keep</w:t>
            </w:r>
            <w:r>
              <w:rPr>
                <w:spacing w:val="-5"/>
                <w:sz w:val="20"/>
              </w:rPr>
              <w:t> </w:t>
            </w:r>
            <w:r>
              <w:rPr>
                <w:sz w:val="20"/>
              </w:rPr>
              <w:t>a</w:t>
            </w:r>
            <w:r>
              <w:rPr>
                <w:spacing w:val="-5"/>
                <w:sz w:val="20"/>
              </w:rPr>
              <w:t> </w:t>
            </w:r>
            <w:r>
              <w:rPr>
                <w:i/>
                <w:sz w:val="20"/>
              </w:rPr>
              <w:t>watch</w:t>
            </w:r>
            <w:r>
              <w:rPr>
                <w:i/>
                <w:spacing w:val="-5"/>
                <w:sz w:val="20"/>
              </w:rPr>
              <w:t> </w:t>
            </w:r>
            <w:r>
              <w:rPr>
                <w:i/>
                <w:sz w:val="20"/>
              </w:rPr>
              <w:t>list</w:t>
            </w:r>
            <w:r>
              <w:rPr>
                <w:i/>
                <w:spacing w:val="-6"/>
                <w:sz w:val="20"/>
              </w:rPr>
              <w:t> </w:t>
            </w:r>
            <w:r>
              <w:rPr>
                <w:sz w:val="20"/>
              </w:rPr>
              <w:t>and</w:t>
            </w:r>
            <w:r>
              <w:rPr>
                <w:spacing w:val="-7"/>
                <w:sz w:val="20"/>
              </w:rPr>
              <w:t> </w:t>
            </w:r>
            <w:r>
              <w:rPr>
                <w:sz w:val="20"/>
              </w:rPr>
              <w:t>a</w:t>
            </w:r>
            <w:r>
              <w:rPr>
                <w:spacing w:val="-7"/>
                <w:sz w:val="20"/>
              </w:rPr>
              <w:t> </w:t>
            </w:r>
            <w:r>
              <w:rPr>
                <w:i/>
                <w:sz w:val="20"/>
              </w:rPr>
              <w:t>restricted</w:t>
            </w:r>
            <w:r>
              <w:rPr>
                <w:i/>
                <w:spacing w:val="-8"/>
                <w:sz w:val="20"/>
              </w:rPr>
              <w:t> </w:t>
            </w:r>
            <w:r>
              <w:rPr>
                <w:i/>
                <w:spacing w:val="-2"/>
                <w:sz w:val="20"/>
              </w:rPr>
              <w:t>list</w:t>
            </w:r>
            <w:r>
              <w:rPr>
                <w:spacing w:val="-2"/>
                <w:sz w:val="20"/>
              </w:rPr>
              <w:t>.</w:t>
            </w:r>
          </w:p>
        </w:tc>
        <w:tc>
          <w:tcPr>
            <w:tcW w:w="701" w:type="dxa"/>
          </w:tcPr>
          <w:p>
            <w:pPr>
              <w:pStyle w:val="TableParagraph"/>
              <w:spacing w:before="132"/>
              <w:ind w:right="49"/>
              <w:jc w:val="right"/>
              <w:rPr>
                <w:sz w:val="20"/>
              </w:rPr>
            </w:pPr>
            <w:r>
              <w:rPr>
                <w:spacing w:val="-5"/>
                <w:sz w:val="20"/>
              </w:rPr>
              <w:t>56</w:t>
            </w:r>
          </w:p>
        </w:tc>
      </w:tr>
      <w:tr>
        <w:trPr>
          <w:trHeight w:val="618" w:hRule="atLeast"/>
        </w:trPr>
        <w:tc>
          <w:tcPr>
            <w:tcW w:w="8505" w:type="dxa"/>
          </w:tcPr>
          <w:p>
            <w:pPr>
              <w:pStyle w:val="TableParagraph"/>
              <w:spacing w:line="260" w:lineRule="atLeast" w:before="79"/>
              <w:ind w:left="50"/>
              <w:rPr>
                <w:sz w:val="20"/>
              </w:rPr>
            </w:pPr>
            <w:r>
              <w:rPr>
                <w:sz w:val="20"/>
              </w:rPr>
              <w:t>The</w:t>
            </w:r>
            <w:r>
              <w:rPr>
                <w:spacing w:val="-10"/>
                <w:sz w:val="20"/>
              </w:rPr>
              <w:t> </w:t>
            </w:r>
            <w:r>
              <w:rPr>
                <w:i/>
                <w:sz w:val="20"/>
              </w:rPr>
              <w:t>watch</w:t>
            </w:r>
            <w:r>
              <w:rPr>
                <w:i/>
                <w:spacing w:val="-10"/>
                <w:sz w:val="20"/>
              </w:rPr>
              <w:t> </w:t>
            </w:r>
            <w:r>
              <w:rPr>
                <w:i/>
                <w:sz w:val="20"/>
              </w:rPr>
              <w:t>list</w:t>
            </w:r>
            <w:r>
              <w:rPr>
                <w:i/>
                <w:spacing w:val="-9"/>
                <w:sz w:val="20"/>
              </w:rPr>
              <w:t> </w:t>
            </w:r>
            <w:r>
              <w:rPr>
                <w:sz w:val="20"/>
              </w:rPr>
              <w:t>contains</w:t>
            </w:r>
            <w:r>
              <w:rPr>
                <w:spacing w:val="-7"/>
                <w:sz w:val="20"/>
              </w:rPr>
              <w:t> </w:t>
            </w:r>
            <w:r>
              <w:rPr>
                <w:sz w:val="20"/>
              </w:rPr>
              <w:t>details</w:t>
            </w:r>
            <w:r>
              <w:rPr>
                <w:spacing w:val="-9"/>
                <w:sz w:val="20"/>
              </w:rPr>
              <w:t> </w:t>
            </w:r>
            <w:r>
              <w:rPr>
                <w:sz w:val="20"/>
              </w:rPr>
              <w:t>of</w:t>
            </w:r>
            <w:r>
              <w:rPr>
                <w:spacing w:val="-8"/>
                <w:sz w:val="20"/>
              </w:rPr>
              <w:t> </w:t>
            </w:r>
            <w:r>
              <w:rPr>
                <w:sz w:val="20"/>
              </w:rPr>
              <w:t>the</w:t>
            </w:r>
            <w:r>
              <w:rPr>
                <w:spacing w:val="-8"/>
                <w:sz w:val="20"/>
              </w:rPr>
              <w:t> </w:t>
            </w:r>
            <w:r>
              <w:rPr>
                <w:sz w:val="20"/>
              </w:rPr>
              <w:t>insider</w:t>
            </w:r>
            <w:r>
              <w:rPr>
                <w:spacing w:val="-7"/>
                <w:sz w:val="20"/>
              </w:rPr>
              <w:t> </w:t>
            </w:r>
            <w:r>
              <w:rPr>
                <w:sz w:val="20"/>
              </w:rPr>
              <w:t>information</w:t>
            </w:r>
            <w:r>
              <w:rPr>
                <w:spacing w:val="-8"/>
                <w:sz w:val="20"/>
              </w:rPr>
              <w:t> </w:t>
            </w:r>
            <w:r>
              <w:rPr>
                <w:sz w:val="20"/>
              </w:rPr>
              <w:t>the</w:t>
            </w:r>
            <w:r>
              <w:rPr>
                <w:spacing w:val="-10"/>
                <w:sz w:val="20"/>
              </w:rPr>
              <w:t> </w:t>
            </w:r>
            <w:r>
              <w:rPr>
                <w:sz w:val="20"/>
              </w:rPr>
              <w:t>supervised</w:t>
            </w:r>
            <w:r>
              <w:rPr>
                <w:spacing w:val="-8"/>
                <w:sz w:val="20"/>
              </w:rPr>
              <w:t> </w:t>
            </w:r>
            <w:r>
              <w:rPr>
                <w:sz w:val="20"/>
              </w:rPr>
              <w:t>institution</w:t>
            </w:r>
            <w:r>
              <w:rPr>
                <w:spacing w:val="-10"/>
                <w:sz w:val="20"/>
              </w:rPr>
              <w:t> </w:t>
            </w:r>
            <w:r>
              <w:rPr>
                <w:sz w:val="20"/>
              </w:rPr>
              <w:t>possesses about</w:t>
            </w:r>
            <w:r>
              <w:rPr>
                <w:spacing w:val="20"/>
                <w:sz w:val="20"/>
              </w:rPr>
              <w:t> </w:t>
            </w:r>
            <w:r>
              <w:rPr>
                <w:sz w:val="20"/>
              </w:rPr>
              <w:t>issuers</w:t>
            </w:r>
            <w:r>
              <w:rPr>
                <w:spacing w:val="21"/>
                <w:sz w:val="20"/>
              </w:rPr>
              <w:t> </w:t>
            </w:r>
            <w:r>
              <w:rPr>
                <w:sz w:val="20"/>
              </w:rPr>
              <w:t>and</w:t>
            </w:r>
            <w:r>
              <w:rPr>
                <w:spacing w:val="23"/>
                <w:sz w:val="20"/>
              </w:rPr>
              <w:t> </w:t>
            </w:r>
            <w:r>
              <w:rPr>
                <w:sz w:val="20"/>
              </w:rPr>
              <w:t>in</w:t>
            </w:r>
            <w:r>
              <w:rPr>
                <w:spacing w:val="22"/>
                <w:sz w:val="20"/>
              </w:rPr>
              <w:t> </w:t>
            </w:r>
            <w:r>
              <w:rPr>
                <w:sz w:val="20"/>
              </w:rPr>
              <w:t>particular</w:t>
            </w:r>
            <w:r>
              <w:rPr>
                <w:spacing w:val="22"/>
                <w:sz w:val="20"/>
              </w:rPr>
              <w:t> </w:t>
            </w:r>
            <w:r>
              <w:rPr>
                <w:sz w:val="20"/>
              </w:rPr>
              <w:t>the</w:t>
            </w:r>
            <w:r>
              <w:rPr>
                <w:spacing w:val="22"/>
                <w:sz w:val="20"/>
              </w:rPr>
              <w:t> </w:t>
            </w:r>
            <w:r>
              <w:rPr>
                <w:sz w:val="20"/>
              </w:rPr>
              <w:t>individuals</w:t>
            </w:r>
            <w:r>
              <w:rPr>
                <w:spacing w:val="21"/>
                <w:sz w:val="20"/>
              </w:rPr>
              <w:t> </w:t>
            </w:r>
            <w:r>
              <w:rPr>
                <w:sz w:val="20"/>
              </w:rPr>
              <w:t>in</w:t>
            </w:r>
            <w:r>
              <w:rPr>
                <w:spacing w:val="23"/>
                <w:sz w:val="20"/>
              </w:rPr>
              <w:t> </w:t>
            </w:r>
            <w:r>
              <w:rPr>
                <w:sz w:val="20"/>
              </w:rPr>
              <w:t>possession</w:t>
            </w:r>
            <w:r>
              <w:rPr>
                <w:spacing w:val="20"/>
                <w:sz w:val="20"/>
              </w:rPr>
              <w:t> </w:t>
            </w:r>
            <w:r>
              <w:rPr>
                <w:sz w:val="20"/>
              </w:rPr>
              <w:t>of</w:t>
            </w:r>
            <w:r>
              <w:rPr>
                <w:spacing w:val="23"/>
                <w:sz w:val="20"/>
              </w:rPr>
              <w:t> </w:t>
            </w:r>
            <w:r>
              <w:rPr>
                <w:sz w:val="20"/>
              </w:rPr>
              <w:t>such</w:t>
            </w:r>
            <w:r>
              <w:rPr>
                <w:spacing w:val="20"/>
                <w:sz w:val="20"/>
              </w:rPr>
              <w:t> </w:t>
            </w:r>
            <w:r>
              <w:rPr>
                <w:sz w:val="20"/>
              </w:rPr>
              <w:t>information</w:t>
            </w:r>
            <w:r>
              <w:rPr>
                <w:spacing w:val="21"/>
                <w:sz w:val="20"/>
              </w:rPr>
              <w:t> </w:t>
            </w:r>
            <w:r>
              <w:rPr>
                <w:sz w:val="20"/>
              </w:rPr>
              <w:t>and</w:t>
            </w:r>
            <w:r>
              <w:rPr>
                <w:spacing w:val="20"/>
                <w:sz w:val="20"/>
              </w:rPr>
              <w:t> </w:t>
            </w:r>
            <w:r>
              <w:rPr>
                <w:spacing w:val="-5"/>
                <w:sz w:val="20"/>
              </w:rPr>
              <w:t>the</w:t>
            </w:r>
          </w:p>
        </w:tc>
        <w:tc>
          <w:tcPr>
            <w:tcW w:w="701" w:type="dxa"/>
          </w:tcPr>
          <w:p>
            <w:pPr>
              <w:pStyle w:val="TableParagraph"/>
              <w:spacing w:before="132"/>
              <w:ind w:right="49"/>
              <w:jc w:val="right"/>
              <w:rPr>
                <w:sz w:val="20"/>
              </w:rPr>
            </w:pPr>
            <w:r>
              <w:rPr>
                <w:spacing w:val="-5"/>
                <w:sz w:val="20"/>
              </w:rPr>
              <w:t>57</w:t>
            </w:r>
          </w:p>
        </w:tc>
      </w:tr>
    </w:tbl>
    <w:p>
      <w:pPr>
        <w:pStyle w:val="TableParagraph"/>
        <w:spacing w:after="0"/>
        <w:jc w:val="right"/>
        <w:rPr>
          <w:sz w:val="20"/>
        </w:rPr>
        <w:sectPr>
          <w:pgSz w:w="11900" w:h="16850"/>
          <w:pgMar w:header="828" w:footer="318" w:top="1400" w:bottom="500" w:left="1559" w:right="850"/>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4"/>
        <w:rPr>
          <w:b/>
          <w:sz w:val="20"/>
        </w:rPr>
      </w:pPr>
    </w:p>
    <w:tbl>
      <w:tblPr>
        <w:tblW w:w="0" w:type="auto"/>
        <w:jc w:val="left"/>
        <w:tblInd w:w="2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322"/>
        <w:gridCol w:w="884"/>
      </w:tblGrid>
      <w:tr>
        <w:trPr>
          <w:trHeight w:val="623" w:hRule="atLeast"/>
        </w:trPr>
        <w:tc>
          <w:tcPr>
            <w:tcW w:w="8322" w:type="dxa"/>
          </w:tcPr>
          <w:p>
            <w:pPr>
              <w:pStyle w:val="TableParagraph"/>
              <w:spacing w:line="276" w:lineRule="auto"/>
              <w:ind w:left="50"/>
              <w:rPr>
                <w:sz w:val="20"/>
              </w:rPr>
            </w:pPr>
            <w:r>
              <w:rPr>
                <w:sz w:val="20"/>
              </w:rPr>
              <w:t>period</w:t>
            </w:r>
            <w:r>
              <w:rPr>
                <w:spacing w:val="-10"/>
                <w:sz w:val="20"/>
              </w:rPr>
              <w:t> </w:t>
            </w:r>
            <w:r>
              <w:rPr>
                <w:sz w:val="20"/>
              </w:rPr>
              <w:t>of</w:t>
            </w:r>
            <w:r>
              <w:rPr>
                <w:spacing w:val="-11"/>
                <w:sz w:val="20"/>
              </w:rPr>
              <w:t> </w:t>
            </w:r>
            <w:r>
              <w:rPr>
                <w:sz w:val="20"/>
              </w:rPr>
              <w:t>time</w:t>
            </w:r>
            <w:r>
              <w:rPr>
                <w:spacing w:val="-11"/>
                <w:sz w:val="20"/>
              </w:rPr>
              <w:t> </w:t>
            </w:r>
            <w:r>
              <w:rPr>
                <w:sz w:val="20"/>
              </w:rPr>
              <w:t>for</w:t>
            </w:r>
            <w:r>
              <w:rPr>
                <w:spacing w:val="-10"/>
                <w:sz w:val="20"/>
              </w:rPr>
              <w:t> </w:t>
            </w:r>
            <w:r>
              <w:rPr>
                <w:sz w:val="20"/>
              </w:rPr>
              <w:t>which</w:t>
            </w:r>
            <w:r>
              <w:rPr>
                <w:spacing w:val="-10"/>
                <w:sz w:val="20"/>
              </w:rPr>
              <w:t> </w:t>
            </w:r>
            <w:r>
              <w:rPr>
                <w:sz w:val="20"/>
              </w:rPr>
              <w:t>it</w:t>
            </w:r>
            <w:r>
              <w:rPr>
                <w:spacing w:val="-10"/>
                <w:sz w:val="20"/>
              </w:rPr>
              <w:t> </w:t>
            </w:r>
            <w:r>
              <w:rPr>
                <w:sz w:val="20"/>
              </w:rPr>
              <w:t>must</w:t>
            </w:r>
            <w:r>
              <w:rPr>
                <w:spacing w:val="-13"/>
                <w:sz w:val="20"/>
              </w:rPr>
              <w:t> </w:t>
            </w:r>
            <w:r>
              <w:rPr>
                <w:sz w:val="20"/>
              </w:rPr>
              <w:t>remain</w:t>
            </w:r>
            <w:r>
              <w:rPr>
                <w:spacing w:val="-13"/>
                <w:sz w:val="20"/>
              </w:rPr>
              <w:t> </w:t>
            </w:r>
            <w:r>
              <w:rPr>
                <w:sz w:val="20"/>
              </w:rPr>
              <w:t>confidential.</w:t>
            </w:r>
            <w:r>
              <w:rPr>
                <w:spacing w:val="-10"/>
                <w:sz w:val="20"/>
              </w:rPr>
              <w:t> </w:t>
            </w:r>
            <w:r>
              <w:rPr>
                <w:sz w:val="20"/>
              </w:rPr>
              <w:t>It</w:t>
            </w:r>
            <w:r>
              <w:rPr>
                <w:spacing w:val="-11"/>
                <w:sz w:val="20"/>
              </w:rPr>
              <w:t> </w:t>
            </w:r>
            <w:r>
              <w:rPr>
                <w:sz w:val="20"/>
              </w:rPr>
              <w:t>must</w:t>
            </w:r>
            <w:r>
              <w:rPr>
                <w:spacing w:val="-13"/>
                <w:sz w:val="20"/>
              </w:rPr>
              <w:t> </w:t>
            </w:r>
            <w:r>
              <w:rPr>
                <w:sz w:val="20"/>
              </w:rPr>
              <w:t>be</w:t>
            </w:r>
            <w:r>
              <w:rPr>
                <w:spacing w:val="-13"/>
                <w:sz w:val="20"/>
              </w:rPr>
              <w:t> </w:t>
            </w:r>
            <w:r>
              <w:rPr>
                <w:sz w:val="20"/>
              </w:rPr>
              <w:t>kept</w:t>
            </w:r>
            <w:r>
              <w:rPr>
                <w:spacing w:val="-11"/>
                <w:sz w:val="20"/>
              </w:rPr>
              <w:t> </w:t>
            </w:r>
            <w:r>
              <w:rPr>
                <w:sz w:val="20"/>
              </w:rPr>
              <w:t>by</w:t>
            </w:r>
            <w:r>
              <w:rPr>
                <w:spacing w:val="-12"/>
                <w:sz w:val="20"/>
              </w:rPr>
              <w:t> </w:t>
            </w:r>
            <w:r>
              <w:rPr>
                <w:sz w:val="20"/>
              </w:rPr>
              <w:t>an</w:t>
            </w:r>
            <w:r>
              <w:rPr>
                <w:spacing w:val="-10"/>
                <w:sz w:val="20"/>
              </w:rPr>
              <w:t> </w:t>
            </w:r>
            <w:r>
              <w:rPr>
                <w:sz w:val="20"/>
              </w:rPr>
              <w:t>appropriate</w:t>
            </w:r>
            <w:r>
              <w:rPr>
                <w:spacing w:val="-13"/>
                <w:sz w:val="20"/>
              </w:rPr>
              <w:t> </w:t>
            </w:r>
            <w:r>
              <w:rPr>
                <w:sz w:val="20"/>
              </w:rPr>
              <w:t>function specifically designated as responsible for it (e.g. Compliance).</w:t>
            </w:r>
          </w:p>
        </w:tc>
        <w:tc>
          <w:tcPr>
            <w:tcW w:w="884" w:type="dxa"/>
          </w:tcPr>
          <w:p>
            <w:pPr>
              <w:pStyle w:val="TableParagraph"/>
              <w:rPr>
                <w:rFonts w:ascii="Times New Roman"/>
                <w:sz w:val="20"/>
              </w:rPr>
            </w:pPr>
          </w:p>
        </w:tc>
      </w:tr>
      <w:tr>
        <w:trPr>
          <w:trHeight w:val="1324" w:hRule="atLeast"/>
        </w:trPr>
        <w:tc>
          <w:tcPr>
            <w:tcW w:w="8322" w:type="dxa"/>
          </w:tcPr>
          <w:p>
            <w:pPr>
              <w:pStyle w:val="TableParagraph"/>
              <w:spacing w:line="271" w:lineRule="auto" w:before="130"/>
              <w:ind w:left="50" w:right="165"/>
              <w:jc w:val="both"/>
              <w:rPr>
                <w:sz w:val="20"/>
              </w:rPr>
            </w:pPr>
            <w:r>
              <w:rPr>
                <w:sz w:val="20"/>
              </w:rPr>
              <w:t>The </w:t>
            </w:r>
            <w:r>
              <w:rPr>
                <w:i/>
                <w:sz w:val="20"/>
              </w:rPr>
              <w:t>restricted list </w:t>
            </w:r>
            <w:r>
              <w:rPr>
                <w:sz w:val="20"/>
              </w:rPr>
              <w:t>provides information on bans or restrictions on specific trading activities, such as in particular bans on transactions in specific securities, blocked transactions, or publishing</w:t>
            </w:r>
            <w:r>
              <w:rPr>
                <w:spacing w:val="-8"/>
                <w:sz w:val="20"/>
              </w:rPr>
              <w:t> </w:t>
            </w:r>
            <w:r>
              <w:rPr>
                <w:sz w:val="20"/>
              </w:rPr>
              <w:t>restrictions</w:t>
            </w:r>
            <w:r>
              <w:rPr>
                <w:spacing w:val="-6"/>
                <w:sz w:val="20"/>
              </w:rPr>
              <w:t> </w:t>
            </w:r>
            <w:r>
              <w:rPr>
                <w:sz w:val="20"/>
              </w:rPr>
              <w:t>pertaining</w:t>
            </w:r>
            <w:r>
              <w:rPr>
                <w:spacing w:val="-8"/>
                <w:sz w:val="20"/>
              </w:rPr>
              <w:t> </w:t>
            </w:r>
            <w:r>
              <w:rPr>
                <w:sz w:val="20"/>
              </w:rPr>
              <w:t>to</w:t>
            </w:r>
            <w:r>
              <w:rPr>
                <w:spacing w:val="-8"/>
                <w:sz w:val="20"/>
              </w:rPr>
              <w:t> </w:t>
            </w:r>
            <w:r>
              <w:rPr>
                <w:sz w:val="20"/>
              </w:rPr>
              <w:t>financial</w:t>
            </w:r>
            <w:r>
              <w:rPr>
                <w:spacing w:val="-9"/>
                <w:sz w:val="20"/>
              </w:rPr>
              <w:t> </w:t>
            </w:r>
            <w:r>
              <w:rPr>
                <w:sz w:val="20"/>
              </w:rPr>
              <w:t>analysis.</w:t>
            </w:r>
            <w:r>
              <w:rPr>
                <w:spacing w:val="-7"/>
                <w:sz w:val="20"/>
              </w:rPr>
              <w:t> </w:t>
            </w:r>
            <w:r>
              <w:rPr>
                <w:sz w:val="20"/>
              </w:rPr>
              <w:t>The</w:t>
            </w:r>
            <w:r>
              <w:rPr>
                <w:spacing w:val="-8"/>
                <w:sz w:val="20"/>
              </w:rPr>
              <w:t> </w:t>
            </w:r>
            <w:r>
              <w:rPr>
                <w:sz w:val="20"/>
              </w:rPr>
              <w:t>function</w:t>
            </w:r>
            <w:r>
              <w:rPr>
                <w:spacing w:val="-8"/>
                <w:sz w:val="20"/>
              </w:rPr>
              <w:t> </w:t>
            </w:r>
            <w:r>
              <w:rPr>
                <w:sz w:val="20"/>
              </w:rPr>
              <w:t>responsible</w:t>
            </w:r>
            <w:r>
              <w:rPr>
                <w:spacing w:val="-8"/>
                <w:sz w:val="20"/>
              </w:rPr>
              <w:t> </w:t>
            </w:r>
            <w:r>
              <w:rPr>
                <w:sz w:val="20"/>
              </w:rPr>
              <w:t>for</w:t>
            </w:r>
            <w:r>
              <w:rPr>
                <w:spacing w:val="-7"/>
                <w:sz w:val="20"/>
              </w:rPr>
              <w:t> </w:t>
            </w:r>
            <w:r>
              <w:rPr>
                <w:sz w:val="20"/>
              </w:rPr>
              <w:t>the </w:t>
            </w:r>
            <w:r>
              <w:rPr>
                <w:i/>
                <w:sz w:val="20"/>
              </w:rPr>
              <w:t>watch list </w:t>
            </w:r>
            <w:r>
              <w:rPr>
                <w:sz w:val="20"/>
              </w:rPr>
              <w:t>is also responsible for the </w:t>
            </w:r>
            <w:r>
              <w:rPr>
                <w:i/>
                <w:sz w:val="20"/>
              </w:rPr>
              <w:t>restricted list</w:t>
            </w:r>
            <w:r>
              <w:rPr>
                <w:sz w:val="20"/>
              </w:rPr>
              <w:t>.</w:t>
            </w:r>
          </w:p>
        </w:tc>
        <w:tc>
          <w:tcPr>
            <w:tcW w:w="884" w:type="dxa"/>
          </w:tcPr>
          <w:p>
            <w:pPr>
              <w:pStyle w:val="TableParagraph"/>
              <w:spacing w:before="132"/>
              <w:ind w:right="49"/>
              <w:jc w:val="right"/>
              <w:rPr>
                <w:sz w:val="20"/>
              </w:rPr>
            </w:pPr>
            <w:r>
              <w:rPr>
                <w:spacing w:val="-5"/>
                <w:sz w:val="20"/>
              </w:rPr>
              <w:t>58</w:t>
            </w:r>
          </w:p>
        </w:tc>
      </w:tr>
      <w:tr>
        <w:trPr>
          <w:trHeight w:val="589" w:hRule="atLeast"/>
        </w:trPr>
        <w:tc>
          <w:tcPr>
            <w:tcW w:w="8322" w:type="dxa"/>
          </w:tcPr>
          <w:p>
            <w:pPr>
              <w:pStyle w:val="TableParagraph"/>
              <w:tabs>
                <w:tab w:pos="616" w:val="left" w:leader="none"/>
              </w:tabs>
              <w:spacing w:before="174"/>
              <w:ind w:left="50"/>
              <w:rPr>
                <w:sz w:val="24"/>
              </w:rPr>
            </w:pPr>
            <w:r>
              <w:rPr>
                <w:spacing w:val="-5"/>
                <w:sz w:val="24"/>
              </w:rPr>
              <w:t>F.</w:t>
            </w:r>
            <w:r>
              <w:rPr>
                <w:sz w:val="24"/>
              </w:rPr>
              <w:tab/>
              <w:t>Documentation</w:t>
            </w:r>
            <w:r>
              <w:rPr>
                <w:spacing w:val="-7"/>
                <w:sz w:val="24"/>
              </w:rPr>
              <w:t> </w:t>
            </w:r>
            <w:r>
              <w:rPr>
                <w:sz w:val="24"/>
              </w:rPr>
              <w:t>and</w:t>
            </w:r>
            <w:r>
              <w:rPr>
                <w:spacing w:val="-5"/>
                <w:sz w:val="24"/>
              </w:rPr>
              <w:t> </w:t>
            </w:r>
            <w:r>
              <w:rPr>
                <w:sz w:val="24"/>
              </w:rPr>
              <w:t>recording</w:t>
            </w:r>
            <w:r>
              <w:rPr>
                <w:spacing w:val="-5"/>
                <w:sz w:val="24"/>
              </w:rPr>
              <w:t> </w:t>
            </w:r>
            <w:r>
              <w:rPr>
                <w:spacing w:val="-2"/>
                <w:sz w:val="24"/>
              </w:rPr>
              <w:t>requirements</w:t>
            </w:r>
          </w:p>
        </w:tc>
        <w:tc>
          <w:tcPr>
            <w:tcW w:w="884" w:type="dxa"/>
          </w:tcPr>
          <w:p>
            <w:pPr>
              <w:pStyle w:val="TableParagraph"/>
              <w:rPr>
                <w:rFonts w:ascii="Times New Roman"/>
                <w:sz w:val="20"/>
              </w:rPr>
            </w:pPr>
          </w:p>
        </w:tc>
      </w:tr>
      <w:tr>
        <w:trPr>
          <w:trHeight w:val="762" w:hRule="atLeast"/>
        </w:trPr>
        <w:tc>
          <w:tcPr>
            <w:tcW w:w="8322" w:type="dxa"/>
          </w:tcPr>
          <w:p>
            <w:pPr>
              <w:pStyle w:val="TableParagraph"/>
              <w:spacing w:line="276" w:lineRule="auto" w:before="131"/>
              <w:ind w:left="50"/>
              <w:rPr>
                <w:sz w:val="20"/>
              </w:rPr>
            </w:pPr>
            <w:r>
              <w:rPr>
                <w:sz w:val="20"/>
              </w:rPr>
              <w:t>Where there are clear indications that trades may not meet the requirements of Article 142 and 143 FMIA or sections III-VI above, such trades must be documented.</w:t>
            </w:r>
          </w:p>
        </w:tc>
        <w:tc>
          <w:tcPr>
            <w:tcW w:w="884" w:type="dxa"/>
          </w:tcPr>
          <w:p>
            <w:pPr>
              <w:pStyle w:val="TableParagraph"/>
              <w:spacing w:before="134"/>
              <w:ind w:right="49"/>
              <w:jc w:val="right"/>
              <w:rPr>
                <w:sz w:val="20"/>
              </w:rPr>
            </w:pPr>
            <w:r>
              <w:rPr>
                <w:spacing w:val="-5"/>
                <w:sz w:val="20"/>
              </w:rPr>
              <w:t>59</w:t>
            </w:r>
          </w:p>
        </w:tc>
      </w:tr>
      <w:tr>
        <w:trPr>
          <w:trHeight w:val="1279" w:hRule="atLeast"/>
        </w:trPr>
        <w:tc>
          <w:tcPr>
            <w:tcW w:w="8322" w:type="dxa"/>
          </w:tcPr>
          <w:p>
            <w:pPr>
              <w:pStyle w:val="TableParagraph"/>
              <w:spacing w:line="271" w:lineRule="auto" w:before="130"/>
              <w:ind w:left="50" w:right="173"/>
              <w:jc w:val="both"/>
              <w:rPr>
                <w:sz w:val="20"/>
              </w:rPr>
            </w:pPr>
            <w:r>
              <w:rPr>
                <w:sz w:val="20"/>
              </w:rPr>
              <w:t>The external and internal telephone calls of all employees working in securities trading, including those made on mobile telephones, must be recorded. The use of means of communication that cannot be recorded must not be allowed. Recordings must be kept for at least two years and made available to FINMA without alterations as required.</w:t>
            </w:r>
          </w:p>
        </w:tc>
        <w:tc>
          <w:tcPr>
            <w:tcW w:w="884" w:type="dxa"/>
          </w:tcPr>
          <w:p>
            <w:pPr>
              <w:pStyle w:val="TableParagraph"/>
              <w:spacing w:before="132"/>
              <w:ind w:right="49"/>
              <w:jc w:val="right"/>
              <w:rPr>
                <w:sz w:val="20"/>
              </w:rPr>
            </w:pPr>
            <w:r>
              <w:rPr>
                <w:spacing w:val="-5"/>
                <w:sz w:val="20"/>
              </w:rPr>
              <w:t>60</w:t>
            </w:r>
          </w:p>
        </w:tc>
      </w:tr>
      <w:tr>
        <w:trPr>
          <w:trHeight w:val="1586" w:hRule="atLeast"/>
        </w:trPr>
        <w:tc>
          <w:tcPr>
            <w:tcW w:w="8322" w:type="dxa"/>
          </w:tcPr>
          <w:p>
            <w:pPr>
              <w:pStyle w:val="TableParagraph"/>
              <w:spacing w:line="273" w:lineRule="auto" w:before="130"/>
              <w:ind w:left="50" w:right="171"/>
              <w:jc w:val="both"/>
              <w:rPr>
                <w:sz w:val="20"/>
              </w:rPr>
            </w:pPr>
            <w:r>
              <w:rPr>
                <w:sz w:val="20"/>
              </w:rPr>
              <w:t>Electronic correspondence (e-mail, communication via Bloomberg or Reuters etc.) and itemised lists of business calls by all employees working in securities trading as well as by employees deemed by the risk assessment to be especially likely to receive information of relevance for market supervision must be kept for at least two years and made available to FINMA without alterations as required.</w:t>
            </w:r>
          </w:p>
        </w:tc>
        <w:tc>
          <w:tcPr>
            <w:tcW w:w="884" w:type="dxa"/>
          </w:tcPr>
          <w:p>
            <w:pPr>
              <w:pStyle w:val="TableParagraph"/>
              <w:spacing w:before="132"/>
              <w:ind w:right="49"/>
              <w:jc w:val="right"/>
              <w:rPr>
                <w:sz w:val="20"/>
              </w:rPr>
            </w:pPr>
            <w:r>
              <w:rPr>
                <w:spacing w:val="-5"/>
                <w:sz w:val="20"/>
              </w:rPr>
              <w:t>61</w:t>
            </w:r>
          </w:p>
        </w:tc>
      </w:tr>
      <w:tr>
        <w:trPr>
          <w:trHeight w:val="589" w:hRule="atLeast"/>
        </w:trPr>
        <w:tc>
          <w:tcPr>
            <w:tcW w:w="8322" w:type="dxa"/>
          </w:tcPr>
          <w:p>
            <w:pPr>
              <w:pStyle w:val="TableParagraph"/>
              <w:tabs>
                <w:tab w:pos="616" w:val="left" w:leader="none"/>
              </w:tabs>
              <w:spacing w:before="174"/>
              <w:ind w:left="50"/>
              <w:rPr>
                <w:sz w:val="24"/>
              </w:rPr>
            </w:pPr>
            <w:r>
              <w:rPr>
                <w:spacing w:val="-5"/>
                <w:sz w:val="24"/>
              </w:rPr>
              <w:t>G.</w:t>
            </w:r>
            <w:r>
              <w:rPr>
                <w:sz w:val="24"/>
              </w:rPr>
              <w:tab/>
              <w:t>High-frequency</w:t>
            </w:r>
            <w:r>
              <w:rPr>
                <w:spacing w:val="-5"/>
                <w:sz w:val="24"/>
              </w:rPr>
              <w:t> </w:t>
            </w:r>
            <w:r>
              <w:rPr>
                <w:sz w:val="24"/>
              </w:rPr>
              <w:t>/</w:t>
            </w:r>
            <w:r>
              <w:rPr>
                <w:spacing w:val="-6"/>
                <w:sz w:val="24"/>
              </w:rPr>
              <w:t> </w:t>
            </w:r>
            <w:r>
              <w:rPr>
                <w:sz w:val="24"/>
              </w:rPr>
              <w:t>algorithmic</w:t>
            </w:r>
            <w:r>
              <w:rPr>
                <w:spacing w:val="-5"/>
                <w:sz w:val="24"/>
              </w:rPr>
              <w:t> </w:t>
            </w:r>
            <w:r>
              <w:rPr>
                <w:spacing w:val="-2"/>
                <w:sz w:val="24"/>
              </w:rPr>
              <w:t>trading</w:t>
            </w:r>
          </w:p>
        </w:tc>
        <w:tc>
          <w:tcPr>
            <w:tcW w:w="884" w:type="dxa"/>
          </w:tcPr>
          <w:p>
            <w:pPr>
              <w:pStyle w:val="TableParagraph"/>
              <w:rPr>
                <w:rFonts w:ascii="Times New Roman"/>
                <w:sz w:val="20"/>
              </w:rPr>
            </w:pPr>
          </w:p>
        </w:tc>
      </w:tr>
      <w:tr>
        <w:trPr>
          <w:trHeight w:val="1021" w:hRule="atLeast"/>
        </w:trPr>
        <w:tc>
          <w:tcPr>
            <w:tcW w:w="8322" w:type="dxa"/>
          </w:tcPr>
          <w:p>
            <w:pPr>
              <w:pStyle w:val="TableParagraph"/>
              <w:spacing w:line="273" w:lineRule="auto" w:before="131"/>
              <w:ind w:left="50" w:right="174"/>
              <w:jc w:val="both"/>
              <w:rPr>
                <w:sz w:val="20"/>
              </w:rPr>
            </w:pPr>
            <w:r>
              <w:rPr>
                <w:sz w:val="20"/>
              </w:rPr>
              <w:t>Supervised institutions that engage in algorithmic trading (see margin no. 18) must employ effective</w:t>
            </w:r>
            <w:r>
              <w:rPr>
                <w:spacing w:val="-10"/>
                <w:sz w:val="20"/>
              </w:rPr>
              <w:t> </w:t>
            </w:r>
            <w:r>
              <w:rPr>
                <w:sz w:val="20"/>
              </w:rPr>
              <w:t>systems</w:t>
            </w:r>
            <w:r>
              <w:rPr>
                <w:spacing w:val="-11"/>
                <w:sz w:val="20"/>
              </w:rPr>
              <w:t> </w:t>
            </w:r>
            <w:r>
              <w:rPr>
                <w:sz w:val="20"/>
              </w:rPr>
              <w:t>and</w:t>
            </w:r>
            <w:r>
              <w:rPr>
                <w:spacing w:val="-12"/>
                <w:sz w:val="20"/>
              </w:rPr>
              <w:t> </w:t>
            </w:r>
            <w:r>
              <w:rPr>
                <w:sz w:val="20"/>
              </w:rPr>
              <w:t>risk</w:t>
            </w:r>
            <w:r>
              <w:rPr>
                <w:spacing w:val="-11"/>
                <w:sz w:val="20"/>
              </w:rPr>
              <w:t> </w:t>
            </w:r>
            <w:r>
              <w:rPr>
                <w:sz w:val="20"/>
              </w:rPr>
              <w:t>controls</w:t>
            </w:r>
            <w:r>
              <w:rPr>
                <w:spacing w:val="-9"/>
                <w:sz w:val="20"/>
              </w:rPr>
              <w:t> </w:t>
            </w:r>
            <w:r>
              <w:rPr>
                <w:sz w:val="20"/>
              </w:rPr>
              <w:t>to</w:t>
            </w:r>
            <w:r>
              <w:rPr>
                <w:spacing w:val="-10"/>
                <w:sz w:val="20"/>
              </w:rPr>
              <w:t> </w:t>
            </w:r>
            <w:r>
              <w:rPr>
                <w:sz w:val="20"/>
              </w:rPr>
              <w:t>ensure</w:t>
            </w:r>
            <w:r>
              <w:rPr>
                <w:spacing w:val="-10"/>
                <w:sz w:val="20"/>
              </w:rPr>
              <w:t> </w:t>
            </w:r>
            <w:r>
              <w:rPr>
                <w:sz w:val="20"/>
              </w:rPr>
              <w:t>that</w:t>
            </w:r>
            <w:r>
              <w:rPr>
                <w:spacing w:val="-12"/>
                <w:sz w:val="20"/>
              </w:rPr>
              <w:t> </w:t>
            </w:r>
            <w:r>
              <w:rPr>
                <w:sz w:val="20"/>
              </w:rPr>
              <w:t>this</w:t>
            </w:r>
            <w:r>
              <w:rPr>
                <w:spacing w:val="-11"/>
                <w:sz w:val="20"/>
              </w:rPr>
              <w:t> </w:t>
            </w:r>
            <w:r>
              <w:rPr>
                <w:sz w:val="20"/>
              </w:rPr>
              <w:t>cannot</w:t>
            </w:r>
            <w:r>
              <w:rPr>
                <w:spacing w:val="-12"/>
                <w:sz w:val="20"/>
              </w:rPr>
              <w:t> </w:t>
            </w:r>
            <w:r>
              <w:rPr>
                <w:sz w:val="20"/>
              </w:rPr>
              <w:t>result</w:t>
            </w:r>
            <w:r>
              <w:rPr>
                <w:spacing w:val="-10"/>
                <w:sz w:val="20"/>
              </w:rPr>
              <w:t> </w:t>
            </w:r>
            <w:r>
              <w:rPr>
                <w:sz w:val="20"/>
              </w:rPr>
              <w:t>in</w:t>
            </w:r>
            <w:r>
              <w:rPr>
                <w:spacing w:val="-10"/>
                <w:sz w:val="20"/>
              </w:rPr>
              <w:t> </w:t>
            </w:r>
            <w:r>
              <w:rPr>
                <w:sz w:val="20"/>
              </w:rPr>
              <w:t>any</w:t>
            </w:r>
            <w:r>
              <w:rPr>
                <w:spacing w:val="-11"/>
                <w:sz w:val="20"/>
              </w:rPr>
              <w:t> </w:t>
            </w:r>
            <w:r>
              <w:rPr>
                <w:sz w:val="20"/>
              </w:rPr>
              <w:t>false</w:t>
            </w:r>
            <w:r>
              <w:rPr>
                <w:spacing w:val="-10"/>
                <w:sz w:val="20"/>
              </w:rPr>
              <w:t> </w:t>
            </w:r>
            <w:r>
              <w:rPr>
                <w:sz w:val="20"/>
              </w:rPr>
              <w:t>or</w:t>
            </w:r>
            <w:r>
              <w:rPr>
                <w:spacing w:val="-9"/>
                <w:sz w:val="20"/>
              </w:rPr>
              <w:t> </w:t>
            </w:r>
            <w:r>
              <w:rPr>
                <w:sz w:val="20"/>
              </w:rPr>
              <w:t>misleading signals regarding the supply of, demand for or market price of securities.</w:t>
            </w:r>
          </w:p>
        </w:tc>
        <w:tc>
          <w:tcPr>
            <w:tcW w:w="884" w:type="dxa"/>
          </w:tcPr>
          <w:p>
            <w:pPr>
              <w:pStyle w:val="TableParagraph"/>
              <w:spacing w:before="134"/>
              <w:ind w:right="49"/>
              <w:jc w:val="right"/>
              <w:rPr>
                <w:sz w:val="20"/>
              </w:rPr>
            </w:pPr>
            <w:r>
              <w:rPr>
                <w:spacing w:val="-5"/>
                <w:sz w:val="20"/>
              </w:rPr>
              <w:t>62</w:t>
            </w:r>
          </w:p>
        </w:tc>
      </w:tr>
      <w:tr>
        <w:trPr>
          <w:trHeight w:val="805" w:hRule="atLeast"/>
        </w:trPr>
        <w:tc>
          <w:tcPr>
            <w:tcW w:w="8322" w:type="dxa"/>
          </w:tcPr>
          <w:p>
            <w:pPr>
              <w:pStyle w:val="TableParagraph"/>
              <w:spacing w:line="273" w:lineRule="auto" w:before="130"/>
              <w:ind w:left="50" w:right="86"/>
              <w:rPr>
                <w:sz w:val="20"/>
              </w:rPr>
            </w:pPr>
            <w:r>
              <w:rPr>
                <w:sz w:val="20"/>
              </w:rPr>
              <w:t>Supervised</w:t>
            </w:r>
            <w:r>
              <w:rPr>
                <w:spacing w:val="-11"/>
                <w:sz w:val="20"/>
              </w:rPr>
              <w:t> </w:t>
            </w:r>
            <w:r>
              <w:rPr>
                <w:sz w:val="20"/>
              </w:rPr>
              <w:t>institutions</w:t>
            </w:r>
            <w:r>
              <w:rPr>
                <w:spacing w:val="-12"/>
                <w:sz w:val="20"/>
              </w:rPr>
              <w:t> </w:t>
            </w:r>
            <w:r>
              <w:rPr>
                <w:sz w:val="20"/>
              </w:rPr>
              <w:t>must</w:t>
            </w:r>
            <w:r>
              <w:rPr>
                <w:spacing w:val="-13"/>
                <w:sz w:val="20"/>
              </w:rPr>
              <w:t> </w:t>
            </w:r>
            <w:r>
              <w:rPr>
                <w:sz w:val="20"/>
              </w:rPr>
              <w:t>document</w:t>
            </w:r>
            <w:r>
              <w:rPr>
                <w:spacing w:val="-11"/>
                <w:sz w:val="20"/>
              </w:rPr>
              <w:t> </w:t>
            </w:r>
            <w:r>
              <w:rPr>
                <w:sz w:val="20"/>
              </w:rPr>
              <w:t>the</w:t>
            </w:r>
            <w:r>
              <w:rPr>
                <w:spacing w:val="-12"/>
                <w:sz w:val="20"/>
              </w:rPr>
              <w:t> </w:t>
            </w:r>
            <w:r>
              <w:rPr>
                <w:sz w:val="20"/>
              </w:rPr>
              <w:t>key</w:t>
            </w:r>
            <w:r>
              <w:rPr>
                <w:spacing w:val="-12"/>
                <w:sz w:val="20"/>
              </w:rPr>
              <w:t> </w:t>
            </w:r>
            <w:r>
              <w:rPr>
                <w:sz w:val="20"/>
              </w:rPr>
              <w:t>features</w:t>
            </w:r>
            <w:r>
              <w:rPr>
                <w:spacing w:val="-12"/>
                <w:sz w:val="20"/>
              </w:rPr>
              <w:t> </w:t>
            </w:r>
            <w:r>
              <w:rPr>
                <w:sz w:val="20"/>
              </w:rPr>
              <w:t>of</w:t>
            </w:r>
            <w:r>
              <w:rPr>
                <w:spacing w:val="-14"/>
                <w:sz w:val="20"/>
              </w:rPr>
              <w:t> </w:t>
            </w:r>
            <w:r>
              <w:rPr>
                <w:sz w:val="20"/>
              </w:rPr>
              <w:t>their</w:t>
            </w:r>
            <w:r>
              <w:rPr>
                <w:spacing w:val="-12"/>
                <w:sz w:val="20"/>
              </w:rPr>
              <w:t> </w:t>
            </w:r>
            <w:r>
              <w:rPr>
                <w:sz w:val="20"/>
              </w:rPr>
              <w:t>algorithmic</w:t>
            </w:r>
            <w:r>
              <w:rPr>
                <w:spacing w:val="-12"/>
                <w:sz w:val="20"/>
              </w:rPr>
              <w:t> </w:t>
            </w:r>
            <w:r>
              <w:rPr>
                <w:sz w:val="20"/>
              </w:rPr>
              <w:t>trading</w:t>
            </w:r>
            <w:r>
              <w:rPr>
                <w:spacing w:val="-11"/>
                <w:sz w:val="20"/>
              </w:rPr>
              <w:t> </w:t>
            </w:r>
            <w:r>
              <w:rPr>
                <w:sz w:val="20"/>
              </w:rPr>
              <w:t>strategies in a way that third parties can understand.</w:t>
            </w:r>
          </w:p>
        </w:tc>
        <w:tc>
          <w:tcPr>
            <w:tcW w:w="884" w:type="dxa"/>
          </w:tcPr>
          <w:p>
            <w:pPr>
              <w:pStyle w:val="TableParagraph"/>
              <w:spacing w:before="132"/>
              <w:ind w:right="49"/>
              <w:jc w:val="right"/>
              <w:rPr>
                <w:sz w:val="20"/>
              </w:rPr>
            </w:pPr>
            <w:r>
              <w:rPr>
                <w:spacing w:val="-5"/>
                <w:sz w:val="20"/>
              </w:rPr>
              <w:t>63</w:t>
            </w:r>
          </w:p>
        </w:tc>
      </w:tr>
      <w:tr>
        <w:trPr>
          <w:trHeight w:val="590" w:hRule="atLeast"/>
        </w:trPr>
        <w:tc>
          <w:tcPr>
            <w:tcW w:w="8322" w:type="dxa"/>
          </w:tcPr>
          <w:p>
            <w:pPr>
              <w:pStyle w:val="TableParagraph"/>
              <w:tabs>
                <w:tab w:pos="616" w:val="left" w:leader="none"/>
              </w:tabs>
              <w:spacing w:before="176"/>
              <w:ind w:left="50"/>
              <w:rPr>
                <w:sz w:val="24"/>
              </w:rPr>
            </w:pPr>
            <w:r>
              <w:rPr>
                <w:spacing w:val="-5"/>
                <w:sz w:val="24"/>
              </w:rPr>
              <w:t>H.</w:t>
            </w:r>
            <w:r>
              <w:rPr>
                <w:sz w:val="24"/>
              </w:rPr>
              <w:tab/>
            </w:r>
            <w:r>
              <w:rPr>
                <w:spacing w:val="-2"/>
                <w:sz w:val="24"/>
              </w:rPr>
              <w:t>Audit</w:t>
            </w:r>
          </w:p>
        </w:tc>
        <w:tc>
          <w:tcPr>
            <w:tcW w:w="884" w:type="dxa"/>
          </w:tcPr>
          <w:p>
            <w:pPr>
              <w:pStyle w:val="TableParagraph"/>
              <w:rPr>
                <w:rFonts w:ascii="Times New Roman"/>
                <w:sz w:val="20"/>
              </w:rPr>
            </w:pPr>
          </w:p>
        </w:tc>
      </w:tr>
      <w:tr>
        <w:trPr>
          <w:trHeight w:val="1646" w:hRule="atLeast"/>
        </w:trPr>
        <w:tc>
          <w:tcPr>
            <w:tcW w:w="8322" w:type="dxa"/>
          </w:tcPr>
          <w:p>
            <w:pPr>
              <w:pStyle w:val="TableParagraph"/>
              <w:spacing w:line="271" w:lineRule="auto" w:before="131"/>
              <w:ind w:left="50" w:right="166"/>
              <w:jc w:val="both"/>
              <w:rPr>
                <w:sz w:val="20"/>
              </w:rPr>
            </w:pPr>
            <w:r>
              <w:rPr>
                <w:sz w:val="20"/>
              </w:rPr>
              <w:t>The organisational requirements for supervised institutions are audited in accordance with FINMA-Circ. 13/3 “Auditing”, those for securities firms by audit firms engaged under Article 63</w:t>
            </w:r>
            <w:r>
              <w:rPr>
                <w:spacing w:val="-9"/>
                <w:sz w:val="20"/>
              </w:rPr>
              <w:t> </w:t>
            </w:r>
            <w:r>
              <w:rPr>
                <w:sz w:val="20"/>
              </w:rPr>
              <w:t>FinIA.</w:t>
            </w:r>
            <w:r>
              <w:rPr>
                <w:spacing w:val="-6"/>
                <w:sz w:val="20"/>
              </w:rPr>
              <w:t> </w:t>
            </w:r>
            <w:r>
              <w:rPr>
                <w:sz w:val="20"/>
              </w:rPr>
              <w:t>Where</w:t>
            </w:r>
            <w:r>
              <w:rPr>
                <w:spacing w:val="-8"/>
                <w:sz w:val="20"/>
              </w:rPr>
              <w:t> </w:t>
            </w:r>
            <w:r>
              <w:rPr>
                <w:sz w:val="20"/>
              </w:rPr>
              <w:t>violations</w:t>
            </w:r>
            <w:r>
              <w:rPr>
                <w:spacing w:val="-5"/>
                <w:sz w:val="20"/>
              </w:rPr>
              <w:t> </w:t>
            </w:r>
            <w:r>
              <w:rPr>
                <w:sz w:val="20"/>
              </w:rPr>
              <w:t>of</w:t>
            </w:r>
            <w:r>
              <w:rPr>
                <w:spacing w:val="-9"/>
                <w:sz w:val="20"/>
              </w:rPr>
              <w:t> </w:t>
            </w:r>
            <w:r>
              <w:rPr>
                <w:sz w:val="20"/>
              </w:rPr>
              <w:t>market</w:t>
            </w:r>
            <w:r>
              <w:rPr>
                <w:spacing w:val="-9"/>
                <w:sz w:val="20"/>
              </w:rPr>
              <w:t> </w:t>
            </w:r>
            <w:r>
              <w:rPr>
                <w:sz w:val="20"/>
              </w:rPr>
              <w:t>conduct</w:t>
            </w:r>
            <w:r>
              <w:rPr>
                <w:spacing w:val="-9"/>
                <w:sz w:val="20"/>
              </w:rPr>
              <w:t> </w:t>
            </w:r>
            <w:r>
              <w:rPr>
                <w:sz w:val="20"/>
              </w:rPr>
              <w:t>rules</w:t>
            </w:r>
            <w:r>
              <w:rPr>
                <w:spacing w:val="-6"/>
                <w:sz w:val="20"/>
              </w:rPr>
              <w:t> </w:t>
            </w:r>
            <w:r>
              <w:rPr>
                <w:sz w:val="20"/>
              </w:rPr>
              <w:t>are</w:t>
            </w:r>
            <w:r>
              <w:rPr>
                <w:spacing w:val="-6"/>
                <w:sz w:val="20"/>
              </w:rPr>
              <w:t> </w:t>
            </w:r>
            <w:r>
              <w:rPr>
                <w:sz w:val="20"/>
              </w:rPr>
              <w:t>detected</w:t>
            </w:r>
            <w:r>
              <w:rPr>
                <w:spacing w:val="-7"/>
                <w:sz w:val="20"/>
              </w:rPr>
              <w:t> </w:t>
            </w:r>
            <w:r>
              <w:rPr>
                <w:sz w:val="20"/>
              </w:rPr>
              <w:t>during</w:t>
            </w:r>
            <w:r>
              <w:rPr>
                <w:spacing w:val="-7"/>
                <w:sz w:val="20"/>
              </w:rPr>
              <w:t> </w:t>
            </w:r>
            <w:r>
              <w:rPr>
                <w:sz w:val="20"/>
              </w:rPr>
              <w:t>the</w:t>
            </w:r>
            <w:r>
              <w:rPr>
                <w:spacing w:val="-9"/>
                <w:sz w:val="20"/>
              </w:rPr>
              <w:t> </w:t>
            </w:r>
            <w:r>
              <w:rPr>
                <w:sz w:val="20"/>
              </w:rPr>
              <w:t>audit,</w:t>
            </w:r>
            <w:r>
              <w:rPr>
                <w:spacing w:val="-7"/>
                <w:sz w:val="20"/>
              </w:rPr>
              <w:t> </w:t>
            </w:r>
            <w:r>
              <w:rPr>
                <w:sz w:val="20"/>
              </w:rPr>
              <w:t>these</w:t>
            </w:r>
            <w:r>
              <w:rPr>
                <w:spacing w:val="-7"/>
                <w:sz w:val="20"/>
              </w:rPr>
              <w:t> </w:t>
            </w:r>
            <w:r>
              <w:rPr>
                <w:sz w:val="20"/>
              </w:rPr>
              <w:t>must be</w:t>
            </w:r>
            <w:r>
              <w:rPr>
                <w:spacing w:val="-5"/>
                <w:sz w:val="20"/>
              </w:rPr>
              <w:t> </w:t>
            </w:r>
            <w:r>
              <w:rPr>
                <w:sz w:val="20"/>
              </w:rPr>
              <w:t>reported</w:t>
            </w:r>
            <w:r>
              <w:rPr>
                <w:spacing w:val="-2"/>
                <w:sz w:val="20"/>
              </w:rPr>
              <w:t> </w:t>
            </w:r>
            <w:r>
              <w:rPr>
                <w:sz w:val="20"/>
              </w:rPr>
              <w:t>to</w:t>
            </w:r>
            <w:r>
              <w:rPr>
                <w:spacing w:val="-5"/>
                <w:sz w:val="20"/>
              </w:rPr>
              <w:t> </w:t>
            </w:r>
            <w:r>
              <w:rPr>
                <w:sz w:val="20"/>
              </w:rPr>
              <w:t>FINMA</w:t>
            </w:r>
            <w:r>
              <w:rPr>
                <w:spacing w:val="-3"/>
                <w:sz w:val="20"/>
              </w:rPr>
              <w:t> </w:t>
            </w:r>
            <w:r>
              <w:rPr>
                <w:sz w:val="20"/>
              </w:rPr>
              <w:t>in</w:t>
            </w:r>
            <w:r>
              <w:rPr>
                <w:spacing w:val="-2"/>
                <w:sz w:val="20"/>
              </w:rPr>
              <w:t> </w:t>
            </w:r>
            <w:r>
              <w:rPr>
                <w:sz w:val="20"/>
              </w:rPr>
              <w:t>accordance</w:t>
            </w:r>
            <w:r>
              <w:rPr>
                <w:spacing w:val="-4"/>
                <w:sz w:val="20"/>
              </w:rPr>
              <w:t> </w:t>
            </w:r>
            <w:r>
              <w:rPr>
                <w:sz w:val="20"/>
              </w:rPr>
              <w:t>with</w:t>
            </w:r>
            <w:r>
              <w:rPr>
                <w:spacing w:val="-2"/>
                <w:sz w:val="20"/>
              </w:rPr>
              <w:t> </w:t>
            </w:r>
            <w:r>
              <w:rPr>
                <w:sz w:val="20"/>
              </w:rPr>
              <w:t>Article</w:t>
            </w:r>
            <w:r>
              <w:rPr>
                <w:spacing w:val="-4"/>
                <w:sz w:val="20"/>
              </w:rPr>
              <w:t> </w:t>
            </w:r>
            <w:r>
              <w:rPr>
                <w:sz w:val="20"/>
              </w:rPr>
              <w:t>27</w:t>
            </w:r>
            <w:r>
              <w:rPr>
                <w:spacing w:val="-4"/>
                <w:sz w:val="20"/>
              </w:rPr>
              <w:t> </w:t>
            </w:r>
            <w:r>
              <w:rPr>
                <w:sz w:val="20"/>
              </w:rPr>
              <w:t>FINMASA</w:t>
            </w:r>
            <w:r>
              <w:rPr>
                <w:spacing w:val="-2"/>
                <w:sz w:val="20"/>
              </w:rPr>
              <w:t> </w:t>
            </w:r>
            <w:r>
              <w:rPr>
                <w:sz w:val="20"/>
              </w:rPr>
              <w:t>or</w:t>
            </w:r>
            <w:r>
              <w:rPr>
                <w:spacing w:val="-4"/>
                <w:sz w:val="20"/>
              </w:rPr>
              <w:t> </w:t>
            </w:r>
            <w:r>
              <w:rPr>
                <w:sz w:val="20"/>
              </w:rPr>
              <w:t>Article</w:t>
            </w:r>
            <w:r>
              <w:rPr>
                <w:spacing w:val="-2"/>
                <w:sz w:val="20"/>
              </w:rPr>
              <w:t> </w:t>
            </w:r>
            <w:r>
              <w:rPr>
                <w:sz w:val="20"/>
              </w:rPr>
              <w:t>30</w:t>
            </w:r>
            <w:r>
              <w:rPr>
                <w:spacing w:val="-4"/>
                <w:sz w:val="20"/>
              </w:rPr>
              <w:t> </w:t>
            </w:r>
            <w:r>
              <w:rPr>
                <w:sz w:val="20"/>
              </w:rPr>
              <w:t>ISA</w:t>
            </w:r>
            <w:r>
              <w:rPr>
                <w:spacing w:val="-4"/>
                <w:sz w:val="20"/>
              </w:rPr>
              <w:t> </w:t>
            </w:r>
            <w:r>
              <w:rPr>
                <w:sz w:val="20"/>
              </w:rPr>
              <w:t>(SR</w:t>
            </w:r>
            <w:r>
              <w:rPr>
                <w:spacing w:val="-4"/>
                <w:sz w:val="20"/>
              </w:rPr>
              <w:t> </w:t>
            </w:r>
            <w:r>
              <w:rPr>
                <w:sz w:val="20"/>
              </w:rPr>
              <w:t>961.01) and mentioned in the audit report.</w:t>
            </w:r>
          </w:p>
        </w:tc>
        <w:tc>
          <w:tcPr>
            <w:tcW w:w="884" w:type="dxa"/>
          </w:tcPr>
          <w:p>
            <w:pPr>
              <w:pStyle w:val="TableParagraph"/>
              <w:spacing w:before="134"/>
              <w:ind w:right="48"/>
              <w:jc w:val="right"/>
              <w:rPr>
                <w:sz w:val="20"/>
              </w:rPr>
            </w:pPr>
            <w:r>
              <w:rPr>
                <w:spacing w:val="-5"/>
                <w:sz w:val="20"/>
              </w:rPr>
              <w:t>64*</w:t>
            </w:r>
          </w:p>
        </w:tc>
      </w:tr>
      <w:tr>
        <w:trPr>
          <w:trHeight w:val="650" w:hRule="atLeast"/>
        </w:trPr>
        <w:tc>
          <w:tcPr>
            <w:tcW w:w="8322" w:type="dxa"/>
          </w:tcPr>
          <w:p>
            <w:pPr>
              <w:pStyle w:val="TableParagraph"/>
              <w:spacing w:before="235"/>
              <w:ind w:left="50"/>
              <w:rPr>
                <w:b/>
                <w:i/>
                <w:sz w:val="24"/>
              </w:rPr>
            </w:pPr>
            <w:r>
              <w:rPr>
                <w:b/>
                <w:sz w:val="24"/>
              </w:rPr>
              <w:t>VIII.</w:t>
            </w:r>
            <w:r>
              <w:rPr>
                <w:b/>
                <w:spacing w:val="70"/>
                <w:sz w:val="24"/>
              </w:rPr>
              <w:t> </w:t>
            </w:r>
            <w:r>
              <w:rPr>
                <w:b/>
                <w:i/>
                <w:spacing w:val="-2"/>
                <w:sz w:val="24"/>
              </w:rPr>
              <w:t>Abrogated</w:t>
            </w:r>
          </w:p>
        </w:tc>
        <w:tc>
          <w:tcPr>
            <w:tcW w:w="884" w:type="dxa"/>
          </w:tcPr>
          <w:p>
            <w:pPr>
              <w:pStyle w:val="TableParagraph"/>
              <w:rPr>
                <w:rFonts w:ascii="Times New Roman"/>
                <w:sz w:val="20"/>
              </w:rPr>
            </w:pPr>
          </w:p>
        </w:tc>
      </w:tr>
      <w:tr>
        <w:trPr>
          <w:trHeight w:val="361" w:hRule="atLeast"/>
        </w:trPr>
        <w:tc>
          <w:tcPr>
            <w:tcW w:w="8322" w:type="dxa"/>
          </w:tcPr>
          <w:p>
            <w:pPr>
              <w:pStyle w:val="TableParagraph"/>
              <w:spacing w:line="210" w:lineRule="exact" w:before="131"/>
              <w:ind w:left="50"/>
              <w:rPr>
                <w:sz w:val="20"/>
              </w:rPr>
            </w:pPr>
            <w:r>
              <w:rPr>
                <w:spacing w:val="-2"/>
                <w:sz w:val="20"/>
              </w:rPr>
              <w:t>Abrogated</w:t>
            </w:r>
          </w:p>
        </w:tc>
        <w:tc>
          <w:tcPr>
            <w:tcW w:w="884" w:type="dxa"/>
          </w:tcPr>
          <w:p>
            <w:pPr>
              <w:pStyle w:val="TableParagraph"/>
              <w:spacing w:line="210" w:lineRule="exact" w:before="131"/>
              <w:ind w:right="48"/>
              <w:jc w:val="right"/>
              <w:rPr>
                <w:sz w:val="20"/>
              </w:rPr>
            </w:pPr>
            <w:r>
              <w:rPr>
                <w:spacing w:val="-2"/>
                <w:sz w:val="20"/>
              </w:rPr>
              <w:t>65*-</w:t>
            </w:r>
            <w:r>
              <w:rPr>
                <w:spacing w:val="-5"/>
                <w:sz w:val="20"/>
              </w:rPr>
              <w:t>67*</w:t>
            </w:r>
          </w:p>
        </w:tc>
      </w:tr>
    </w:tbl>
    <w:p>
      <w:pPr>
        <w:pStyle w:val="TableParagraph"/>
        <w:spacing w:after="0" w:line="210" w:lineRule="exact"/>
        <w:jc w:val="right"/>
        <w:rPr>
          <w:sz w:val="20"/>
        </w:rPr>
        <w:sectPr>
          <w:pgSz w:w="11900" w:h="16850"/>
          <w:pgMar w:header="828" w:footer="318" w:top="1400" w:bottom="500" w:left="1559" w:right="850"/>
        </w:sectPr>
      </w:pPr>
    </w:p>
    <w:p>
      <w:pPr>
        <w:spacing w:before="218"/>
        <w:ind w:left="143" w:right="0" w:firstLine="0"/>
        <w:jc w:val="left"/>
        <w:rPr>
          <w:b/>
          <w:sz w:val="42"/>
        </w:rPr>
      </w:pPr>
      <w:r>
        <w:rPr>
          <w:b/>
          <w:sz w:val="42"/>
        </w:rPr>
        <w:drawing>
          <wp:anchor distT="0" distB="0" distL="0" distR="0" allowOverlap="1" layoutInCell="1" locked="0" behindDoc="0" simplePos="0" relativeHeight="15730688">
            <wp:simplePos x="0" y="0"/>
            <wp:positionH relativeFrom="page">
              <wp:posOffset>5220970</wp:posOffset>
            </wp:positionH>
            <wp:positionV relativeFrom="paragraph">
              <wp:posOffset>4572</wp:posOffset>
            </wp:positionV>
            <wp:extent cx="1610101" cy="363696"/>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8" cstate="print"/>
                    <a:stretch>
                      <a:fillRect/>
                    </a:stretch>
                  </pic:blipFill>
                  <pic:spPr>
                    <a:xfrm>
                      <a:off x="0" y="0"/>
                      <a:ext cx="1610101" cy="363696"/>
                    </a:xfrm>
                    <a:prstGeom prst="rect">
                      <a:avLst/>
                    </a:prstGeom>
                  </pic:spPr>
                </pic:pic>
              </a:graphicData>
            </a:graphic>
          </wp:anchor>
        </w:drawing>
      </w:r>
      <w:r>
        <w:rPr>
          <w:b/>
          <w:sz w:val="42"/>
        </w:rPr>
        <w:t>List</w:t>
      </w:r>
      <w:r>
        <w:rPr>
          <w:b/>
          <w:spacing w:val="16"/>
          <w:sz w:val="42"/>
        </w:rPr>
        <w:t> </w:t>
      </w:r>
      <w:r>
        <w:rPr>
          <w:b/>
          <w:sz w:val="42"/>
        </w:rPr>
        <w:t>of</w:t>
      </w:r>
      <w:r>
        <w:rPr>
          <w:b/>
          <w:spacing w:val="16"/>
          <w:sz w:val="42"/>
        </w:rPr>
        <w:t> </w:t>
      </w:r>
      <w:r>
        <w:rPr>
          <w:b/>
          <w:spacing w:val="-2"/>
          <w:sz w:val="42"/>
        </w:rPr>
        <w:t>modifications</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07"/>
        <w:rPr>
          <w:b/>
          <w:sz w:val="20"/>
        </w:rPr>
      </w:pPr>
    </w:p>
    <w:p>
      <w:pPr>
        <w:spacing w:before="0"/>
        <w:ind w:left="143" w:right="0" w:firstLine="0"/>
        <w:jc w:val="left"/>
        <w:rPr>
          <w:b/>
          <w:sz w:val="20"/>
        </w:rPr>
      </w:pPr>
      <w:r>
        <w:rPr>
          <w:b/>
          <w:sz w:val="20"/>
        </w:rPr>
        <w:t>This</w:t>
      </w:r>
      <w:r>
        <w:rPr>
          <w:b/>
          <w:spacing w:val="-9"/>
          <w:sz w:val="20"/>
        </w:rPr>
        <w:t> </w:t>
      </w:r>
      <w:r>
        <w:rPr>
          <w:b/>
          <w:sz w:val="20"/>
        </w:rPr>
        <w:t>Circular</w:t>
      </w:r>
      <w:r>
        <w:rPr>
          <w:b/>
          <w:spacing w:val="-5"/>
          <w:sz w:val="20"/>
        </w:rPr>
        <w:t> </w:t>
      </w:r>
      <w:r>
        <w:rPr>
          <w:b/>
          <w:sz w:val="20"/>
        </w:rPr>
        <w:t>has</w:t>
      </w:r>
      <w:r>
        <w:rPr>
          <w:b/>
          <w:spacing w:val="-7"/>
          <w:sz w:val="20"/>
        </w:rPr>
        <w:t> </w:t>
      </w:r>
      <w:r>
        <w:rPr>
          <w:b/>
          <w:sz w:val="20"/>
        </w:rPr>
        <w:t>been</w:t>
      </w:r>
      <w:r>
        <w:rPr>
          <w:b/>
          <w:spacing w:val="-7"/>
          <w:sz w:val="20"/>
        </w:rPr>
        <w:t> </w:t>
      </w:r>
      <w:r>
        <w:rPr>
          <w:b/>
          <w:sz w:val="20"/>
        </w:rPr>
        <w:t>modified</w:t>
      </w:r>
      <w:r>
        <w:rPr>
          <w:b/>
          <w:spacing w:val="-7"/>
          <w:sz w:val="20"/>
        </w:rPr>
        <w:t> </w:t>
      </w:r>
      <w:r>
        <w:rPr>
          <w:b/>
          <w:sz w:val="20"/>
        </w:rPr>
        <w:t>as</w:t>
      </w:r>
      <w:r>
        <w:rPr>
          <w:b/>
          <w:spacing w:val="-8"/>
          <w:sz w:val="20"/>
        </w:rPr>
        <w:t> </w:t>
      </w:r>
      <w:r>
        <w:rPr>
          <w:b/>
          <w:spacing w:val="-2"/>
          <w:sz w:val="20"/>
        </w:rPr>
        <w:t>follows:</w:t>
      </w:r>
    </w:p>
    <w:p>
      <w:pPr>
        <w:pStyle w:val="BodyText"/>
        <w:spacing w:before="8"/>
        <w:rPr>
          <w:b/>
          <w:sz w:val="20"/>
        </w:rPr>
      </w:pPr>
    </w:p>
    <w:p>
      <w:pPr>
        <w:spacing w:before="0"/>
        <w:ind w:left="143" w:right="0" w:firstLine="0"/>
        <w:jc w:val="left"/>
        <w:rPr>
          <w:sz w:val="20"/>
        </w:rPr>
      </w:pPr>
      <w:r>
        <w:rPr>
          <w:sz w:val="20"/>
        </w:rPr>
        <w:t>These</w:t>
      </w:r>
      <w:r>
        <w:rPr>
          <w:spacing w:val="-8"/>
          <w:sz w:val="20"/>
        </w:rPr>
        <w:t> </w:t>
      </w:r>
      <w:r>
        <w:rPr>
          <w:sz w:val="20"/>
        </w:rPr>
        <w:t>modifications</w:t>
      </w:r>
      <w:r>
        <w:rPr>
          <w:spacing w:val="-7"/>
          <w:sz w:val="20"/>
        </w:rPr>
        <w:t> </w:t>
      </w:r>
      <w:r>
        <w:rPr>
          <w:sz w:val="20"/>
        </w:rPr>
        <w:t>were</w:t>
      </w:r>
      <w:r>
        <w:rPr>
          <w:spacing w:val="-5"/>
          <w:sz w:val="20"/>
        </w:rPr>
        <w:t> </w:t>
      </w:r>
      <w:r>
        <w:rPr>
          <w:sz w:val="20"/>
        </w:rPr>
        <w:t>adopted</w:t>
      </w:r>
      <w:r>
        <w:rPr>
          <w:spacing w:val="-8"/>
          <w:sz w:val="20"/>
        </w:rPr>
        <w:t> </w:t>
      </w:r>
      <w:r>
        <w:rPr>
          <w:sz w:val="20"/>
        </w:rPr>
        <w:t>on</w:t>
      </w:r>
      <w:r>
        <w:rPr>
          <w:spacing w:val="-8"/>
          <w:sz w:val="20"/>
        </w:rPr>
        <w:t> </w:t>
      </w:r>
      <w:r>
        <w:rPr>
          <w:sz w:val="20"/>
        </w:rPr>
        <w:t>12</w:t>
      </w:r>
      <w:r>
        <w:rPr>
          <w:spacing w:val="-7"/>
          <w:sz w:val="20"/>
        </w:rPr>
        <w:t> </w:t>
      </w:r>
      <w:r>
        <w:rPr>
          <w:sz w:val="20"/>
        </w:rPr>
        <w:t>August</w:t>
      </w:r>
      <w:r>
        <w:rPr>
          <w:spacing w:val="-6"/>
          <w:sz w:val="20"/>
        </w:rPr>
        <w:t> </w:t>
      </w:r>
      <w:r>
        <w:rPr>
          <w:spacing w:val="-4"/>
          <w:sz w:val="20"/>
        </w:rPr>
        <w:t>2016</w:t>
      </w:r>
    </w:p>
    <w:p>
      <w:pPr>
        <w:pStyle w:val="BodyText"/>
        <w:spacing w:before="10"/>
        <w:rPr>
          <w:sz w:val="20"/>
        </w:rPr>
      </w:pPr>
    </w:p>
    <w:p>
      <w:pPr>
        <w:spacing w:before="0"/>
        <w:ind w:left="851" w:right="174" w:firstLine="0"/>
        <w:jc w:val="both"/>
        <w:rPr>
          <w:i/>
          <w:sz w:val="20"/>
        </w:rPr>
      </w:pPr>
      <w:r>
        <w:rPr>
          <w:i/>
          <w:sz w:val="20"/>
        </w:rPr>
        <w:t>The adjustments and references to financial market infrastructure law in this circular are based on</w:t>
      </w:r>
      <w:r>
        <w:rPr>
          <w:i/>
          <w:spacing w:val="-14"/>
          <w:sz w:val="20"/>
        </w:rPr>
        <w:t> </w:t>
      </w:r>
      <w:r>
        <w:rPr>
          <w:i/>
          <w:sz w:val="20"/>
        </w:rPr>
        <w:t>the</w:t>
      </w:r>
      <w:r>
        <w:rPr>
          <w:i/>
          <w:spacing w:val="-14"/>
          <w:sz w:val="20"/>
        </w:rPr>
        <w:t> </w:t>
      </w:r>
      <w:r>
        <w:rPr>
          <w:i/>
          <w:sz w:val="20"/>
        </w:rPr>
        <w:t>Financial</w:t>
      </w:r>
      <w:r>
        <w:rPr>
          <w:i/>
          <w:spacing w:val="-14"/>
          <w:sz w:val="20"/>
        </w:rPr>
        <w:t> </w:t>
      </w:r>
      <w:r>
        <w:rPr>
          <w:i/>
          <w:sz w:val="20"/>
        </w:rPr>
        <w:t>Market</w:t>
      </w:r>
      <w:r>
        <w:rPr>
          <w:i/>
          <w:spacing w:val="-14"/>
          <w:sz w:val="20"/>
        </w:rPr>
        <w:t> </w:t>
      </w:r>
      <w:r>
        <w:rPr>
          <w:i/>
          <w:sz w:val="20"/>
        </w:rPr>
        <w:t>Infrastructure</w:t>
      </w:r>
      <w:r>
        <w:rPr>
          <w:i/>
          <w:spacing w:val="-14"/>
          <w:sz w:val="20"/>
        </w:rPr>
        <w:t> </w:t>
      </w:r>
      <w:r>
        <w:rPr>
          <w:i/>
          <w:sz w:val="20"/>
        </w:rPr>
        <w:t>Act</w:t>
      </w:r>
      <w:r>
        <w:rPr>
          <w:i/>
          <w:spacing w:val="-14"/>
          <w:sz w:val="20"/>
        </w:rPr>
        <w:t> </w:t>
      </w:r>
      <w:r>
        <w:rPr>
          <w:i/>
          <w:sz w:val="20"/>
        </w:rPr>
        <w:t>of</w:t>
      </w:r>
      <w:r>
        <w:rPr>
          <w:i/>
          <w:spacing w:val="-14"/>
          <w:sz w:val="20"/>
        </w:rPr>
        <w:t> </w:t>
      </w:r>
      <w:r>
        <w:rPr>
          <w:i/>
          <w:sz w:val="20"/>
        </w:rPr>
        <w:t>19</w:t>
      </w:r>
      <w:r>
        <w:rPr>
          <w:i/>
          <w:spacing w:val="-14"/>
          <w:sz w:val="20"/>
        </w:rPr>
        <w:t> </w:t>
      </w:r>
      <w:r>
        <w:rPr>
          <w:i/>
          <w:sz w:val="20"/>
        </w:rPr>
        <w:t>June</w:t>
      </w:r>
      <w:r>
        <w:rPr>
          <w:i/>
          <w:spacing w:val="-14"/>
          <w:sz w:val="20"/>
        </w:rPr>
        <w:t> </w:t>
      </w:r>
      <w:r>
        <w:rPr>
          <w:i/>
          <w:sz w:val="20"/>
        </w:rPr>
        <w:t>2015</w:t>
      </w:r>
      <w:r>
        <w:rPr>
          <w:i/>
          <w:spacing w:val="-13"/>
          <w:sz w:val="20"/>
        </w:rPr>
        <w:t> </w:t>
      </w:r>
      <w:r>
        <w:rPr>
          <w:i/>
          <w:sz w:val="20"/>
        </w:rPr>
        <w:t>and</w:t>
      </w:r>
      <w:r>
        <w:rPr>
          <w:i/>
          <w:spacing w:val="-14"/>
          <w:sz w:val="20"/>
        </w:rPr>
        <w:t> </w:t>
      </w:r>
      <w:r>
        <w:rPr>
          <w:i/>
          <w:sz w:val="20"/>
        </w:rPr>
        <w:t>the</w:t>
      </w:r>
      <w:r>
        <w:rPr>
          <w:i/>
          <w:spacing w:val="-14"/>
          <w:sz w:val="20"/>
        </w:rPr>
        <w:t> </w:t>
      </w:r>
      <w:r>
        <w:rPr>
          <w:i/>
          <w:sz w:val="20"/>
        </w:rPr>
        <w:t>Financial</w:t>
      </w:r>
      <w:r>
        <w:rPr>
          <w:i/>
          <w:spacing w:val="-14"/>
          <w:sz w:val="20"/>
        </w:rPr>
        <w:t> </w:t>
      </w:r>
      <w:r>
        <w:rPr>
          <w:i/>
          <w:sz w:val="20"/>
        </w:rPr>
        <w:t>Market</w:t>
      </w:r>
      <w:r>
        <w:rPr>
          <w:i/>
          <w:spacing w:val="-14"/>
          <w:sz w:val="20"/>
        </w:rPr>
        <w:t> </w:t>
      </w:r>
      <w:r>
        <w:rPr>
          <w:i/>
          <w:sz w:val="20"/>
        </w:rPr>
        <w:t>Infrastructure Ordinance of 25 November 2015.</w:t>
      </w:r>
    </w:p>
    <w:p>
      <w:pPr>
        <w:pStyle w:val="BodyText"/>
        <w:spacing w:before="10"/>
        <w:rPr>
          <w:i/>
          <w:sz w:val="20"/>
        </w:rPr>
      </w:pPr>
    </w:p>
    <w:p>
      <w:pPr>
        <w:spacing w:before="0"/>
        <w:ind w:left="851" w:right="0" w:firstLine="0"/>
        <w:jc w:val="both"/>
        <w:rPr>
          <w:sz w:val="20"/>
        </w:rPr>
      </w:pPr>
      <w:r>
        <w:rPr>
          <w:sz w:val="20"/>
        </w:rPr>
        <w:t>modified</w:t>
      </w:r>
      <w:r>
        <w:rPr>
          <w:spacing w:val="-1"/>
          <w:sz w:val="20"/>
        </w:rPr>
        <w:t> </w:t>
      </w:r>
      <w:r>
        <w:rPr>
          <w:sz w:val="20"/>
        </w:rPr>
        <w:t>margin</w:t>
      </w:r>
      <w:r>
        <w:rPr>
          <w:spacing w:val="-2"/>
          <w:sz w:val="20"/>
        </w:rPr>
        <w:t> </w:t>
      </w:r>
      <w:r>
        <w:rPr>
          <w:sz w:val="20"/>
        </w:rPr>
        <w:t>nos.</w:t>
      </w:r>
      <w:r>
        <w:rPr>
          <w:spacing w:val="78"/>
          <w:sz w:val="20"/>
        </w:rPr>
        <w:t>    </w:t>
      </w:r>
      <w:r>
        <w:rPr>
          <w:sz w:val="20"/>
        </w:rPr>
        <w:t>3, 4,</w:t>
      </w:r>
      <w:r>
        <w:rPr>
          <w:spacing w:val="-1"/>
          <w:sz w:val="20"/>
        </w:rPr>
        <w:t> </w:t>
      </w:r>
      <w:r>
        <w:rPr>
          <w:sz w:val="20"/>
        </w:rPr>
        <w:t>7,</w:t>
      </w:r>
      <w:r>
        <w:rPr>
          <w:spacing w:val="-3"/>
          <w:sz w:val="20"/>
        </w:rPr>
        <w:t> </w:t>
      </w:r>
      <w:r>
        <w:rPr>
          <w:sz w:val="20"/>
        </w:rPr>
        <w:t>12,</w:t>
      </w:r>
      <w:r>
        <w:rPr>
          <w:spacing w:val="-3"/>
          <w:sz w:val="20"/>
        </w:rPr>
        <w:t> </w:t>
      </w:r>
      <w:r>
        <w:rPr>
          <w:sz w:val="20"/>
        </w:rPr>
        <w:t>14,</w:t>
      </w:r>
      <w:r>
        <w:rPr>
          <w:spacing w:val="-3"/>
          <w:sz w:val="20"/>
        </w:rPr>
        <w:t> </w:t>
      </w:r>
      <w:r>
        <w:rPr>
          <w:sz w:val="20"/>
        </w:rPr>
        <w:t>33,</w:t>
      </w:r>
      <w:r>
        <w:rPr>
          <w:spacing w:val="-3"/>
          <w:sz w:val="20"/>
        </w:rPr>
        <w:t> </w:t>
      </w:r>
      <w:r>
        <w:rPr>
          <w:sz w:val="20"/>
        </w:rPr>
        <w:t>36,</w:t>
      </w:r>
      <w:r>
        <w:rPr>
          <w:spacing w:val="-2"/>
          <w:sz w:val="20"/>
        </w:rPr>
        <w:t> </w:t>
      </w:r>
      <w:r>
        <w:rPr>
          <w:sz w:val="20"/>
        </w:rPr>
        <w:t>41,</w:t>
      </w:r>
      <w:r>
        <w:rPr>
          <w:spacing w:val="-3"/>
          <w:sz w:val="20"/>
        </w:rPr>
        <w:t> </w:t>
      </w:r>
      <w:r>
        <w:rPr>
          <w:sz w:val="20"/>
        </w:rPr>
        <w:t>43,</w:t>
      </w:r>
      <w:r>
        <w:rPr>
          <w:spacing w:val="-3"/>
          <w:sz w:val="20"/>
        </w:rPr>
        <w:t> </w:t>
      </w:r>
      <w:r>
        <w:rPr>
          <w:sz w:val="20"/>
        </w:rPr>
        <w:t>50,</w:t>
      </w:r>
      <w:r>
        <w:rPr>
          <w:spacing w:val="-3"/>
          <w:sz w:val="20"/>
        </w:rPr>
        <w:t> </w:t>
      </w:r>
      <w:r>
        <w:rPr>
          <w:spacing w:val="-7"/>
          <w:sz w:val="20"/>
        </w:rPr>
        <w:t>64</w:t>
      </w:r>
    </w:p>
    <w:p>
      <w:pPr>
        <w:pStyle w:val="BodyText"/>
        <w:spacing w:before="10"/>
        <w:rPr>
          <w:sz w:val="20"/>
        </w:rPr>
      </w:pPr>
    </w:p>
    <w:p>
      <w:pPr>
        <w:spacing w:before="0"/>
        <w:ind w:left="851" w:right="0" w:firstLine="0"/>
        <w:jc w:val="both"/>
        <w:rPr>
          <w:sz w:val="20"/>
        </w:rPr>
      </w:pPr>
      <w:r>
        <w:rPr>
          <w:sz w:val="20"/>
        </w:rPr>
        <w:t>abrogated</w:t>
      </w:r>
      <w:r>
        <w:rPr>
          <w:spacing w:val="-2"/>
          <w:sz w:val="20"/>
        </w:rPr>
        <w:t> </w:t>
      </w:r>
      <w:r>
        <w:rPr>
          <w:sz w:val="20"/>
        </w:rPr>
        <w:t>margin</w:t>
      </w:r>
      <w:r>
        <w:rPr>
          <w:spacing w:val="-1"/>
          <w:sz w:val="20"/>
        </w:rPr>
        <w:t> </w:t>
      </w:r>
      <w:r>
        <w:rPr>
          <w:sz w:val="20"/>
        </w:rPr>
        <w:t>nos.</w:t>
      </w:r>
      <w:r>
        <w:rPr>
          <w:spacing w:val="74"/>
          <w:sz w:val="20"/>
        </w:rPr>
        <w:t>   </w:t>
      </w:r>
      <w:r>
        <w:rPr>
          <w:sz w:val="20"/>
        </w:rPr>
        <w:t>65,</w:t>
      </w:r>
      <w:r>
        <w:rPr>
          <w:spacing w:val="-2"/>
          <w:sz w:val="20"/>
        </w:rPr>
        <w:t> </w:t>
      </w:r>
      <w:r>
        <w:rPr>
          <w:sz w:val="20"/>
        </w:rPr>
        <w:t>66,</w:t>
      </w:r>
      <w:r>
        <w:rPr>
          <w:spacing w:val="-4"/>
          <w:sz w:val="20"/>
        </w:rPr>
        <w:t> </w:t>
      </w:r>
      <w:r>
        <w:rPr>
          <w:spacing w:val="-5"/>
          <w:sz w:val="20"/>
        </w:rPr>
        <w:t>67</w:t>
      </w:r>
    </w:p>
    <w:p>
      <w:pPr>
        <w:tabs>
          <w:tab w:pos="3263" w:val="left" w:leader="none"/>
        </w:tabs>
        <w:spacing w:line="542" w:lineRule="auto" w:before="154"/>
        <w:ind w:left="851" w:right="483" w:hanging="708"/>
        <w:jc w:val="left"/>
        <w:rPr>
          <w:sz w:val="20"/>
        </w:rPr>
      </w:pPr>
      <w:r>
        <w:rPr>
          <w:sz w:val="20"/>
        </w:rPr>
        <w:t>These</w:t>
      </w:r>
      <w:r>
        <w:rPr>
          <w:spacing w:val="-4"/>
          <w:sz w:val="20"/>
        </w:rPr>
        <w:t> </w:t>
      </w:r>
      <w:r>
        <w:rPr>
          <w:sz w:val="20"/>
        </w:rPr>
        <w:t>modifications</w:t>
      </w:r>
      <w:r>
        <w:rPr>
          <w:spacing w:val="-3"/>
          <w:sz w:val="20"/>
        </w:rPr>
        <w:t> </w:t>
      </w:r>
      <w:r>
        <w:rPr>
          <w:sz w:val="20"/>
        </w:rPr>
        <w:t>were</w:t>
      </w:r>
      <w:r>
        <w:rPr>
          <w:spacing w:val="-4"/>
          <w:sz w:val="20"/>
        </w:rPr>
        <w:t> </w:t>
      </w:r>
      <w:r>
        <w:rPr>
          <w:sz w:val="20"/>
        </w:rPr>
        <w:t>adopted</w:t>
      </w:r>
      <w:r>
        <w:rPr>
          <w:spacing w:val="-5"/>
          <w:sz w:val="20"/>
        </w:rPr>
        <w:t> </w:t>
      </w:r>
      <w:r>
        <w:rPr>
          <w:sz w:val="20"/>
        </w:rPr>
        <w:t>on</w:t>
      </w:r>
      <w:r>
        <w:rPr>
          <w:spacing w:val="-4"/>
          <w:sz w:val="20"/>
        </w:rPr>
        <w:t> </w:t>
      </w:r>
      <w:r>
        <w:rPr>
          <w:sz w:val="20"/>
        </w:rPr>
        <w:t>4</w:t>
      </w:r>
      <w:r>
        <w:rPr>
          <w:spacing w:val="-2"/>
          <w:sz w:val="20"/>
        </w:rPr>
        <w:t> </w:t>
      </w:r>
      <w:r>
        <w:rPr>
          <w:sz w:val="20"/>
        </w:rPr>
        <w:t>November</w:t>
      </w:r>
      <w:r>
        <w:rPr>
          <w:spacing w:val="-3"/>
          <w:sz w:val="20"/>
        </w:rPr>
        <w:t> </w:t>
      </w:r>
      <w:r>
        <w:rPr>
          <w:sz w:val="20"/>
        </w:rPr>
        <w:t>2020</w:t>
      </w:r>
      <w:r>
        <w:rPr>
          <w:spacing w:val="-4"/>
          <w:sz w:val="20"/>
        </w:rPr>
        <w:t> </w:t>
      </w:r>
      <w:r>
        <w:rPr>
          <w:sz w:val="20"/>
        </w:rPr>
        <w:t>and</w:t>
      </w:r>
      <w:r>
        <w:rPr>
          <w:spacing w:val="-4"/>
          <w:sz w:val="20"/>
        </w:rPr>
        <w:t> </w:t>
      </w:r>
      <w:r>
        <w:rPr>
          <w:sz w:val="20"/>
        </w:rPr>
        <w:t>will</w:t>
      </w:r>
      <w:r>
        <w:rPr>
          <w:spacing w:val="-3"/>
          <w:sz w:val="20"/>
        </w:rPr>
        <w:t> </w:t>
      </w:r>
      <w:r>
        <w:rPr>
          <w:sz w:val="20"/>
        </w:rPr>
        <w:t>come</w:t>
      </w:r>
      <w:r>
        <w:rPr>
          <w:spacing w:val="-2"/>
          <w:sz w:val="20"/>
        </w:rPr>
        <w:t> </w:t>
      </w:r>
      <w:r>
        <w:rPr>
          <w:sz w:val="20"/>
        </w:rPr>
        <w:t>into</w:t>
      </w:r>
      <w:r>
        <w:rPr>
          <w:spacing w:val="-5"/>
          <w:sz w:val="20"/>
        </w:rPr>
        <w:t> </w:t>
      </w:r>
      <w:r>
        <w:rPr>
          <w:sz w:val="20"/>
        </w:rPr>
        <w:t>effect</w:t>
      </w:r>
      <w:r>
        <w:rPr>
          <w:spacing w:val="-2"/>
          <w:sz w:val="20"/>
        </w:rPr>
        <w:t> </w:t>
      </w:r>
      <w:r>
        <w:rPr>
          <w:sz w:val="20"/>
        </w:rPr>
        <w:t>on</w:t>
      </w:r>
      <w:r>
        <w:rPr>
          <w:spacing w:val="-5"/>
          <w:sz w:val="20"/>
        </w:rPr>
        <w:t> </w:t>
      </w:r>
      <w:r>
        <w:rPr>
          <w:sz w:val="20"/>
        </w:rPr>
        <w:t>1</w:t>
      </w:r>
      <w:r>
        <w:rPr>
          <w:spacing w:val="-4"/>
          <w:sz w:val="20"/>
        </w:rPr>
        <w:t> </w:t>
      </w:r>
      <w:r>
        <w:rPr>
          <w:sz w:val="20"/>
        </w:rPr>
        <w:t>January</w:t>
      </w:r>
      <w:r>
        <w:rPr>
          <w:spacing w:val="-2"/>
          <w:sz w:val="20"/>
        </w:rPr>
        <w:t> </w:t>
      </w:r>
      <w:r>
        <w:rPr>
          <w:sz w:val="20"/>
        </w:rPr>
        <w:t>2021 modified margin nos.</w:t>
        <w:tab/>
        <w:t>4, 22, 41, 64</w:t>
      </w:r>
    </w:p>
    <w:p>
      <w:pPr>
        <w:spacing w:before="2"/>
        <w:ind w:left="851" w:right="0" w:firstLine="0"/>
        <w:jc w:val="both"/>
        <w:rPr>
          <w:sz w:val="20"/>
        </w:rPr>
      </w:pPr>
      <w:r>
        <w:rPr>
          <w:sz w:val="20"/>
        </w:rPr>
        <w:t>abrogated</w:t>
      </w:r>
      <w:r>
        <w:rPr>
          <w:spacing w:val="-2"/>
          <w:sz w:val="20"/>
        </w:rPr>
        <w:t> </w:t>
      </w:r>
      <w:r>
        <w:rPr>
          <w:sz w:val="20"/>
        </w:rPr>
        <w:t>margin</w:t>
      </w:r>
      <w:r>
        <w:rPr>
          <w:spacing w:val="-1"/>
          <w:sz w:val="20"/>
        </w:rPr>
        <w:t> </w:t>
      </w:r>
      <w:r>
        <w:rPr>
          <w:sz w:val="20"/>
        </w:rPr>
        <w:t>no.</w:t>
      </w:r>
      <w:r>
        <w:rPr>
          <w:spacing w:val="67"/>
          <w:sz w:val="20"/>
        </w:rPr>
        <w:t>    </w:t>
      </w:r>
      <w:r>
        <w:rPr>
          <w:spacing w:val="-10"/>
          <w:sz w:val="20"/>
        </w:rPr>
        <w:t>6</w:t>
      </w:r>
    </w:p>
    <w:sectPr>
      <w:headerReference w:type="default" r:id="rId11"/>
      <w:footerReference w:type="default" r:id="rId12"/>
      <w:pgSz w:w="11900" w:h="16850"/>
      <w:pgMar w:header="0" w:footer="318" w:top="820" w:bottom="500" w:left="1559"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00576">
              <wp:simplePos x="0" y="0"/>
              <wp:positionH relativeFrom="page">
                <wp:posOffset>6606285</wp:posOffset>
              </wp:positionH>
              <wp:positionV relativeFrom="page">
                <wp:posOffset>10352551</wp:posOffset>
              </wp:positionV>
              <wp:extent cx="248920" cy="1397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48920" cy="139700"/>
                      </a:xfrm>
                      <a:prstGeom prst="rect">
                        <a:avLst/>
                      </a:prstGeom>
                    </wps:spPr>
                    <wps:txbx>
                      <w:txbxContent>
                        <w:p>
                          <w:pPr>
                            <w:pStyle w:val="BodyText"/>
                            <w:spacing w:before="15"/>
                            <w:ind w:left="60"/>
                          </w:pPr>
                          <w:r>
                            <w:rPr>
                              <w:spacing w:val="-4"/>
                            </w:rPr>
                            <w:fldChar w:fldCharType="begin"/>
                          </w:r>
                          <w:r>
                            <w:rPr>
                              <w:spacing w:val="-4"/>
                            </w:rPr>
                            <w:instrText> PAGE </w:instrText>
                          </w:r>
                          <w:r>
                            <w:rPr>
                              <w:spacing w:val="-4"/>
                            </w:rPr>
                            <w:fldChar w:fldCharType="separate"/>
                          </w:r>
                          <w:r>
                            <w:rPr>
                              <w:spacing w:val="-4"/>
                            </w:rPr>
                            <w:t>2</w:t>
                          </w:r>
                          <w:r>
                            <w:rPr>
                              <w:spacing w:val="-4"/>
                            </w:rPr>
                            <w:fldChar w:fldCharType="end"/>
                          </w:r>
                          <w:r>
                            <w:rPr>
                              <w:spacing w:val="-4"/>
                            </w:rPr>
                            <w:t>/</w:t>
                          </w:r>
                          <w:r>
                            <w:rPr>
                              <w:spacing w:val="-4"/>
                            </w:rPr>
                            <w:fldChar w:fldCharType="begin"/>
                          </w:r>
                          <w:r>
                            <w:rPr>
                              <w:spacing w:val="-4"/>
                            </w:rPr>
                            <w:instrText> NUMPAGES </w:instrText>
                          </w:r>
                          <w:r>
                            <w:rPr>
                              <w:spacing w:val="-4"/>
                            </w:rPr>
                            <w:fldChar w:fldCharType="separate"/>
                          </w:r>
                          <w:r>
                            <w:rPr>
                              <w:spacing w:val="-4"/>
                            </w:rPr>
                            <w:t>10</w:t>
                          </w:r>
                          <w:r>
                            <w:rPr>
                              <w:spacing w:val="-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0.179993pt;margin-top:815.16156pt;width:19.6pt;height:11pt;mso-position-horizontal-relative:page;mso-position-vertical-relative:page;z-index:-16315904" type="#_x0000_t202" id="docshape4" filled="false" stroked="false">
              <v:textbox inset="0,0,0,0">
                <w:txbxContent>
                  <w:p>
                    <w:pPr>
                      <w:pStyle w:val="BodyText"/>
                      <w:spacing w:before="15"/>
                      <w:ind w:left="60"/>
                    </w:pPr>
                    <w:r>
                      <w:rPr>
                        <w:spacing w:val="-4"/>
                      </w:rPr>
                      <w:fldChar w:fldCharType="begin"/>
                    </w:r>
                    <w:r>
                      <w:rPr>
                        <w:spacing w:val="-4"/>
                      </w:rPr>
                      <w:instrText> PAGE </w:instrText>
                    </w:r>
                    <w:r>
                      <w:rPr>
                        <w:spacing w:val="-4"/>
                      </w:rPr>
                      <w:fldChar w:fldCharType="separate"/>
                    </w:r>
                    <w:r>
                      <w:rPr>
                        <w:spacing w:val="-4"/>
                      </w:rPr>
                      <w:t>2</w:t>
                    </w:r>
                    <w:r>
                      <w:rPr>
                        <w:spacing w:val="-4"/>
                      </w:rPr>
                      <w:fldChar w:fldCharType="end"/>
                    </w:r>
                    <w:r>
                      <w:rPr>
                        <w:spacing w:val="-4"/>
                      </w:rPr>
                      <w:t>/</w:t>
                    </w:r>
                    <w:r>
                      <w:rPr>
                        <w:spacing w:val="-4"/>
                      </w:rPr>
                      <w:fldChar w:fldCharType="begin"/>
                    </w:r>
                    <w:r>
                      <w:rPr>
                        <w:spacing w:val="-4"/>
                      </w:rPr>
                      <w:instrText> NUMPAGES </w:instrText>
                    </w:r>
                    <w:r>
                      <w:rPr>
                        <w:spacing w:val="-4"/>
                      </w:rPr>
                      <w:fldChar w:fldCharType="separate"/>
                    </w:r>
                    <w:r>
                      <w:rPr>
                        <w:spacing w:val="-4"/>
                      </w:rPr>
                      <w:t>10</w:t>
                    </w:r>
                    <w:r>
                      <w:rPr>
                        <w:spacing w:val="-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01600">
              <wp:simplePos x="0" y="0"/>
              <wp:positionH relativeFrom="page">
                <wp:posOffset>6606285</wp:posOffset>
              </wp:positionH>
              <wp:positionV relativeFrom="page">
                <wp:posOffset>10352551</wp:posOffset>
              </wp:positionV>
              <wp:extent cx="248920" cy="1397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48920" cy="139700"/>
                      </a:xfrm>
                      <a:prstGeom prst="rect">
                        <a:avLst/>
                      </a:prstGeom>
                    </wps:spPr>
                    <wps:txbx>
                      <w:txbxContent>
                        <w:p>
                          <w:pPr>
                            <w:pStyle w:val="BodyText"/>
                            <w:spacing w:before="15"/>
                            <w:ind w:left="60"/>
                          </w:pPr>
                          <w:r>
                            <w:rPr>
                              <w:spacing w:val="-4"/>
                            </w:rPr>
                            <w:fldChar w:fldCharType="begin"/>
                          </w:r>
                          <w:r>
                            <w:rPr>
                              <w:spacing w:val="-4"/>
                            </w:rPr>
                            <w:instrText> PAGE </w:instrText>
                          </w:r>
                          <w:r>
                            <w:rPr>
                              <w:spacing w:val="-4"/>
                            </w:rPr>
                            <w:fldChar w:fldCharType="separate"/>
                          </w:r>
                          <w:r>
                            <w:rPr>
                              <w:spacing w:val="-4"/>
                            </w:rPr>
                            <w:t>3</w:t>
                          </w:r>
                          <w:r>
                            <w:rPr>
                              <w:spacing w:val="-4"/>
                            </w:rPr>
                            <w:fldChar w:fldCharType="end"/>
                          </w:r>
                          <w:r>
                            <w:rPr>
                              <w:spacing w:val="-4"/>
                            </w:rPr>
                            <w:t>/</w:t>
                          </w:r>
                          <w:r>
                            <w:rPr>
                              <w:spacing w:val="-4"/>
                            </w:rPr>
                            <w:fldChar w:fldCharType="begin"/>
                          </w:r>
                          <w:r>
                            <w:rPr>
                              <w:spacing w:val="-4"/>
                            </w:rPr>
                            <w:instrText> NUMPAGES </w:instrText>
                          </w:r>
                          <w:r>
                            <w:rPr>
                              <w:spacing w:val="-4"/>
                            </w:rPr>
                            <w:fldChar w:fldCharType="separate"/>
                          </w:r>
                          <w:r>
                            <w:rPr>
                              <w:spacing w:val="-4"/>
                            </w:rPr>
                            <w:t>10</w:t>
                          </w:r>
                          <w:r>
                            <w:rPr>
                              <w:spacing w:val="-4"/>
                            </w:rPr>
                            <w:fldChar w:fldCharType="end"/>
                          </w:r>
                        </w:p>
                      </w:txbxContent>
                    </wps:txbx>
                    <wps:bodyPr wrap="square" lIns="0" tIns="0" rIns="0" bIns="0" rtlCol="0">
                      <a:noAutofit/>
                    </wps:bodyPr>
                  </wps:wsp>
                </a:graphicData>
              </a:graphic>
            </wp:anchor>
          </w:drawing>
        </mc:Choice>
        <mc:Fallback>
          <w:pict>
            <v:shape style="position:absolute;margin-left:520.179993pt;margin-top:815.16156pt;width:19.6pt;height:11pt;mso-position-horizontal-relative:page;mso-position-vertical-relative:page;z-index:-16314880" type="#_x0000_t202" id="docshape5" filled="false" stroked="false">
              <v:textbox inset="0,0,0,0">
                <w:txbxContent>
                  <w:p>
                    <w:pPr>
                      <w:pStyle w:val="BodyText"/>
                      <w:spacing w:before="15"/>
                      <w:ind w:left="60"/>
                    </w:pPr>
                    <w:r>
                      <w:rPr>
                        <w:spacing w:val="-4"/>
                      </w:rPr>
                      <w:fldChar w:fldCharType="begin"/>
                    </w:r>
                    <w:r>
                      <w:rPr>
                        <w:spacing w:val="-4"/>
                      </w:rPr>
                      <w:instrText> PAGE </w:instrText>
                    </w:r>
                    <w:r>
                      <w:rPr>
                        <w:spacing w:val="-4"/>
                      </w:rPr>
                      <w:fldChar w:fldCharType="separate"/>
                    </w:r>
                    <w:r>
                      <w:rPr>
                        <w:spacing w:val="-4"/>
                      </w:rPr>
                      <w:t>3</w:t>
                    </w:r>
                    <w:r>
                      <w:rPr>
                        <w:spacing w:val="-4"/>
                      </w:rPr>
                      <w:fldChar w:fldCharType="end"/>
                    </w:r>
                    <w:r>
                      <w:rPr>
                        <w:spacing w:val="-4"/>
                      </w:rPr>
                      <w:t>/</w:t>
                    </w:r>
                    <w:r>
                      <w:rPr>
                        <w:spacing w:val="-4"/>
                      </w:rPr>
                      <w:fldChar w:fldCharType="begin"/>
                    </w:r>
                    <w:r>
                      <w:rPr>
                        <w:spacing w:val="-4"/>
                      </w:rPr>
                      <w:instrText> NUMPAGES </w:instrText>
                    </w:r>
                    <w:r>
                      <w:rPr>
                        <w:spacing w:val="-4"/>
                      </w:rPr>
                      <w:fldChar w:fldCharType="separate"/>
                    </w:r>
                    <w:r>
                      <w:rPr>
                        <w:spacing w:val="-4"/>
                      </w:rPr>
                      <w:t>10</w:t>
                    </w:r>
                    <w:r>
                      <w:rPr>
                        <w:spacing w:val="-4"/>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02112">
              <wp:simplePos x="0" y="0"/>
              <wp:positionH relativeFrom="page">
                <wp:posOffset>6549897</wp:posOffset>
              </wp:positionH>
              <wp:positionV relativeFrom="page">
                <wp:posOffset>10352551</wp:posOffset>
              </wp:positionV>
              <wp:extent cx="305435" cy="13970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305435" cy="139700"/>
                      </a:xfrm>
                      <a:prstGeom prst="rect">
                        <a:avLst/>
                      </a:prstGeom>
                    </wps:spPr>
                    <wps:txbx>
                      <w:txbxContent>
                        <w:p>
                          <w:pPr>
                            <w:pStyle w:val="BodyText"/>
                            <w:spacing w:before="15"/>
                            <w:ind w:left="60"/>
                          </w:pPr>
                          <w:r>
                            <w:rPr>
                              <w:spacing w:val="-2"/>
                            </w:rPr>
                            <w:fldChar w:fldCharType="begin"/>
                          </w:r>
                          <w:r>
                            <w:rPr>
                              <w:spacing w:val="-2"/>
                            </w:rPr>
                            <w:instrText> PAGE </w:instrText>
                          </w:r>
                          <w:r>
                            <w:rPr>
                              <w:spacing w:val="-2"/>
                            </w:rPr>
                            <w:fldChar w:fldCharType="separate"/>
                          </w:r>
                          <w:r>
                            <w:rPr>
                              <w:spacing w:val="-2"/>
                            </w:rPr>
                            <w:t>10</w:t>
                          </w:r>
                          <w:r>
                            <w:rPr>
                              <w:spacing w:val="-2"/>
                            </w:rPr>
                            <w:fldChar w:fldCharType="end"/>
                          </w:r>
                          <w:r>
                            <w:rPr>
                              <w:spacing w:val="-2"/>
                            </w:rPr>
                            <w:t>/</w:t>
                          </w:r>
                          <w:r>
                            <w:rPr>
                              <w:spacing w:val="-2"/>
                            </w:rPr>
                            <w:fldChar w:fldCharType="begin"/>
                          </w:r>
                          <w:r>
                            <w:rPr>
                              <w:spacing w:val="-2"/>
                            </w:rPr>
                            <w:instrText> NUMPAGES </w:instrText>
                          </w:r>
                          <w:r>
                            <w:rPr>
                              <w:spacing w:val="-2"/>
                            </w:rPr>
                            <w:fldChar w:fldCharType="separate"/>
                          </w:r>
                          <w:r>
                            <w:rPr>
                              <w:spacing w:val="-2"/>
                            </w:rPr>
                            <w:t>10</w:t>
                          </w:r>
                          <w:r>
                            <w:rPr>
                              <w:spacing w:val="-2"/>
                            </w:rPr>
                            <w:fldChar w:fldCharType="end"/>
                          </w:r>
                        </w:p>
                      </w:txbxContent>
                    </wps:txbx>
                    <wps:bodyPr wrap="square" lIns="0" tIns="0" rIns="0" bIns="0" rtlCol="0">
                      <a:noAutofit/>
                    </wps:bodyPr>
                  </wps:wsp>
                </a:graphicData>
              </a:graphic>
            </wp:anchor>
          </w:drawing>
        </mc:Choice>
        <mc:Fallback>
          <w:pict>
            <v:shape style="position:absolute;margin-left:515.73999pt;margin-top:815.16156pt;width:24.05pt;height:11pt;mso-position-horizontal-relative:page;mso-position-vertical-relative:page;z-index:-16314368" type="#_x0000_t202" id="docshape6" filled="false" stroked="false">
              <v:textbox inset="0,0,0,0">
                <w:txbxContent>
                  <w:p>
                    <w:pPr>
                      <w:pStyle w:val="BodyText"/>
                      <w:spacing w:before="15"/>
                      <w:ind w:left="60"/>
                    </w:pPr>
                    <w:r>
                      <w:rPr>
                        <w:spacing w:val="-2"/>
                      </w:rPr>
                      <w:fldChar w:fldCharType="begin"/>
                    </w:r>
                    <w:r>
                      <w:rPr>
                        <w:spacing w:val="-2"/>
                      </w:rPr>
                      <w:instrText> PAGE </w:instrText>
                    </w:r>
                    <w:r>
                      <w:rPr>
                        <w:spacing w:val="-2"/>
                      </w:rPr>
                      <w:fldChar w:fldCharType="separate"/>
                    </w:r>
                    <w:r>
                      <w:rPr>
                        <w:spacing w:val="-2"/>
                      </w:rPr>
                      <w:t>10</w:t>
                    </w:r>
                    <w:r>
                      <w:rPr>
                        <w:spacing w:val="-2"/>
                      </w:rPr>
                      <w:fldChar w:fldCharType="end"/>
                    </w:r>
                    <w:r>
                      <w:rPr>
                        <w:spacing w:val="-2"/>
                      </w:rPr>
                      <w:t>/</w:t>
                    </w:r>
                    <w:r>
                      <w:rPr>
                        <w:spacing w:val="-2"/>
                      </w:rPr>
                      <w:fldChar w:fldCharType="begin"/>
                    </w:r>
                    <w:r>
                      <w:rPr>
                        <w:spacing w:val="-2"/>
                      </w:rPr>
                      <w:instrText> NUMPAGES </w:instrText>
                    </w:r>
                    <w:r>
                      <w:rPr>
                        <w:spacing w:val="-2"/>
                      </w:rPr>
                      <w:fldChar w:fldCharType="separate"/>
                    </w:r>
                    <w:r>
                      <w:rPr>
                        <w:spacing w:val="-2"/>
                      </w:rPr>
                      <w:t>10</w:t>
                    </w:r>
                    <w:r>
                      <w:rPr>
                        <w:spacing w:val="-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001088">
          <wp:simplePos x="0" y="0"/>
          <wp:positionH relativeFrom="page">
            <wp:posOffset>5220970</wp:posOffset>
          </wp:positionH>
          <wp:positionV relativeFrom="page">
            <wp:posOffset>525779</wp:posOffset>
          </wp:positionV>
          <wp:extent cx="1610101" cy="363696"/>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1" cstate="print"/>
                  <a:stretch>
                    <a:fillRect/>
                  </a:stretch>
                </pic:blipFill>
                <pic:spPr>
                  <a:xfrm>
                    <a:off x="0" y="0"/>
                    <a:ext cx="1610101" cy="363696"/>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0">
    <w:multiLevelType w:val="hybridMultilevel"/>
    <w:lvl w:ilvl="0">
      <w:start w:val="0"/>
      <w:numFmt w:val="bullet"/>
      <w:lvlText w:val=""/>
      <w:lvlJc w:val="left"/>
      <w:pPr>
        <w:ind w:left="477" w:hanging="428"/>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282" w:hanging="428"/>
      </w:pPr>
      <w:rPr>
        <w:rFonts w:hint="default"/>
        <w:lang w:val="en-US" w:eastAsia="en-US" w:bidi="ar-SA"/>
      </w:rPr>
    </w:lvl>
    <w:lvl w:ilvl="2">
      <w:start w:val="0"/>
      <w:numFmt w:val="bullet"/>
      <w:lvlText w:val="•"/>
      <w:lvlJc w:val="left"/>
      <w:pPr>
        <w:ind w:left="2085" w:hanging="428"/>
      </w:pPr>
      <w:rPr>
        <w:rFonts w:hint="default"/>
        <w:lang w:val="en-US" w:eastAsia="en-US" w:bidi="ar-SA"/>
      </w:rPr>
    </w:lvl>
    <w:lvl w:ilvl="3">
      <w:start w:val="0"/>
      <w:numFmt w:val="bullet"/>
      <w:lvlText w:val="•"/>
      <w:lvlJc w:val="left"/>
      <w:pPr>
        <w:ind w:left="2887" w:hanging="428"/>
      </w:pPr>
      <w:rPr>
        <w:rFonts w:hint="default"/>
        <w:lang w:val="en-US" w:eastAsia="en-US" w:bidi="ar-SA"/>
      </w:rPr>
    </w:lvl>
    <w:lvl w:ilvl="4">
      <w:start w:val="0"/>
      <w:numFmt w:val="bullet"/>
      <w:lvlText w:val="•"/>
      <w:lvlJc w:val="left"/>
      <w:pPr>
        <w:ind w:left="3690" w:hanging="428"/>
      </w:pPr>
      <w:rPr>
        <w:rFonts w:hint="default"/>
        <w:lang w:val="en-US" w:eastAsia="en-US" w:bidi="ar-SA"/>
      </w:rPr>
    </w:lvl>
    <w:lvl w:ilvl="5">
      <w:start w:val="0"/>
      <w:numFmt w:val="bullet"/>
      <w:lvlText w:val="•"/>
      <w:lvlJc w:val="left"/>
      <w:pPr>
        <w:ind w:left="4492" w:hanging="428"/>
      </w:pPr>
      <w:rPr>
        <w:rFonts w:hint="default"/>
        <w:lang w:val="en-US" w:eastAsia="en-US" w:bidi="ar-SA"/>
      </w:rPr>
    </w:lvl>
    <w:lvl w:ilvl="6">
      <w:start w:val="0"/>
      <w:numFmt w:val="bullet"/>
      <w:lvlText w:val="•"/>
      <w:lvlJc w:val="left"/>
      <w:pPr>
        <w:ind w:left="5295" w:hanging="428"/>
      </w:pPr>
      <w:rPr>
        <w:rFonts w:hint="default"/>
        <w:lang w:val="en-US" w:eastAsia="en-US" w:bidi="ar-SA"/>
      </w:rPr>
    </w:lvl>
    <w:lvl w:ilvl="7">
      <w:start w:val="0"/>
      <w:numFmt w:val="bullet"/>
      <w:lvlText w:val="•"/>
      <w:lvlJc w:val="left"/>
      <w:pPr>
        <w:ind w:left="6097" w:hanging="428"/>
      </w:pPr>
      <w:rPr>
        <w:rFonts w:hint="default"/>
        <w:lang w:val="en-US" w:eastAsia="en-US" w:bidi="ar-SA"/>
      </w:rPr>
    </w:lvl>
    <w:lvl w:ilvl="8">
      <w:start w:val="0"/>
      <w:numFmt w:val="bullet"/>
      <w:lvlText w:val="•"/>
      <w:lvlJc w:val="left"/>
      <w:pPr>
        <w:ind w:left="6900" w:hanging="428"/>
      </w:pPr>
      <w:rPr>
        <w:rFonts w:hint="default"/>
        <w:lang w:val="en-US" w:eastAsia="en-US" w:bidi="ar-SA"/>
      </w:rPr>
    </w:lvl>
  </w:abstractNum>
  <w:abstractNum w:abstractNumId="19">
    <w:multiLevelType w:val="hybridMultilevel"/>
    <w:lvl w:ilvl="0">
      <w:start w:val="0"/>
      <w:numFmt w:val="bullet"/>
      <w:lvlText w:val=""/>
      <w:lvlJc w:val="left"/>
      <w:pPr>
        <w:ind w:left="477" w:hanging="428"/>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282" w:hanging="428"/>
      </w:pPr>
      <w:rPr>
        <w:rFonts w:hint="default"/>
        <w:lang w:val="en-US" w:eastAsia="en-US" w:bidi="ar-SA"/>
      </w:rPr>
    </w:lvl>
    <w:lvl w:ilvl="2">
      <w:start w:val="0"/>
      <w:numFmt w:val="bullet"/>
      <w:lvlText w:val="•"/>
      <w:lvlJc w:val="left"/>
      <w:pPr>
        <w:ind w:left="2085" w:hanging="428"/>
      </w:pPr>
      <w:rPr>
        <w:rFonts w:hint="default"/>
        <w:lang w:val="en-US" w:eastAsia="en-US" w:bidi="ar-SA"/>
      </w:rPr>
    </w:lvl>
    <w:lvl w:ilvl="3">
      <w:start w:val="0"/>
      <w:numFmt w:val="bullet"/>
      <w:lvlText w:val="•"/>
      <w:lvlJc w:val="left"/>
      <w:pPr>
        <w:ind w:left="2887" w:hanging="428"/>
      </w:pPr>
      <w:rPr>
        <w:rFonts w:hint="default"/>
        <w:lang w:val="en-US" w:eastAsia="en-US" w:bidi="ar-SA"/>
      </w:rPr>
    </w:lvl>
    <w:lvl w:ilvl="4">
      <w:start w:val="0"/>
      <w:numFmt w:val="bullet"/>
      <w:lvlText w:val="•"/>
      <w:lvlJc w:val="left"/>
      <w:pPr>
        <w:ind w:left="3690" w:hanging="428"/>
      </w:pPr>
      <w:rPr>
        <w:rFonts w:hint="default"/>
        <w:lang w:val="en-US" w:eastAsia="en-US" w:bidi="ar-SA"/>
      </w:rPr>
    </w:lvl>
    <w:lvl w:ilvl="5">
      <w:start w:val="0"/>
      <w:numFmt w:val="bullet"/>
      <w:lvlText w:val="•"/>
      <w:lvlJc w:val="left"/>
      <w:pPr>
        <w:ind w:left="4492" w:hanging="428"/>
      </w:pPr>
      <w:rPr>
        <w:rFonts w:hint="default"/>
        <w:lang w:val="en-US" w:eastAsia="en-US" w:bidi="ar-SA"/>
      </w:rPr>
    </w:lvl>
    <w:lvl w:ilvl="6">
      <w:start w:val="0"/>
      <w:numFmt w:val="bullet"/>
      <w:lvlText w:val="•"/>
      <w:lvlJc w:val="left"/>
      <w:pPr>
        <w:ind w:left="5295" w:hanging="428"/>
      </w:pPr>
      <w:rPr>
        <w:rFonts w:hint="default"/>
        <w:lang w:val="en-US" w:eastAsia="en-US" w:bidi="ar-SA"/>
      </w:rPr>
    </w:lvl>
    <w:lvl w:ilvl="7">
      <w:start w:val="0"/>
      <w:numFmt w:val="bullet"/>
      <w:lvlText w:val="•"/>
      <w:lvlJc w:val="left"/>
      <w:pPr>
        <w:ind w:left="6097" w:hanging="428"/>
      </w:pPr>
      <w:rPr>
        <w:rFonts w:hint="default"/>
        <w:lang w:val="en-US" w:eastAsia="en-US" w:bidi="ar-SA"/>
      </w:rPr>
    </w:lvl>
    <w:lvl w:ilvl="8">
      <w:start w:val="0"/>
      <w:numFmt w:val="bullet"/>
      <w:lvlText w:val="•"/>
      <w:lvlJc w:val="left"/>
      <w:pPr>
        <w:ind w:left="6900" w:hanging="428"/>
      </w:pPr>
      <w:rPr>
        <w:rFonts w:hint="default"/>
        <w:lang w:val="en-US" w:eastAsia="en-US" w:bidi="ar-SA"/>
      </w:rPr>
    </w:lvl>
  </w:abstractNum>
  <w:abstractNum w:abstractNumId="18">
    <w:multiLevelType w:val="hybridMultilevel"/>
    <w:lvl w:ilvl="0">
      <w:start w:val="0"/>
      <w:numFmt w:val="bullet"/>
      <w:lvlText w:val=""/>
      <w:lvlJc w:val="left"/>
      <w:pPr>
        <w:ind w:left="477" w:hanging="428"/>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282" w:hanging="428"/>
      </w:pPr>
      <w:rPr>
        <w:rFonts w:hint="default"/>
        <w:lang w:val="en-US" w:eastAsia="en-US" w:bidi="ar-SA"/>
      </w:rPr>
    </w:lvl>
    <w:lvl w:ilvl="2">
      <w:start w:val="0"/>
      <w:numFmt w:val="bullet"/>
      <w:lvlText w:val="•"/>
      <w:lvlJc w:val="left"/>
      <w:pPr>
        <w:ind w:left="2085" w:hanging="428"/>
      </w:pPr>
      <w:rPr>
        <w:rFonts w:hint="default"/>
        <w:lang w:val="en-US" w:eastAsia="en-US" w:bidi="ar-SA"/>
      </w:rPr>
    </w:lvl>
    <w:lvl w:ilvl="3">
      <w:start w:val="0"/>
      <w:numFmt w:val="bullet"/>
      <w:lvlText w:val="•"/>
      <w:lvlJc w:val="left"/>
      <w:pPr>
        <w:ind w:left="2887" w:hanging="428"/>
      </w:pPr>
      <w:rPr>
        <w:rFonts w:hint="default"/>
        <w:lang w:val="en-US" w:eastAsia="en-US" w:bidi="ar-SA"/>
      </w:rPr>
    </w:lvl>
    <w:lvl w:ilvl="4">
      <w:start w:val="0"/>
      <w:numFmt w:val="bullet"/>
      <w:lvlText w:val="•"/>
      <w:lvlJc w:val="left"/>
      <w:pPr>
        <w:ind w:left="3690" w:hanging="428"/>
      </w:pPr>
      <w:rPr>
        <w:rFonts w:hint="default"/>
        <w:lang w:val="en-US" w:eastAsia="en-US" w:bidi="ar-SA"/>
      </w:rPr>
    </w:lvl>
    <w:lvl w:ilvl="5">
      <w:start w:val="0"/>
      <w:numFmt w:val="bullet"/>
      <w:lvlText w:val="•"/>
      <w:lvlJc w:val="left"/>
      <w:pPr>
        <w:ind w:left="4492" w:hanging="428"/>
      </w:pPr>
      <w:rPr>
        <w:rFonts w:hint="default"/>
        <w:lang w:val="en-US" w:eastAsia="en-US" w:bidi="ar-SA"/>
      </w:rPr>
    </w:lvl>
    <w:lvl w:ilvl="6">
      <w:start w:val="0"/>
      <w:numFmt w:val="bullet"/>
      <w:lvlText w:val="•"/>
      <w:lvlJc w:val="left"/>
      <w:pPr>
        <w:ind w:left="5295" w:hanging="428"/>
      </w:pPr>
      <w:rPr>
        <w:rFonts w:hint="default"/>
        <w:lang w:val="en-US" w:eastAsia="en-US" w:bidi="ar-SA"/>
      </w:rPr>
    </w:lvl>
    <w:lvl w:ilvl="7">
      <w:start w:val="0"/>
      <w:numFmt w:val="bullet"/>
      <w:lvlText w:val="•"/>
      <w:lvlJc w:val="left"/>
      <w:pPr>
        <w:ind w:left="6097" w:hanging="428"/>
      </w:pPr>
      <w:rPr>
        <w:rFonts w:hint="default"/>
        <w:lang w:val="en-US" w:eastAsia="en-US" w:bidi="ar-SA"/>
      </w:rPr>
    </w:lvl>
    <w:lvl w:ilvl="8">
      <w:start w:val="0"/>
      <w:numFmt w:val="bullet"/>
      <w:lvlText w:val="•"/>
      <w:lvlJc w:val="left"/>
      <w:pPr>
        <w:ind w:left="6900" w:hanging="428"/>
      </w:pPr>
      <w:rPr>
        <w:rFonts w:hint="default"/>
        <w:lang w:val="en-US" w:eastAsia="en-US" w:bidi="ar-SA"/>
      </w:rPr>
    </w:lvl>
  </w:abstractNum>
  <w:abstractNum w:abstractNumId="17">
    <w:multiLevelType w:val="hybridMultilevel"/>
    <w:lvl w:ilvl="0">
      <w:start w:val="0"/>
      <w:numFmt w:val="bullet"/>
      <w:lvlText w:val=""/>
      <w:lvlJc w:val="left"/>
      <w:pPr>
        <w:ind w:left="477" w:hanging="428"/>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282" w:hanging="428"/>
      </w:pPr>
      <w:rPr>
        <w:rFonts w:hint="default"/>
        <w:lang w:val="en-US" w:eastAsia="en-US" w:bidi="ar-SA"/>
      </w:rPr>
    </w:lvl>
    <w:lvl w:ilvl="2">
      <w:start w:val="0"/>
      <w:numFmt w:val="bullet"/>
      <w:lvlText w:val="•"/>
      <w:lvlJc w:val="left"/>
      <w:pPr>
        <w:ind w:left="2085" w:hanging="428"/>
      </w:pPr>
      <w:rPr>
        <w:rFonts w:hint="default"/>
        <w:lang w:val="en-US" w:eastAsia="en-US" w:bidi="ar-SA"/>
      </w:rPr>
    </w:lvl>
    <w:lvl w:ilvl="3">
      <w:start w:val="0"/>
      <w:numFmt w:val="bullet"/>
      <w:lvlText w:val="•"/>
      <w:lvlJc w:val="left"/>
      <w:pPr>
        <w:ind w:left="2887" w:hanging="428"/>
      </w:pPr>
      <w:rPr>
        <w:rFonts w:hint="default"/>
        <w:lang w:val="en-US" w:eastAsia="en-US" w:bidi="ar-SA"/>
      </w:rPr>
    </w:lvl>
    <w:lvl w:ilvl="4">
      <w:start w:val="0"/>
      <w:numFmt w:val="bullet"/>
      <w:lvlText w:val="•"/>
      <w:lvlJc w:val="left"/>
      <w:pPr>
        <w:ind w:left="3690" w:hanging="428"/>
      </w:pPr>
      <w:rPr>
        <w:rFonts w:hint="default"/>
        <w:lang w:val="en-US" w:eastAsia="en-US" w:bidi="ar-SA"/>
      </w:rPr>
    </w:lvl>
    <w:lvl w:ilvl="5">
      <w:start w:val="0"/>
      <w:numFmt w:val="bullet"/>
      <w:lvlText w:val="•"/>
      <w:lvlJc w:val="left"/>
      <w:pPr>
        <w:ind w:left="4492" w:hanging="428"/>
      </w:pPr>
      <w:rPr>
        <w:rFonts w:hint="default"/>
        <w:lang w:val="en-US" w:eastAsia="en-US" w:bidi="ar-SA"/>
      </w:rPr>
    </w:lvl>
    <w:lvl w:ilvl="6">
      <w:start w:val="0"/>
      <w:numFmt w:val="bullet"/>
      <w:lvlText w:val="•"/>
      <w:lvlJc w:val="left"/>
      <w:pPr>
        <w:ind w:left="5295" w:hanging="428"/>
      </w:pPr>
      <w:rPr>
        <w:rFonts w:hint="default"/>
        <w:lang w:val="en-US" w:eastAsia="en-US" w:bidi="ar-SA"/>
      </w:rPr>
    </w:lvl>
    <w:lvl w:ilvl="7">
      <w:start w:val="0"/>
      <w:numFmt w:val="bullet"/>
      <w:lvlText w:val="•"/>
      <w:lvlJc w:val="left"/>
      <w:pPr>
        <w:ind w:left="6097" w:hanging="428"/>
      </w:pPr>
      <w:rPr>
        <w:rFonts w:hint="default"/>
        <w:lang w:val="en-US" w:eastAsia="en-US" w:bidi="ar-SA"/>
      </w:rPr>
    </w:lvl>
    <w:lvl w:ilvl="8">
      <w:start w:val="0"/>
      <w:numFmt w:val="bullet"/>
      <w:lvlText w:val="•"/>
      <w:lvlJc w:val="left"/>
      <w:pPr>
        <w:ind w:left="6900" w:hanging="428"/>
      </w:pPr>
      <w:rPr>
        <w:rFonts w:hint="default"/>
        <w:lang w:val="en-US" w:eastAsia="en-US" w:bidi="ar-SA"/>
      </w:rPr>
    </w:lvl>
  </w:abstractNum>
  <w:abstractNum w:abstractNumId="16">
    <w:multiLevelType w:val="hybridMultilevel"/>
    <w:lvl w:ilvl="0">
      <w:start w:val="0"/>
      <w:numFmt w:val="bullet"/>
      <w:lvlText w:val=""/>
      <w:lvlJc w:val="left"/>
      <w:pPr>
        <w:ind w:left="477" w:hanging="428"/>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282" w:hanging="428"/>
      </w:pPr>
      <w:rPr>
        <w:rFonts w:hint="default"/>
        <w:lang w:val="en-US" w:eastAsia="en-US" w:bidi="ar-SA"/>
      </w:rPr>
    </w:lvl>
    <w:lvl w:ilvl="2">
      <w:start w:val="0"/>
      <w:numFmt w:val="bullet"/>
      <w:lvlText w:val="•"/>
      <w:lvlJc w:val="left"/>
      <w:pPr>
        <w:ind w:left="2085" w:hanging="428"/>
      </w:pPr>
      <w:rPr>
        <w:rFonts w:hint="default"/>
        <w:lang w:val="en-US" w:eastAsia="en-US" w:bidi="ar-SA"/>
      </w:rPr>
    </w:lvl>
    <w:lvl w:ilvl="3">
      <w:start w:val="0"/>
      <w:numFmt w:val="bullet"/>
      <w:lvlText w:val="•"/>
      <w:lvlJc w:val="left"/>
      <w:pPr>
        <w:ind w:left="2887" w:hanging="428"/>
      </w:pPr>
      <w:rPr>
        <w:rFonts w:hint="default"/>
        <w:lang w:val="en-US" w:eastAsia="en-US" w:bidi="ar-SA"/>
      </w:rPr>
    </w:lvl>
    <w:lvl w:ilvl="4">
      <w:start w:val="0"/>
      <w:numFmt w:val="bullet"/>
      <w:lvlText w:val="•"/>
      <w:lvlJc w:val="left"/>
      <w:pPr>
        <w:ind w:left="3690" w:hanging="428"/>
      </w:pPr>
      <w:rPr>
        <w:rFonts w:hint="default"/>
        <w:lang w:val="en-US" w:eastAsia="en-US" w:bidi="ar-SA"/>
      </w:rPr>
    </w:lvl>
    <w:lvl w:ilvl="5">
      <w:start w:val="0"/>
      <w:numFmt w:val="bullet"/>
      <w:lvlText w:val="•"/>
      <w:lvlJc w:val="left"/>
      <w:pPr>
        <w:ind w:left="4492" w:hanging="428"/>
      </w:pPr>
      <w:rPr>
        <w:rFonts w:hint="default"/>
        <w:lang w:val="en-US" w:eastAsia="en-US" w:bidi="ar-SA"/>
      </w:rPr>
    </w:lvl>
    <w:lvl w:ilvl="6">
      <w:start w:val="0"/>
      <w:numFmt w:val="bullet"/>
      <w:lvlText w:val="•"/>
      <w:lvlJc w:val="left"/>
      <w:pPr>
        <w:ind w:left="5295" w:hanging="428"/>
      </w:pPr>
      <w:rPr>
        <w:rFonts w:hint="default"/>
        <w:lang w:val="en-US" w:eastAsia="en-US" w:bidi="ar-SA"/>
      </w:rPr>
    </w:lvl>
    <w:lvl w:ilvl="7">
      <w:start w:val="0"/>
      <w:numFmt w:val="bullet"/>
      <w:lvlText w:val="•"/>
      <w:lvlJc w:val="left"/>
      <w:pPr>
        <w:ind w:left="6097" w:hanging="428"/>
      </w:pPr>
      <w:rPr>
        <w:rFonts w:hint="default"/>
        <w:lang w:val="en-US" w:eastAsia="en-US" w:bidi="ar-SA"/>
      </w:rPr>
    </w:lvl>
    <w:lvl w:ilvl="8">
      <w:start w:val="0"/>
      <w:numFmt w:val="bullet"/>
      <w:lvlText w:val="•"/>
      <w:lvlJc w:val="left"/>
      <w:pPr>
        <w:ind w:left="6900" w:hanging="428"/>
      </w:pPr>
      <w:rPr>
        <w:rFonts w:hint="default"/>
        <w:lang w:val="en-US" w:eastAsia="en-US" w:bidi="ar-SA"/>
      </w:rPr>
    </w:lvl>
  </w:abstractNum>
  <w:abstractNum w:abstractNumId="15">
    <w:multiLevelType w:val="hybridMultilevel"/>
    <w:lvl w:ilvl="0">
      <w:start w:val="0"/>
      <w:numFmt w:val="bullet"/>
      <w:lvlText w:val=""/>
      <w:lvlJc w:val="left"/>
      <w:pPr>
        <w:ind w:left="477" w:hanging="428"/>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282" w:hanging="428"/>
      </w:pPr>
      <w:rPr>
        <w:rFonts w:hint="default"/>
        <w:lang w:val="en-US" w:eastAsia="en-US" w:bidi="ar-SA"/>
      </w:rPr>
    </w:lvl>
    <w:lvl w:ilvl="2">
      <w:start w:val="0"/>
      <w:numFmt w:val="bullet"/>
      <w:lvlText w:val="•"/>
      <w:lvlJc w:val="left"/>
      <w:pPr>
        <w:ind w:left="2085" w:hanging="428"/>
      </w:pPr>
      <w:rPr>
        <w:rFonts w:hint="default"/>
        <w:lang w:val="en-US" w:eastAsia="en-US" w:bidi="ar-SA"/>
      </w:rPr>
    </w:lvl>
    <w:lvl w:ilvl="3">
      <w:start w:val="0"/>
      <w:numFmt w:val="bullet"/>
      <w:lvlText w:val="•"/>
      <w:lvlJc w:val="left"/>
      <w:pPr>
        <w:ind w:left="2887" w:hanging="428"/>
      </w:pPr>
      <w:rPr>
        <w:rFonts w:hint="default"/>
        <w:lang w:val="en-US" w:eastAsia="en-US" w:bidi="ar-SA"/>
      </w:rPr>
    </w:lvl>
    <w:lvl w:ilvl="4">
      <w:start w:val="0"/>
      <w:numFmt w:val="bullet"/>
      <w:lvlText w:val="•"/>
      <w:lvlJc w:val="left"/>
      <w:pPr>
        <w:ind w:left="3690" w:hanging="428"/>
      </w:pPr>
      <w:rPr>
        <w:rFonts w:hint="default"/>
        <w:lang w:val="en-US" w:eastAsia="en-US" w:bidi="ar-SA"/>
      </w:rPr>
    </w:lvl>
    <w:lvl w:ilvl="5">
      <w:start w:val="0"/>
      <w:numFmt w:val="bullet"/>
      <w:lvlText w:val="•"/>
      <w:lvlJc w:val="left"/>
      <w:pPr>
        <w:ind w:left="4492" w:hanging="428"/>
      </w:pPr>
      <w:rPr>
        <w:rFonts w:hint="default"/>
        <w:lang w:val="en-US" w:eastAsia="en-US" w:bidi="ar-SA"/>
      </w:rPr>
    </w:lvl>
    <w:lvl w:ilvl="6">
      <w:start w:val="0"/>
      <w:numFmt w:val="bullet"/>
      <w:lvlText w:val="•"/>
      <w:lvlJc w:val="left"/>
      <w:pPr>
        <w:ind w:left="5295" w:hanging="428"/>
      </w:pPr>
      <w:rPr>
        <w:rFonts w:hint="default"/>
        <w:lang w:val="en-US" w:eastAsia="en-US" w:bidi="ar-SA"/>
      </w:rPr>
    </w:lvl>
    <w:lvl w:ilvl="7">
      <w:start w:val="0"/>
      <w:numFmt w:val="bullet"/>
      <w:lvlText w:val="•"/>
      <w:lvlJc w:val="left"/>
      <w:pPr>
        <w:ind w:left="6097" w:hanging="428"/>
      </w:pPr>
      <w:rPr>
        <w:rFonts w:hint="default"/>
        <w:lang w:val="en-US" w:eastAsia="en-US" w:bidi="ar-SA"/>
      </w:rPr>
    </w:lvl>
    <w:lvl w:ilvl="8">
      <w:start w:val="0"/>
      <w:numFmt w:val="bullet"/>
      <w:lvlText w:val="•"/>
      <w:lvlJc w:val="left"/>
      <w:pPr>
        <w:ind w:left="6900" w:hanging="428"/>
      </w:pPr>
      <w:rPr>
        <w:rFonts w:hint="default"/>
        <w:lang w:val="en-US" w:eastAsia="en-US" w:bidi="ar-SA"/>
      </w:rPr>
    </w:lvl>
  </w:abstractNum>
  <w:abstractNum w:abstractNumId="14">
    <w:multiLevelType w:val="hybridMultilevel"/>
    <w:lvl w:ilvl="0">
      <w:start w:val="0"/>
      <w:numFmt w:val="bullet"/>
      <w:lvlText w:val=""/>
      <w:lvlJc w:val="left"/>
      <w:pPr>
        <w:ind w:left="477" w:hanging="428"/>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282" w:hanging="428"/>
      </w:pPr>
      <w:rPr>
        <w:rFonts w:hint="default"/>
        <w:lang w:val="en-US" w:eastAsia="en-US" w:bidi="ar-SA"/>
      </w:rPr>
    </w:lvl>
    <w:lvl w:ilvl="2">
      <w:start w:val="0"/>
      <w:numFmt w:val="bullet"/>
      <w:lvlText w:val="•"/>
      <w:lvlJc w:val="left"/>
      <w:pPr>
        <w:ind w:left="2085" w:hanging="428"/>
      </w:pPr>
      <w:rPr>
        <w:rFonts w:hint="default"/>
        <w:lang w:val="en-US" w:eastAsia="en-US" w:bidi="ar-SA"/>
      </w:rPr>
    </w:lvl>
    <w:lvl w:ilvl="3">
      <w:start w:val="0"/>
      <w:numFmt w:val="bullet"/>
      <w:lvlText w:val="•"/>
      <w:lvlJc w:val="left"/>
      <w:pPr>
        <w:ind w:left="2887" w:hanging="428"/>
      </w:pPr>
      <w:rPr>
        <w:rFonts w:hint="default"/>
        <w:lang w:val="en-US" w:eastAsia="en-US" w:bidi="ar-SA"/>
      </w:rPr>
    </w:lvl>
    <w:lvl w:ilvl="4">
      <w:start w:val="0"/>
      <w:numFmt w:val="bullet"/>
      <w:lvlText w:val="•"/>
      <w:lvlJc w:val="left"/>
      <w:pPr>
        <w:ind w:left="3690" w:hanging="428"/>
      </w:pPr>
      <w:rPr>
        <w:rFonts w:hint="default"/>
        <w:lang w:val="en-US" w:eastAsia="en-US" w:bidi="ar-SA"/>
      </w:rPr>
    </w:lvl>
    <w:lvl w:ilvl="5">
      <w:start w:val="0"/>
      <w:numFmt w:val="bullet"/>
      <w:lvlText w:val="•"/>
      <w:lvlJc w:val="left"/>
      <w:pPr>
        <w:ind w:left="4492" w:hanging="428"/>
      </w:pPr>
      <w:rPr>
        <w:rFonts w:hint="default"/>
        <w:lang w:val="en-US" w:eastAsia="en-US" w:bidi="ar-SA"/>
      </w:rPr>
    </w:lvl>
    <w:lvl w:ilvl="6">
      <w:start w:val="0"/>
      <w:numFmt w:val="bullet"/>
      <w:lvlText w:val="•"/>
      <w:lvlJc w:val="left"/>
      <w:pPr>
        <w:ind w:left="5295" w:hanging="428"/>
      </w:pPr>
      <w:rPr>
        <w:rFonts w:hint="default"/>
        <w:lang w:val="en-US" w:eastAsia="en-US" w:bidi="ar-SA"/>
      </w:rPr>
    </w:lvl>
    <w:lvl w:ilvl="7">
      <w:start w:val="0"/>
      <w:numFmt w:val="bullet"/>
      <w:lvlText w:val="•"/>
      <w:lvlJc w:val="left"/>
      <w:pPr>
        <w:ind w:left="6097" w:hanging="428"/>
      </w:pPr>
      <w:rPr>
        <w:rFonts w:hint="default"/>
        <w:lang w:val="en-US" w:eastAsia="en-US" w:bidi="ar-SA"/>
      </w:rPr>
    </w:lvl>
    <w:lvl w:ilvl="8">
      <w:start w:val="0"/>
      <w:numFmt w:val="bullet"/>
      <w:lvlText w:val="•"/>
      <w:lvlJc w:val="left"/>
      <w:pPr>
        <w:ind w:left="6900" w:hanging="428"/>
      </w:pPr>
      <w:rPr>
        <w:rFonts w:hint="default"/>
        <w:lang w:val="en-US" w:eastAsia="en-US" w:bidi="ar-SA"/>
      </w:rPr>
    </w:lvl>
  </w:abstractNum>
  <w:abstractNum w:abstractNumId="13">
    <w:multiLevelType w:val="hybridMultilevel"/>
    <w:lvl w:ilvl="0">
      <w:start w:val="0"/>
      <w:numFmt w:val="bullet"/>
      <w:lvlText w:val=""/>
      <w:lvlJc w:val="left"/>
      <w:pPr>
        <w:ind w:left="477" w:hanging="428"/>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282" w:hanging="428"/>
      </w:pPr>
      <w:rPr>
        <w:rFonts w:hint="default"/>
        <w:lang w:val="en-US" w:eastAsia="en-US" w:bidi="ar-SA"/>
      </w:rPr>
    </w:lvl>
    <w:lvl w:ilvl="2">
      <w:start w:val="0"/>
      <w:numFmt w:val="bullet"/>
      <w:lvlText w:val="•"/>
      <w:lvlJc w:val="left"/>
      <w:pPr>
        <w:ind w:left="2085" w:hanging="428"/>
      </w:pPr>
      <w:rPr>
        <w:rFonts w:hint="default"/>
        <w:lang w:val="en-US" w:eastAsia="en-US" w:bidi="ar-SA"/>
      </w:rPr>
    </w:lvl>
    <w:lvl w:ilvl="3">
      <w:start w:val="0"/>
      <w:numFmt w:val="bullet"/>
      <w:lvlText w:val="•"/>
      <w:lvlJc w:val="left"/>
      <w:pPr>
        <w:ind w:left="2887" w:hanging="428"/>
      </w:pPr>
      <w:rPr>
        <w:rFonts w:hint="default"/>
        <w:lang w:val="en-US" w:eastAsia="en-US" w:bidi="ar-SA"/>
      </w:rPr>
    </w:lvl>
    <w:lvl w:ilvl="4">
      <w:start w:val="0"/>
      <w:numFmt w:val="bullet"/>
      <w:lvlText w:val="•"/>
      <w:lvlJc w:val="left"/>
      <w:pPr>
        <w:ind w:left="3690" w:hanging="428"/>
      </w:pPr>
      <w:rPr>
        <w:rFonts w:hint="default"/>
        <w:lang w:val="en-US" w:eastAsia="en-US" w:bidi="ar-SA"/>
      </w:rPr>
    </w:lvl>
    <w:lvl w:ilvl="5">
      <w:start w:val="0"/>
      <w:numFmt w:val="bullet"/>
      <w:lvlText w:val="•"/>
      <w:lvlJc w:val="left"/>
      <w:pPr>
        <w:ind w:left="4492" w:hanging="428"/>
      </w:pPr>
      <w:rPr>
        <w:rFonts w:hint="default"/>
        <w:lang w:val="en-US" w:eastAsia="en-US" w:bidi="ar-SA"/>
      </w:rPr>
    </w:lvl>
    <w:lvl w:ilvl="6">
      <w:start w:val="0"/>
      <w:numFmt w:val="bullet"/>
      <w:lvlText w:val="•"/>
      <w:lvlJc w:val="left"/>
      <w:pPr>
        <w:ind w:left="5295" w:hanging="428"/>
      </w:pPr>
      <w:rPr>
        <w:rFonts w:hint="default"/>
        <w:lang w:val="en-US" w:eastAsia="en-US" w:bidi="ar-SA"/>
      </w:rPr>
    </w:lvl>
    <w:lvl w:ilvl="7">
      <w:start w:val="0"/>
      <w:numFmt w:val="bullet"/>
      <w:lvlText w:val="•"/>
      <w:lvlJc w:val="left"/>
      <w:pPr>
        <w:ind w:left="6097" w:hanging="428"/>
      </w:pPr>
      <w:rPr>
        <w:rFonts w:hint="default"/>
        <w:lang w:val="en-US" w:eastAsia="en-US" w:bidi="ar-SA"/>
      </w:rPr>
    </w:lvl>
    <w:lvl w:ilvl="8">
      <w:start w:val="0"/>
      <w:numFmt w:val="bullet"/>
      <w:lvlText w:val="•"/>
      <w:lvlJc w:val="left"/>
      <w:pPr>
        <w:ind w:left="6900" w:hanging="428"/>
      </w:pPr>
      <w:rPr>
        <w:rFonts w:hint="default"/>
        <w:lang w:val="en-US" w:eastAsia="en-US" w:bidi="ar-SA"/>
      </w:rPr>
    </w:lvl>
  </w:abstractNum>
  <w:abstractNum w:abstractNumId="12">
    <w:multiLevelType w:val="hybridMultilevel"/>
    <w:lvl w:ilvl="0">
      <w:start w:val="0"/>
      <w:numFmt w:val="bullet"/>
      <w:lvlText w:val=""/>
      <w:lvlJc w:val="left"/>
      <w:pPr>
        <w:ind w:left="477" w:hanging="428"/>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282" w:hanging="428"/>
      </w:pPr>
      <w:rPr>
        <w:rFonts w:hint="default"/>
        <w:lang w:val="en-US" w:eastAsia="en-US" w:bidi="ar-SA"/>
      </w:rPr>
    </w:lvl>
    <w:lvl w:ilvl="2">
      <w:start w:val="0"/>
      <w:numFmt w:val="bullet"/>
      <w:lvlText w:val="•"/>
      <w:lvlJc w:val="left"/>
      <w:pPr>
        <w:ind w:left="2085" w:hanging="428"/>
      </w:pPr>
      <w:rPr>
        <w:rFonts w:hint="default"/>
        <w:lang w:val="en-US" w:eastAsia="en-US" w:bidi="ar-SA"/>
      </w:rPr>
    </w:lvl>
    <w:lvl w:ilvl="3">
      <w:start w:val="0"/>
      <w:numFmt w:val="bullet"/>
      <w:lvlText w:val="•"/>
      <w:lvlJc w:val="left"/>
      <w:pPr>
        <w:ind w:left="2887" w:hanging="428"/>
      </w:pPr>
      <w:rPr>
        <w:rFonts w:hint="default"/>
        <w:lang w:val="en-US" w:eastAsia="en-US" w:bidi="ar-SA"/>
      </w:rPr>
    </w:lvl>
    <w:lvl w:ilvl="4">
      <w:start w:val="0"/>
      <w:numFmt w:val="bullet"/>
      <w:lvlText w:val="•"/>
      <w:lvlJc w:val="left"/>
      <w:pPr>
        <w:ind w:left="3690" w:hanging="428"/>
      </w:pPr>
      <w:rPr>
        <w:rFonts w:hint="default"/>
        <w:lang w:val="en-US" w:eastAsia="en-US" w:bidi="ar-SA"/>
      </w:rPr>
    </w:lvl>
    <w:lvl w:ilvl="5">
      <w:start w:val="0"/>
      <w:numFmt w:val="bullet"/>
      <w:lvlText w:val="•"/>
      <w:lvlJc w:val="left"/>
      <w:pPr>
        <w:ind w:left="4492" w:hanging="428"/>
      </w:pPr>
      <w:rPr>
        <w:rFonts w:hint="default"/>
        <w:lang w:val="en-US" w:eastAsia="en-US" w:bidi="ar-SA"/>
      </w:rPr>
    </w:lvl>
    <w:lvl w:ilvl="6">
      <w:start w:val="0"/>
      <w:numFmt w:val="bullet"/>
      <w:lvlText w:val="•"/>
      <w:lvlJc w:val="left"/>
      <w:pPr>
        <w:ind w:left="5295" w:hanging="428"/>
      </w:pPr>
      <w:rPr>
        <w:rFonts w:hint="default"/>
        <w:lang w:val="en-US" w:eastAsia="en-US" w:bidi="ar-SA"/>
      </w:rPr>
    </w:lvl>
    <w:lvl w:ilvl="7">
      <w:start w:val="0"/>
      <w:numFmt w:val="bullet"/>
      <w:lvlText w:val="•"/>
      <w:lvlJc w:val="left"/>
      <w:pPr>
        <w:ind w:left="6097" w:hanging="428"/>
      </w:pPr>
      <w:rPr>
        <w:rFonts w:hint="default"/>
        <w:lang w:val="en-US" w:eastAsia="en-US" w:bidi="ar-SA"/>
      </w:rPr>
    </w:lvl>
    <w:lvl w:ilvl="8">
      <w:start w:val="0"/>
      <w:numFmt w:val="bullet"/>
      <w:lvlText w:val="•"/>
      <w:lvlJc w:val="left"/>
      <w:pPr>
        <w:ind w:left="6900" w:hanging="428"/>
      </w:pPr>
      <w:rPr>
        <w:rFonts w:hint="default"/>
        <w:lang w:val="en-US" w:eastAsia="en-US" w:bidi="ar-SA"/>
      </w:rPr>
    </w:lvl>
  </w:abstractNum>
  <w:abstractNum w:abstractNumId="11">
    <w:multiLevelType w:val="hybridMultilevel"/>
    <w:lvl w:ilvl="0">
      <w:start w:val="0"/>
      <w:numFmt w:val="bullet"/>
      <w:lvlText w:val=""/>
      <w:lvlJc w:val="left"/>
      <w:pPr>
        <w:ind w:left="477" w:hanging="428"/>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282" w:hanging="428"/>
      </w:pPr>
      <w:rPr>
        <w:rFonts w:hint="default"/>
        <w:lang w:val="en-US" w:eastAsia="en-US" w:bidi="ar-SA"/>
      </w:rPr>
    </w:lvl>
    <w:lvl w:ilvl="2">
      <w:start w:val="0"/>
      <w:numFmt w:val="bullet"/>
      <w:lvlText w:val="•"/>
      <w:lvlJc w:val="left"/>
      <w:pPr>
        <w:ind w:left="2085" w:hanging="428"/>
      </w:pPr>
      <w:rPr>
        <w:rFonts w:hint="default"/>
        <w:lang w:val="en-US" w:eastAsia="en-US" w:bidi="ar-SA"/>
      </w:rPr>
    </w:lvl>
    <w:lvl w:ilvl="3">
      <w:start w:val="0"/>
      <w:numFmt w:val="bullet"/>
      <w:lvlText w:val="•"/>
      <w:lvlJc w:val="left"/>
      <w:pPr>
        <w:ind w:left="2887" w:hanging="428"/>
      </w:pPr>
      <w:rPr>
        <w:rFonts w:hint="default"/>
        <w:lang w:val="en-US" w:eastAsia="en-US" w:bidi="ar-SA"/>
      </w:rPr>
    </w:lvl>
    <w:lvl w:ilvl="4">
      <w:start w:val="0"/>
      <w:numFmt w:val="bullet"/>
      <w:lvlText w:val="•"/>
      <w:lvlJc w:val="left"/>
      <w:pPr>
        <w:ind w:left="3690" w:hanging="428"/>
      </w:pPr>
      <w:rPr>
        <w:rFonts w:hint="default"/>
        <w:lang w:val="en-US" w:eastAsia="en-US" w:bidi="ar-SA"/>
      </w:rPr>
    </w:lvl>
    <w:lvl w:ilvl="5">
      <w:start w:val="0"/>
      <w:numFmt w:val="bullet"/>
      <w:lvlText w:val="•"/>
      <w:lvlJc w:val="left"/>
      <w:pPr>
        <w:ind w:left="4492" w:hanging="428"/>
      </w:pPr>
      <w:rPr>
        <w:rFonts w:hint="default"/>
        <w:lang w:val="en-US" w:eastAsia="en-US" w:bidi="ar-SA"/>
      </w:rPr>
    </w:lvl>
    <w:lvl w:ilvl="6">
      <w:start w:val="0"/>
      <w:numFmt w:val="bullet"/>
      <w:lvlText w:val="•"/>
      <w:lvlJc w:val="left"/>
      <w:pPr>
        <w:ind w:left="5295" w:hanging="428"/>
      </w:pPr>
      <w:rPr>
        <w:rFonts w:hint="default"/>
        <w:lang w:val="en-US" w:eastAsia="en-US" w:bidi="ar-SA"/>
      </w:rPr>
    </w:lvl>
    <w:lvl w:ilvl="7">
      <w:start w:val="0"/>
      <w:numFmt w:val="bullet"/>
      <w:lvlText w:val="•"/>
      <w:lvlJc w:val="left"/>
      <w:pPr>
        <w:ind w:left="6097" w:hanging="428"/>
      </w:pPr>
      <w:rPr>
        <w:rFonts w:hint="default"/>
        <w:lang w:val="en-US" w:eastAsia="en-US" w:bidi="ar-SA"/>
      </w:rPr>
    </w:lvl>
    <w:lvl w:ilvl="8">
      <w:start w:val="0"/>
      <w:numFmt w:val="bullet"/>
      <w:lvlText w:val="•"/>
      <w:lvlJc w:val="left"/>
      <w:pPr>
        <w:ind w:left="6900" w:hanging="428"/>
      </w:pPr>
      <w:rPr>
        <w:rFonts w:hint="default"/>
        <w:lang w:val="en-US" w:eastAsia="en-US" w:bidi="ar-SA"/>
      </w:rPr>
    </w:lvl>
  </w:abstractNum>
  <w:abstractNum w:abstractNumId="10">
    <w:multiLevelType w:val="hybridMultilevel"/>
    <w:lvl w:ilvl="0">
      <w:start w:val="0"/>
      <w:numFmt w:val="bullet"/>
      <w:lvlText w:val=""/>
      <w:lvlJc w:val="left"/>
      <w:pPr>
        <w:ind w:left="477" w:hanging="428"/>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282" w:hanging="428"/>
      </w:pPr>
      <w:rPr>
        <w:rFonts w:hint="default"/>
        <w:lang w:val="en-US" w:eastAsia="en-US" w:bidi="ar-SA"/>
      </w:rPr>
    </w:lvl>
    <w:lvl w:ilvl="2">
      <w:start w:val="0"/>
      <w:numFmt w:val="bullet"/>
      <w:lvlText w:val="•"/>
      <w:lvlJc w:val="left"/>
      <w:pPr>
        <w:ind w:left="2085" w:hanging="428"/>
      </w:pPr>
      <w:rPr>
        <w:rFonts w:hint="default"/>
        <w:lang w:val="en-US" w:eastAsia="en-US" w:bidi="ar-SA"/>
      </w:rPr>
    </w:lvl>
    <w:lvl w:ilvl="3">
      <w:start w:val="0"/>
      <w:numFmt w:val="bullet"/>
      <w:lvlText w:val="•"/>
      <w:lvlJc w:val="left"/>
      <w:pPr>
        <w:ind w:left="2887" w:hanging="428"/>
      </w:pPr>
      <w:rPr>
        <w:rFonts w:hint="default"/>
        <w:lang w:val="en-US" w:eastAsia="en-US" w:bidi="ar-SA"/>
      </w:rPr>
    </w:lvl>
    <w:lvl w:ilvl="4">
      <w:start w:val="0"/>
      <w:numFmt w:val="bullet"/>
      <w:lvlText w:val="•"/>
      <w:lvlJc w:val="left"/>
      <w:pPr>
        <w:ind w:left="3690" w:hanging="428"/>
      </w:pPr>
      <w:rPr>
        <w:rFonts w:hint="default"/>
        <w:lang w:val="en-US" w:eastAsia="en-US" w:bidi="ar-SA"/>
      </w:rPr>
    </w:lvl>
    <w:lvl w:ilvl="5">
      <w:start w:val="0"/>
      <w:numFmt w:val="bullet"/>
      <w:lvlText w:val="•"/>
      <w:lvlJc w:val="left"/>
      <w:pPr>
        <w:ind w:left="4492" w:hanging="428"/>
      </w:pPr>
      <w:rPr>
        <w:rFonts w:hint="default"/>
        <w:lang w:val="en-US" w:eastAsia="en-US" w:bidi="ar-SA"/>
      </w:rPr>
    </w:lvl>
    <w:lvl w:ilvl="6">
      <w:start w:val="0"/>
      <w:numFmt w:val="bullet"/>
      <w:lvlText w:val="•"/>
      <w:lvlJc w:val="left"/>
      <w:pPr>
        <w:ind w:left="5295" w:hanging="428"/>
      </w:pPr>
      <w:rPr>
        <w:rFonts w:hint="default"/>
        <w:lang w:val="en-US" w:eastAsia="en-US" w:bidi="ar-SA"/>
      </w:rPr>
    </w:lvl>
    <w:lvl w:ilvl="7">
      <w:start w:val="0"/>
      <w:numFmt w:val="bullet"/>
      <w:lvlText w:val="•"/>
      <w:lvlJc w:val="left"/>
      <w:pPr>
        <w:ind w:left="6097" w:hanging="428"/>
      </w:pPr>
      <w:rPr>
        <w:rFonts w:hint="default"/>
        <w:lang w:val="en-US" w:eastAsia="en-US" w:bidi="ar-SA"/>
      </w:rPr>
    </w:lvl>
    <w:lvl w:ilvl="8">
      <w:start w:val="0"/>
      <w:numFmt w:val="bullet"/>
      <w:lvlText w:val="•"/>
      <w:lvlJc w:val="left"/>
      <w:pPr>
        <w:ind w:left="6900" w:hanging="428"/>
      </w:pPr>
      <w:rPr>
        <w:rFonts w:hint="default"/>
        <w:lang w:val="en-US" w:eastAsia="en-US" w:bidi="ar-SA"/>
      </w:rPr>
    </w:lvl>
  </w:abstractNum>
  <w:abstractNum w:abstractNumId="9">
    <w:multiLevelType w:val="hybridMultilevel"/>
    <w:lvl w:ilvl="0">
      <w:start w:val="0"/>
      <w:numFmt w:val="bullet"/>
      <w:lvlText w:val=""/>
      <w:lvlJc w:val="left"/>
      <w:pPr>
        <w:ind w:left="477" w:hanging="428"/>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282" w:hanging="428"/>
      </w:pPr>
      <w:rPr>
        <w:rFonts w:hint="default"/>
        <w:lang w:val="en-US" w:eastAsia="en-US" w:bidi="ar-SA"/>
      </w:rPr>
    </w:lvl>
    <w:lvl w:ilvl="2">
      <w:start w:val="0"/>
      <w:numFmt w:val="bullet"/>
      <w:lvlText w:val="•"/>
      <w:lvlJc w:val="left"/>
      <w:pPr>
        <w:ind w:left="2085" w:hanging="428"/>
      </w:pPr>
      <w:rPr>
        <w:rFonts w:hint="default"/>
        <w:lang w:val="en-US" w:eastAsia="en-US" w:bidi="ar-SA"/>
      </w:rPr>
    </w:lvl>
    <w:lvl w:ilvl="3">
      <w:start w:val="0"/>
      <w:numFmt w:val="bullet"/>
      <w:lvlText w:val="•"/>
      <w:lvlJc w:val="left"/>
      <w:pPr>
        <w:ind w:left="2887" w:hanging="428"/>
      </w:pPr>
      <w:rPr>
        <w:rFonts w:hint="default"/>
        <w:lang w:val="en-US" w:eastAsia="en-US" w:bidi="ar-SA"/>
      </w:rPr>
    </w:lvl>
    <w:lvl w:ilvl="4">
      <w:start w:val="0"/>
      <w:numFmt w:val="bullet"/>
      <w:lvlText w:val="•"/>
      <w:lvlJc w:val="left"/>
      <w:pPr>
        <w:ind w:left="3690" w:hanging="428"/>
      </w:pPr>
      <w:rPr>
        <w:rFonts w:hint="default"/>
        <w:lang w:val="en-US" w:eastAsia="en-US" w:bidi="ar-SA"/>
      </w:rPr>
    </w:lvl>
    <w:lvl w:ilvl="5">
      <w:start w:val="0"/>
      <w:numFmt w:val="bullet"/>
      <w:lvlText w:val="•"/>
      <w:lvlJc w:val="left"/>
      <w:pPr>
        <w:ind w:left="4492" w:hanging="428"/>
      </w:pPr>
      <w:rPr>
        <w:rFonts w:hint="default"/>
        <w:lang w:val="en-US" w:eastAsia="en-US" w:bidi="ar-SA"/>
      </w:rPr>
    </w:lvl>
    <w:lvl w:ilvl="6">
      <w:start w:val="0"/>
      <w:numFmt w:val="bullet"/>
      <w:lvlText w:val="•"/>
      <w:lvlJc w:val="left"/>
      <w:pPr>
        <w:ind w:left="5295" w:hanging="428"/>
      </w:pPr>
      <w:rPr>
        <w:rFonts w:hint="default"/>
        <w:lang w:val="en-US" w:eastAsia="en-US" w:bidi="ar-SA"/>
      </w:rPr>
    </w:lvl>
    <w:lvl w:ilvl="7">
      <w:start w:val="0"/>
      <w:numFmt w:val="bullet"/>
      <w:lvlText w:val="•"/>
      <w:lvlJc w:val="left"/>
      <w:pPr>
        <w:ind w:left="6097" w:hanging="428"/>
      </w:pPr>
      <w:rPr>
        <w:rFonts w:hint="default"/>
        <w:lang w:val="en-US" w:eastAsia="en-US" w:bidi="ar-SA"/>
      </w:rPr>
    </w:lvl>
    <w:lvl w:ilvl="8">
      <w:start w:val="0"/>
      <w:numFmt w:val="bullet"/>
      <w:lvlText w:val="•"/>
      <w:lvlJc w:val="left"/>
      <w:pPr>
        <w:ind w:left="6900" w:hanging="428"/>
      </w:pPr>
      <w:rPr>
        <w:rFonts w:hint="default"/>
        <w:lang w:val="en-US" w:eastAsia="en-US" w:bidi="ar-SA"/>
      </w:rPr>
    </w:lvl>
  </w:abstractNum>
  <w:abstractNum w:abstractNumId="8">
    <w:multiLevelType w:val="hybridMultilevel"/>
    <w:lvl w:ilvl="0">
      <w:start w:val="0"/>
      <w:numFmt w:val="bullet"/>
      <w:lvlText w:val=""/>
      <w:lvlJc w:val="left"/>
      <w:pPr>
        <w:ind w:left="477" w:hanging="428"/>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282" w:hanging="428"/>
      </w:pPr>
      <w:rPr>
        <w:rFonts w:hint="default"/>
        <w:lang w:val="en-US" w:eastAsia="en-US" w:bidi="ar-SA"/>
      </w:rPr>
    </w:lvl>
    <w:lvl w:ilvl="2">
      <w:start w:val="0"/>
      <w:numFmt w:val="bullet"/>
      <w:lvlText w:val="•"/>
      <w:lvlJc w:val="left"/>
      <w:pPr>
        <w:ind w:left="2085" w:hanging="428"/>
      </w:pPr>
      <w:rPr>
        <w:rFonts w:hint="default"/>
        <w:lang w:val="en-US" w:eastAsia="en-US" w:bidi="ar-SA"/>
      </w:rPr>
    </w:lvl>
    <w:lvl w:ilvl="3">
      <w:start w:val="0"/>
      <w:numFmt w:val="bullet"/>
      <w:lvlText w:val="•"/>
      <w:lvlJc w:val="left"/>
      <w:pPr>
        <w:ind w:left="2888" w:hanging="428"/>
      </w:pPr>
      <w:rPr>
        <w:rFonts w:hint="default"/>
        <w:lang w:val="en-US" w:eastAsia="en-US" w:bidi="ar-SA"/>
      </w:rPr>
    </w:lvl>
    <w:lvl w:ilvl="4">
      <w:start w:val="0"/>
      <w:numFmt w:val="bullet"/>
      <w:lvlText w:val="•"/>
      <w:lvlJc w:val="left"/>
      <w:pPr>
        <w:ind w:left="3690" w:hanging="428"/>
      </w:pPr>
      <w:rPr>
        <w:rFonts w:hint="default"/>
        <w:lang w:val="en-US" w:eastAsia="en-US" w:bidi="ar-SA"/>
      </w:rPr>
    </w:lvl>
    <w:lvl w:ilvl="5">
      <w:start w:val="0"/>
      <w:numFmt w:val="bullet"/>
      <w:lvlText w:val="•"/>
      <w:lvlJc w:val="left"/>
      <w:pPr>
        <w:ind w:left="4493" w:hanging="428"/>
      </w:pPr>
      <w:rPr>
        <w:rFonts w:hint="default"/>
        <w:lang w:val="en-US" w:eastAsia="en-US" w:bidi="ar-SA"/>
      </w:rPr>
    </w:lvl>
    <w:lvl w:ilvl="6">
      <w:start w:val="0"/>
      <w:numFmt w:val="bullet"/>
      <w:lvlText w:val="•"/>
      <w:lvlJc w:val="left"/>
      <w:pPr>
        <w:ind w:left="5296" w:hanging="428"/>
      </w:pPr>
      <w:rPr>
        <w:rFonts w:hint="default"/>
        <w:lang w:val="en-US" w:eastAsia="en-US" w:bidi="ar-SA"/>
      </w:rPr>
    </w:lvl>
    <w:lvl w:ilvl="7">
      <w:start w:val="0"/>
      <w:numFmt w:val="bullet"/>
      <w:lvlText w:val="•"/>
      <w:lvlJc w:val="left"/>
      <w:pPr>
        <w:ind w:left="6098" w:hanging="428"/>
      </w:pPr>
      <w:rPr>
        <w:rFonts w:hint="default"/>
        <w:lang w:val="en-US" w:eastAsia="en-US" w:bidi="ar-SA"/>
      </w:rPr>
    </w:lvl>
    <w:lvl w:ilvl="8">
      <w:start w:val="0"/>
      <w:numFmt w:val="bullet"/>
      <w:lvlText w:val="•"/>
      <w:lvlJc w:val="left"/>
      <w:pPr>
        <w:ind w:left="6901" w:hanging="428"/>
      </w:pPr>
      <w:rPr>
        <w:rFonts w:hint="default"/>
        <w:lang w:val="en-US" w:eastAsia="en-US" w:bidi="ar-SA"/>
      </w:rPr>
    </w:lvl>
  </w:abstractNum>
  <w:abstractNum w:abstractNumId="7">
    <w:multiLevelType w:val="hybridMultilevel"/>
    <w:lvl w:ilvl="0">
      <w:start w:val="0"/>
      <w:numFmt w:val="bullet"/>
      <w:lvlText w:val=""/>
      <w:lvlJc w:val="left"/>
      <w:pPr>
        <w:ind w:left="477" w:hanging="428"/>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282" w:hanging="428"/>
      </w:pPr>
      <w:rPr>
        <w:rFonts w:hint="default"/>
        <w:lang w:val="en-US" w:eastAsia="en-US" w:bidi="ar-SA"/>
      </w:rPr>
    </w:lvl>
    <w:lvl w:ilvl="2">
      <w:start w:val="0"/>
      <w:numFmt w:val="bullet"/>
      <w:lvlText w:val="•"/>
      <w:lvlJc w:val="left"/>
      <w:pPr>
        <w:ind w:left="2085" w:hanging="428"/>
      </w:pPr>
      <w:rPr>
        <w:rFonts w:hint="default"/>
        <w:lang w:val="en-US" w:eastAsia="en-US" w:bidi="ar-SA"/>
      </w:rPr>
    </w:lvl>
    <w:lvl w:ilvl="3">
      <w:start w:val="0"/>
      <w:numFmt w:val="bullet"/>
      <w:lvlText w:val="•"/>
      <w:lvlJc w:val="left"/>
      <w:pPr>
        <w:ind w:left="2888" w:hanging="428"/>
      </w:pPr>
      <w:rPr>
        <w:rFonts w:hint="default"/>
        <w:lang w:val="en-US" w:eastAsia="en-US" w:bidi="ar-SA"/>
      </w:rPr>
    </w:lvl>
    <w:lvl w:ilvl="4">
      <w:start w:val="0"/>
      <w:numFmt w:val="bullet"/>
      <w:lvlText w:val="•"/>
      <w:lvlJc w:val="left"/>
      <w:pPr>
        <w:ind w:left="3690" w:hanging="428"/>
      </w:pPr>
      <w:rPr>
        <w:rFonts w:hint="default"/>
        <w:lang w:val="en-US" w:eastAsia="en-US" w:bidi="ar-SA"/>
      </w:rPr>
    </w:lvl>
    <w:lvl w:ilvl="5">
      <w:start w:val="0"/>
      <w:numFmt w:val="bullet"/>
      <w:lvlText w:val="•"/>
      <w:lvlJc w:val="left"/>
      <w:pPr>
        <w:ind w:left="4493" w:hanging="428"/>
      </w:pPr>
      <w:rPr>
        <w:rFonts w:hint="default"/>
        <w:lang w:val="en-US" w:eastAsia="en-US" w:bidi="ar-SA"/>
      </w:rPr>
    </w:lvl>
    <w:lvl w:ilvl="6">
      <w:start w:val="0"/>
      <w:numFmt w:val="bullet"/>
      <w:lvlText w:val="•"/>
      <w:lvlJc w:val="left"/>
      <w:pPr>
        <w:ind w:left="5296" w:hanging="428"/>
      </w:pPr>
      <w:rPr>
        <w:rFonts w:hint="default"/>
        <w:lang w:val="en-US" w:eastAsia="en-US" w:bidi="ar-SA"/>
      </w:rPr>
    </w:lvl>
    <w:lvl w:ilvl="7">
      <w:start w:val="0"/>
      <w:numFmt w:val="bullet"/>
      <w:lvlText w:val="•"/>
      <w:lvlJc w:val="left"/>
      <w:pPr>
        <w:ind w:left="6098" w:hanging="428"/>
      </w:pPr>
      <w:rPr>
        <w:rFonts w:hint="default"/>
        <w:lang w:val="en-US" w:eastAsia="en-US" w:bidi="ar-SA"/>
      </w:rPr>
    </w:lvl>
    <w:lvl w:ilvl="8">
      <w:start w:val="0"/>
      <w:numFmt w:val="bullet"/>
      <w:lvlText w:val="•"/>
      <w:lvlJc w:val="left"/>
      <w:pPr>
        <w:ind w:left="6901" w:hanging="428"/>
      </w:pPr>
      <w:rPr>
        <w:rFonts w:hint="default"/>
        <w:lang w:val="en-US" w:eastAsia="en-US" w:bidi="ar-SA"/>
      </w:rPr>
    </w:lvl>
  </w:abstractNum>
  <w:abstractNum w:abstractNumId="6">
    <w:multiLevelType w:val="hybridMultilevel"/>
    <w:lvl w:ilvl="0">
      <w:start w:val="0"/>
      <w:numFmt w:val="bullet"/>
      <w:lvlText w:val=""/>
      <w:lvlJc w:val="left"/>
      <w:pPr>
        <w:ind w:left="477" w:hanging="428"/>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282" w:hanging="428"/>
      </w:pPr>
      <w:rPr>
        <w:rFonts w:hint="default"/>
        <w:lang w:val="en-US" w:eastAsia="en-US" w:bidi="ar-SA"/>
      </w:rPr>
    </w:lvl>
    <w:lvl w:ilvl="2">
      <w:start w:val="0"/>
      <w:numFmt w:val="bullet"/>
      <w:lvlText w:val="•"/>
      <w:lvlJc w:val="left"/>
      <w:pPr>
        <w:ind w:left="2085" w:hanging="428"/>
      </w:pPr>
      <w:rPr>
        <w:rFonts w:hint="default"/>
        <w:lang w:val="en-US" w:eastAsia="en-US" w:bidi="ar-SA"/>
      </w:rPr>
    </w:lvl>
    <w:lvl w:ilvl="3">
      <w:start w:val="0"/>
      <w:numFmt w:val="bullet"/>
      <w:lvlText w:val="•"/>
      <w:lvlJc w:val="left"/>
      <w:pPr>
        <w:ind w:left="2888" w:hanging="428"/>
      </w:pPr>
      <w:rPr>
        <w:rFonts w:hint="default"/>
        <w:lang w:val="en-US" w:eastAsia="en-US" w:bidi="ar-SA"/>
      </w:rPr>
    </w:lvl>
    <w:lvl w:ilvl="4">
      <w:start w:val="0"/>
      <w:numFmt w:val="bullet"/>
      <w:lvlText w:val="•"/>
      <w:lvlJc w:val="left"/>
      <w:pPr>
        <w:ind w:left="3690" w:hanging="428"/>
      </w:pPr>
      <w:rPr>
        <w:rFonts w:hint="default"/>
        <w:lang w:val="en-US" w:eastAsia="en-US" w:bidi="ar-SA"/>
      </w:rPr>
    </w:lvl>
    <w:lvl w:ilvl="5">
      <w:start w:val="0"/>
      <w:numFmt w:val="bullet"/>
      <w:lvlText w:val="•"/>
      <w:lvlJc w:val="left"/>
      <w:pPr>
        <w:ind w:left="4493" w:hanging="428"/>
      </w:pPr>
      <w:rPr>
        <w:rFonts w:hint="default"/>
        <w:lang w:val="en-US" w:eastAsia="en-US" w:bidi="ar-SA"/>
      </w:rPr>
    </w:lvl>
    <w:lvl w:ilvl="6">
      <w:start w:val="0"/>
      <w:numFmt w:val="bullet"/>
      <w:lvlText w:val="•"/>
      <w:lvlJc w:val="left"/>
      <w:pPr>
        <w:ind w:left="5296" w:hanging="428"/>
      </w:pPr>
      <w:rPr>
        <w:rFonts w:hint="default"/>
        <w:lang w:val="en-US" w:eastAsia="en-US" w:bidi="ar-SA"/>
      </w:rPr>
    </w:lvl>
    <w:lvl w:ilvl="7">
      <w:start w:val="0"/>
      <w:numFmt w:val="bullet"/>
      <w:lvlText w:val="•"/>
      <w:lvlJc w:val="left"/>
      <w:pPr>
        <w:ind w:left="6098" w:hanging="428"/>
      </w:pPr>
      <w:rPr>
        <w:rFonts w:hint="default"/>
        <w:lang w:val="en-US" w:eastAsia="en-US" w:bidi="ar-SA"/>
      </w:rPr>
    </w:lvl>
    <w:lvl w:ilvl="8">
      <w:start w:val="0"/>
      <w:numFmt w:val="bullet"/>
      <w:lvlText w:val="•"/>
      <w:lvlJc w:val="left"/>
      <w:pPr>
        <w:ind w:left="6901" w:hanging="428"/>
      </w:pPr>
      <w:rPr>
        <w:rFonts w:hint="default"/>
        <w:lang w:val="en-US" w:eastAsia="en-US" w:bidi="ar-SA"/>
      </w:rPr>
    </w:lvl>
  </w:abstractNum>
  <w:abstractNum w:abstractNumId="5">
    <w:multiLevelType w:val="hybridMultilevel"/>
    <w:lvl w:ilvl="0">
      <w:start w:val="0"/>
      <w:numFmt w:val="bullet"/>
      <w:lvlText w:val=""/>
      <w:lvlJc w:val="left"/>
      <w:pPr>
        <w:ind w:left="477" w:hanging="428"/>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282" w:hanging="428"/>
      </w:pPr>
      <w:rPr>
        <w:rFonts w:hint="default"/>
        <w:lang w:val="en-US" w:eastAsia="en-US" w:bidi="ar-SA"/>
      </w:rPr>
    </w:lvl>
    <w:lvl w:ilvl="2">
      <w:start w:val="0"/>
      <w:numFmt w:val="bullet"/>
      <w:lvlText w:val="•"/>
      <w:lvlJc w:val="left"/>
      <w:pPr>
        <w:ind w:left="2085" w:hanging="428"/>
      </w:pPr>
      <w:rPr>
        <w:rFonts w:hint="default"/>
        <w:lang w:val="en-US" w:eastAsia="en-US" w:bidi="ar-SA"/>
      </w:rPr>
    </w:lvl>
    <w:lvl w:ilvl="3">
      <w:start w:val="0"/>
      <w:numFmt w:val="bullet"/>
      <w:lvlText w:val="•"/>
      <w:lvlJc w:val="left"/>
      <w:pPr>
        <w:ind w:left="2888" w:hanging="428"/>
      </w:pPr>
      <w:rPr>
        <w:rFonts w:hint="default"/>
        <w:lang w:val="en-US" w:eastAsia="en-US" w:bidi="ar-SA"/>
      </w:rPr>
    </w:lvl>
    <w:lvl w:ilvl="4">
      <w:start w:val="0"/>
      <w:numFmt w:val="bullet"/>
      <w:lvlText w:val="•"/>
      <w:lvlJc w:val="left"/>
      <w:pPr>
        <w:ind w:left="3690" w:hanging="428"/>
      </w:pPr>
      <w:rPr>
        <w:rFonts w:hint="default"/>
        <w:lang w:val="en-US" w:eastAsia="en-US" w:bidi="ar-SA"/>
      </w:rPr>
    </w:lvl>
    <w:lvl w:ilvl="5">
      <w:start w:val="0"/>
      <w:numFmt w:val="bullet"/>
      <w:lvlText w:val="•"/>
      <w:lvlJc w:val="left"/>
      <w:pPr>
        <w:ind w:left="4493" w:hanging="428"/>
      </w:pPr>
      <w:rPr>
        <w:rFonts w:hint="default"/>
        <w:lang w:val="en-US" w:eastAsia="en-US" w:bidi="ar-SA"/>
      </w:rPr>
    </w:lvl>
    <w:lvl w:ilvl="6">
      <w:start w:val="0"/>
      <w:numFmt w:val="bullet"/>
      <w:lvlText w:val="•"/>
      <w:lvlJc w:val="left"/>
      <w:pPr>
        <w:ind w:left="5296" w:hanging="428"/>
      </w:pPr>
      <w:rPr>
        <w:rFonts w:hint="default"/>
        <w:lang w:val="en-US" w:eastAsia="en-US" w:bidi="ar-SA"/>
      </w:rPr>
    </w:lvl>
    <w:lvl w:ilvl="7">
      <w:start w:val="0"/>
      <w:numFmt w:val="bullet"/>
      <w:lvlText w:val="•"/>
      <w:lvlJc w:val="left"/>
      <w:pPr>
        <w:ind w:left="6098" w:hanging="428"/>
      </w:pPr>
      <w:rPr>
        <w:rFonts w:hint="default"/>
        <w:lang w:val="en-US" w:eastAsia="en-US" w:bidi="ar-SA"/>
      </w:rPr>
    </w:lvl>
    <w:lvl w:ilvl="8">
      <w:start w:val="0"/>
      <w:numFmt w:val="bullet"/>
      <w:lvlText w:val="•"/>
      <w:lvlJc w:val="left"/>
      <w:pPr>
        <w:ind w:left="6901" w:hanging="428"/>
      </w:pPr>
      <w:rPr>
        <w:rFonts w:hint="default"/>
        <w:lang w:val="en-US" w:eastAsia="en-US" w:bidi="ar-SA"/>
      </w:rPr>
    </w:lvl>
  </w:abstractNum>
  <w:abstractNum w:abstractNumId="4">
    <w:multiLevelType w:val="hybridMultilevel"/>
    <w:lvl w:ilvl="0">
      <w:start w:val="0"/>
      <w:numFmt w:val="bullet"/>
      <w:lvlText w:val=""/>
      <w:lvlJc w:val="left"/>
      <w:pPr>
        <w:ind w:left="477" w:hanging="428"/>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282" w:hanging="428"/>
      </w:pPr>
      <w:rPr>
        <w:rFonts w:hint="default"/>
        <w:lang w:val="en-US" w:eastAsia="en-US" w:bidi="ar-SA"/>
      </w:rPr>
    </w:lvl>
    <w:lvl w:ilvl="2">
      <w:start w:val="0"/>
      <w:numFmt w:val="bullet"/>
      <w:lvlText w:val="•"/>
      <w:lvlJc w:val="left"/>
      <w:pPr>
        <w:ind w:left="2085" w:hanging="428"/>
      </w:pPr>
      <w:rPr>
        <w:rFonts w:hint="default"/>
        <w:lang w:val="en-US" w:eastAsia="en-US" w:bidi="ar-SA"/>
      </w:rPr>
    </w:lvl>
    <w:lvl w:ilvl="3">
      <w:start w:val="0"/>
      <w:numFmt w:val="bullet"/>
      <w:lvlText w:val="•"/>
      <w:lvlJc w:val="left"/>
      <w:pPr>
        <w:ind w:left="2888" w:hanging="428"/>
      </w:pPr>
      <w:rPr>
        <w:rFonts w:hint="default"/>
        <w:lang w:val="en-US" w:eastAsia="en-US" w:bidi="ar-SA"/>
      </w:rPr>
    </w:lvl>
    <w:lvl w:ilvl="4">
      <w:start w:val="0"/>
      <w:numFmt w:val="bullet"/>
      <w:lvlText w:val="•"/>
      <w:lvlJc w:val="left"/>
      <w:pPr>
        <w:ind w:left="3690" w:hanging="428"/>
      </w:pPr>
      <w:rPr>
        <w:rFonts w:hint="default"/>
        <w:lang w:val="en-US" w:eastAsia="en-US" w:bidi="ar-SA"/>
      </w:rPr>
    </w:lvl>
    <w:lvl w:ilvl="5">
      <w:start w:val="0"/>
      <w:numFmt w:val="bullet"/>
      <w:lvlText w:val="•"/>
      <w:lvlJc w:val="left"/>
      <w:pPr>
        <w:ind w:left="4493" w:hanging="428"/>
      </w:pPr>
      <w:rPr>
        <w:rFonts w:hint="default"/>
        <w:lang w:val="en-US" w:eastAsia="en-US" w:bidi="ar-SA"/>
      </w:rPr>
    </w:lvl>
    <w:lvl w:ilvl="6">
      <w:start w:val="0"/>
      <w:numFmt w:val="bullet"/>
      <w:lvlText w:val="•"/>
      <w:lvlJc w:val="left"/>
      <w:pPr>
        <w:ind w:left="5296" w:hanging="428"/>
      </w:pPr>
      <w:rPr>
        <w:rFonts w:hint="default"/>
        <w:lang w:val="en-US" w:eastAsia="en-US" w:bidi="ar-SA"/>
      </w:rPr>
    </w:lvl>
    <w:lvl w:ilvl="7">
      <w:start w:val="0"/>
      <w:numFmt w:val="bullet"/>
      <w:lvlText w:val="•"/>
      <w:lvlJc w:val="left"/>
      <w:pPr>
        <w:ind w:left="6098" w:hanging="428"/>
      </w:pPr>
      <w:rPr>
        <w:rFonts w:hint="default"/>
        <w:lang w:val="en-US" w:eastAsia="en-US" w:bidi="ar-SA"/>
      </w:rPr>
    </w:lvl>
    <w:lvl w:ilvl="8">
      <w:start w:val="0"/>
      <w:numFmt w:val="bullet"/>
      <w:lvlText w:val="•"/>
      <w:lvlJc w:val="left"/>
      <w:pPr>
        <w:ind w:left="6901" w:hanging="428"/>
      </w:pPr>
      <w:rPr>
        <w:rFonts w:hint="default"/>
        <w:lang w:val="en-US" w:eastAsia="en-US" w:bidi="ar-SA"/>
      </w:rPr>
    </w:lvl>
  </w:abstractNum>
  <w:abstractNum w:abstractNumId="3">
    <w:multiLevelType w:val="hybridMultilevel"/>
    <w:lvl w:ilvl="0">
      <w:start w:val="0"/>
      <w:numFmt w:val="bullet"/>
      <w:lvlText w:val=""/>
      <w:lvlJc w:val="left"/>
      <w:pPr>
        <w:ind w:left="477" w:hanging="428"/>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282" w:hanging="428"/>
      </w:pPr>
      <w:rPr>
        <w:rFonts w:hint="default"/>
        <w:lang w:val="en-US" w:eastAsia="en-US" w:bidi="ar-SA"/>
      </w:rPr>
    </w:lvl>
    <w:lvl w:ilvl="2">
      <w:start w:val="0"/>
      <w:numFmt w:val="bullet"/>
      <w:lvlText w:val="•"/>
      <w:lvlJc w:val="left"/>
      <w:pPr>
        <w:ind w:left="2085" w:hanging="428"/>
      </w:pPr>
      <w:rPr>
        <w:rFonts w:hint="default"/>
        <w:lang w:val="en-US" w:eastAsia="en-US" w:bidi="ar-SA"/>
      </w:rPr>
    </w:lvl>
    <w:lvl w:ilvl="3">
      <w:start w:val="0"/>
      <w:numFmt w:val="bullet"/>
      <w:lvlText w:val="•"/>
      <w:lvlJc w:val="left"/>
      <w:pPr>
        <w:ind w:left="2888" w:hanging="428"/>
      </w:pPr>
      <w:rPr>
        <w:rFonts w:hint="default"/>
        <w:lang w:val="en-US" w:eastAsia="en-US" w:bidi="ar-SA"/>
      </w:rPr>
    </w:lvl>
    <w:lvl w:ilvl="4">
      <w:start w:val="0"/>
      <w:numFmt w:val="bullet"/>
      <w:lvlText w:val="•"/>
      <w:lvlJc w:val="left"/>
      <w:pPr>
        <w:ind w:left="3690" w:hanging="428"/>
      </w:pPr>
      <w:rPr>
        <w:rFonts w:hint="default"/>
        <w:lang w:val="en-US" w:eastAsia="en-US" w:bidi="ar-SA"/>
      </w:rPr>
    </w:lvl>
    <w:lvl w:ilvl="5">
      <w:start w:val="0"/>
      <w:numFmt w:val="bullet"/>
      <w:lvlText w:val="•"/>
      <w:lvlJc w:val="left"/>
      <w:pPr>
        <w:ind w:left="4493" w:hanging="428"/>
      </w:pPr>
      <w:rPr>
        <w:rFonts w:hint="default"/>
        <w:lang w:val="en-US" w:eastAsia="en-US" w:bidi="ar-SA"/>
      </w:rPr>
    </w:lvl>
    <w:lvl w:ilvl="6">
      <w:start w:val="0"/>
      <w:numFmt w:val="bullet"/>
      <w:lvlText w:val="•"/>
      <w:lvlJc w:val="left"/>
      <w:pPr>
        <w:ind w:left="5296" w:hanging="428"/>
      </w:pPr>
      <w:rPr>
        <w:rFonts w:hint="default"/>
        <w:lang w:val="en-US" w:eastAsia="en-US" w:bidi="ar-SA"/>
      </w:rPr>
    </w:lvl>
    <w:lvl w:ilvl="7">
      <w:start w:val="0"/>
      <w:numFmt w:val="bullet"/>
      <w:lvlText w:val="•"/>
      <w:lvlJc w:val="left"/>
      <w:pPr>
        <w:ind w:left="6098" w:hanging="428"/>
      </w:pPr>
      <w:rPr>
        <w:rFonts w:hint="default"/>
        <w:lang w:val="en-US" w:eastAsia="en-US" w:bidi="ar-SA"/>
      </w:rPr>
    </w:lvl>
    <w:lvl w:ilvl="8">
      <w:start w:val="0"/>
      <w:numFmt w:val="bullet"/>
      <w:lvlText w:val="•"/>
      <w:lvlJc w:val="left"/>
      <w:pPr>
        <w:ind w:left="6901" w:hanging="428"/>
      </w:pPr>
      <w:rPr>
        <w:rFonts w:hint="default"/>
        <w:lang w:val="en-US" w:eastAsia="en-US" w:bidi="ar-SA"/>
      </w:rPr>
    </w:lvl>
  </w:abstractNum>
  <w:abstractNum w:abstractNumId="2">
    <w:multiLevelType w:val="hybridMultilevel"/>
    <w:lvl w:ilvl="0">
      <w:start w:val="0"/>
      <w:numFmt w:val="bullet"/>
      <w:lvlText w:val=""/>
      <w:lvlJc w:val="left"/>
      <w:pPr>
        <w:ind w:left="477" w:hanging="428"/>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282" w:hanging="428"/>
      </w:pPr>
      <w:rPr>
        <w:rFonts w:hint="default"/>
        <w:lang w:val="en-US" w:eastAsia="en-US" w:bidi="ar-SA"/>
      </w:rPr>
    </w:lvl>
    <w:lvl w:ilvl="2">
      <w:start w:val="0"/>
      <w:numFmt w:val="bullet"/>
      <w:lvlText w:val="•"/>
      <w:lvlJc w:val="left"/>
      <w:pPr>
        <w:ind w:left="2085" w:hanging="428"/>
      </w:pPr>
      <w:rPr>
        <w:rFonts w:hint="default"/>
        <w:lang w:val="en-US" w:eastAsia="en-US" w:bidi="ar-SA"/>
      </w:rPr>
    </w:lvl>
    <w:lvl w:ilvl="3">
      <w:start w:val="0"/>
      <w:numFmt w:val="bullet"/>
      <w:lvlText w:val="•"/>
      <w:lvlJc w:val="left"/>
      <w:pPr>
        <w:ind w:left="2888" w:hanging="428"/>
      </w:pPr>
      <w:rPr>
        <w:rFonts w:hint="default"/>
        <w:lang w:val="en-US" w:eastAsia="en-US" w:bidi="ar-SA"/>
      </w:rPr>
    </w:lvl>
    <w:lvl w:ilvl="4">
      <w:start w:val="0"/>
      <w:numFmt w:val="bullet"/>
      <w:lvlText w:val="•"/>
      <w:lvlJc w:val="left"/>
      <w:pPr>
        <w:ind w:left="3690" w:hanging="428"/>
      </w:pPr>
      <w:rPr>
        <w:rFonts w:hint="default"/>
        <w:lang w:val="en-US" w:eastAsia="en-US" w:bidi="ar-SA"/>
      </w:rPr>
    </w:lvl>
    <w:lvl w:ilvl="5">
      <w:start w:val="0"/>
      <w:numFmt w:val="bullet"/>
      <w:lvlText w:val="•"/>
      <w:lvlJc w:val="left"/>
      <w:pPr>
        <w:ind w:left="4493" w:hanging="428"/>
      </w:pPr>
      <w:rPr>
        <w:rFonts w:hint="default"/>
        <w:lang w:val="en-US" w:eastAsia="en-US" w:bidi="ar-SA"/>
      </w:rPr>
    </w:lvl>
    <w:lvl w:ilvl="6">
      <w:start w:val="0"/>
      <w:numFmt w:val="bullet"/>
      <w:lvlText w:val="•"/>
      <w:lvlJc w:val="left"/>
      <w:pPr>
        <w:ind w:left="5296" w:hanging="428"/>
      </w:pPr>
      <w:rPr>
        <w:rFonts w:hint="default"/>
        <w:lang w:val="en-US" w:eastAsia="en-US" w:bidi="ar-SA"/>
      </w:rPr>
    </w:lvl>
    <w:lvl w:ilvl="7">
      <w:start w:val="0"/>
      <w:numFmt w:val="bullet"/>
      <w:lvlText w:val="•"/>
      <w:lvlJc w:val="left"/>
      <w:pPr>
        <w:ind w:left="6098" w:hanging="428"/>
      </w:pPr>
      <w:rPr>
        <w:rFonts w:hint="default"/>
        <w:lang w:val="en-US" w:eastAsia="en-US" w:bidi="ar-SA"/>
      </w:rPr>
    </w:lvl>
    <w:lvl w:ilvl="8">
      <w:start w:val="0"/>
      <w:numFmt w:val="bullet"/>
      <w:lvlText w:val="•"/>
      <w:lvlJc w:val="left"/>
      <w:pPr>
        <w:ind w:left="6901" w:hanging="428"/>
      </w:pPr>
      <w:rPr>
        <w:rFonts w:hint="default"/>
        <w:lang w:val="en-US" w:eastAsia="en-US" w:bidi="ar-SA"/>
      </w:rPr>
    </w:lvl>
  </w:abstractNum>
  <w:abstractNum w:abstractNumId="1">
    <w:multiLevelType w:val="hybridMultilevel"/>
    <w:lvl w:ilvl="0">
      <w:start w:val="0"/>
      <w:numFmt w:val="bullet"/>
      <w:lvlText w:val=""/>
      <w:lvlJc w:val="left"/>
      <w:pPr>
        <w:ind w:left="477" w:hanging="428"/>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282" w:hanging="428"/>
      </w:pPr>
      <w:rPr>
        <w:rFonts w:hint="default"/>
        <w:lang w:val="en-US" w:eastAsia="en-US" w:bidi="ar-SA"/>
      </w:rPr>
    </w:lvl>
    <w:lvl w:ilvl="2">
      <w:start w:val="0"/>
      <w:numFmt w:val="bullet"/>
      <w:lvlText w:val="•"/>
      <w:lvlJc w:val="left"/>
      <w:pPr>
        <w:ind w:left="2085" w:hanging="428"/>
      </w:pPr>
      <w:rPr>
        <w:rFonts w:hint="default"/>
        <w:lang w:val="en-US" w:eastAsia="en-US" w:bidi="ar-SA"/>
      </w:rPr>
    </w:lvl>
    <w:lvl w:ilvl="3">
      <w:start w:val="0"/>
      <w:numFmt w:val="bullet"/>
      <w:lvlText w:val="•"/>
      <w:lvlJc w:val="left"/>
      <w:pPr>
        <w:ind w:left="2888" w:hanging="428"/>
      </w:pPr>
      <w:rPr>
        <w:rFonts w:hint="default"/>
        <w:lang w:val="en-US" w:eastAsia="en-US" w:bidi="ar-SA"/>
      </w:rPr>
    </w:lvl>
    <w:lvl w:ilvl="4">
      <w:start w:val="0"/>
      <w:numFmt w:val="bullet"/>
      <w:lvlText w:val="•"/>
      <w:lvlJc w:val="left"/>
      <w:pPr>
        <w:ind w:left="3690" w:hanging="428"/>
      </w:pPr>
      <w:rPr>
        <w:rFonts w:hint="default"/>
        <w:lang w:val="en-US" w:eastAsia="en-US" w:bidi="ar-SA"/>
      </w:rPr>
    </w:lvl>
    <w:lvl w:ilvl="5">
      <w:start w:val="0"/>
      <w:numFmt w:val="bullet"/>
      <w:lvlText w:val="•"/>
      <w:lvlJc w:val="left"/>
      <w:pPr>
        <w:ind w:left="4493" w:hanging="428"/>
      </w:pPr>
      <w:rPr>
        <w:rFonts w:hint="default"/>
        <w:lang w:val="en-US" w:eastAsia="en-US" w:bidi="ar-SA"/>
      </w:rPr>
    </w:lvl>
    <w:lvl w:ilvl="6">
      <w:start w:val="0"/>
      <w:numFmt w:val="bullet"/>
      <w:lvlText w:val="•"/>
      <w:lvlJc w:val="left"/>
      <w:pPr>
        <w:ind w:left="5296" w:hanging="428"/>
      </w:pPr>
      <w:rPr>
        <w:rFonts w:hint="default"/>
        <w:lang w:val="en-US" w:eastAsia="en-US" w:bidi="ar-SA"/>
      </w:rPr>
    </w:lvl>
    <w:lvl w:ilvl="7">
      <w:start w:val="0"/>
      <w:numFmt w:val="bullet"/>
      <w:lvlText w:val="•"/>
      <w:lvlJc w:val="left"/>
      <w:pPr>
        <w:ind w:left="6098" w:hanging="428"/>
      </w:pPr>
      <w:rPr>
        <w:rFonts w:hint="default"/>
        <w:lang w:val="en-US" w:eastAsia="en-US" w:bidi="ar-SA"/>
      </w:rPr>
    </w:lvl>
    <w:lvl w:ilvl="8">
      <w:start w:val="0"/>
      <w:numFmt w:val="bullet"/>
      <w:lvlText w:val="•"/>
      <w:lvlJc w:val="left"/>
      <w:pPr>
        <w:ind w:left="6901" w:hanging="428"/>
      </w:pPr>
      <w:rPr>
        <w:rFonts w:hint="default"/>
        <w:lang w:val="en-US" w:eastAsia="en-US" w:bidi="ar-SA"/>
      </w:rPr>
    </w:lvl>
  </w:abstractNum>
  <w:abstractNum w:abstractNumId="0">
    <w:multiLevelType w:val="hybridMultilevel"/>
    <w:lvl w:ilvl="0">
      <w:start w:val="0"/>
      <w:numFmt w:val="bullet"/>
      <w:lvlText w:val=""/>
      <w:lvlJc w:val="left"/>
      <w:pPr>
        <w:ind w:left="477" w:hanging="428"/>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282" w:hanging="428"/>
      </w:pPr>
      <w:rPr>
        <w:rFonts w:hint="default"/>
        <w:lang w:val="en-US" w:eastAsia="en-US" w:bidi="ar-SA"/>
      </w:rPr>
    </w:lvl>
    <w:lvl w:ilvl="2">
      <w:start w:val="0"/>
      <w:numFmt w:val="bullet"/>
      <w:lvlText w:val="•"/>
      <w:lvlJc w:val="left"/>
      <w:pPr>
        <w:ind w:left="2085" w:hanging="428"/>
      </w:pPr>
      <w:rPr>
        <w:rFonts w:hint="default"/>
        <w:lang w:val="en-US" w:eastAsia="en-US" w:bidi="ar-SA"/>
      </w:rPr>
    </w:lvl>
    <w:lvl w:ilvl="3">
      <w:start w:val="0"/>
      <w:numFmt w:val="bullet"/>
      <w:lvlText w:val="•"/>
      <w:lvlJc w:val="left"/>
      <w:pPr>
        <w:ind w:left="2888" w:hanging="428"/>
      </w:pPr>
      <w:rPr>
        <w:rFonts w:hint="default"/>
        <w:lang w:val="en-US" w:eastAsia="en-US" w:bidi="ar-SA"/>
      </w:rPr>
    </w:lvl>
    <w:lvl w:ilvl="4">
      <w:start w:val="0"/>
      <w:numFmt w:val="bullet"/>
      <w:lvlText w:val="•"/>
      <w:lvlJc w:val="left"/>
      <w:pPr>
        <w:ind w:left="3690" w:hanging="428"/>
      </w:pPr>
      <w:rPr>
        <w:rFonts w:hint="default"/>
        <w:lang w:val="en-US" w:eastAsia="en-US" w:bidi="ar-SA"/>
      </w:rPr>
    </w:lvl>
    <w:lvl w:ilvl="5">
      <w:start w:val="0"/>
      <w:numFmt w:val="bullet"/>
      <w:lvlText w:val="•"/>
      <w:lvlJc w:val="left"/>
      <w:pPr>
        <w:ind w:left="4493" w:hanging="428"/>
      </w:pPr>
      <w:rPr>
        <w:rFonts w:hint="default"/>
        <w:lang w:val="en-US" w:eastAsia="en-US" w:bidi="ar-SA"/>
      </w:rPr>
    </w:lvl>
    <w:lvl w:ilvl="6">
      <w:start w:val="0"/>
      <w:numFmt w:val="bullet"/>
      <w:lvlText w:val="•"/>
      <w:lvlJc w:val="left"/>
      <w:pPr>
        <w:ind w:left="5296" w:hanging="428"/>
      </w:pPr>
      <w:rPr>
        <w:rFonts w:hint="default"/>
        <w:lang w:val="en-US" w:eastAsia="en-US" w:bidi="ar-SA"/>
      </w:rPr>
    </w:lvl>
    <w:lvl w:ilvl="7">
      <w:start w:val="0"/>
      <w:numFmt w:val="bullet"/>
      <w:lvlText w:val="•"/>
      <w:lvlJc w:val="left"/>
      <w:pPr>
        <w:ind w:left="6098" w:hanging="428"/>
      </w:pPr>
      <w:rPr>
        <w:rFonts w:hint="default"/>
        <w:lang w:val="en-US" w:eastAsia="en-US" w:bidi="ar-SA"/>
      </w:rPr>
    </w:lvl>
    <w:lvl w:ilvl="8">
      <w:start w:val="0"/>
      <w:numFmt w:val="bullet"/>
      <w:lvlText w:val="•"/>
      <w:lvlJc w:val="left"/>
      <w:pPr>
        <w:ind w:left="6901" w:hanging="428"/>
      </w:pPr>
      <w:rPr>
        <w:rFonts w:hint="default"/>
        <w:lang w:val="en-US" w:eastAsia="en-US" w:bidi="ar-SA"/>
      </w:rPr>
    </w:lvl>
  </w:abstract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16"/>
      <w:szCs w:val="16"/>
      <w:lang w:val="en-US" w:eastAsia="en-US" w:bidi="ar-SA"/>
    </w:rPr>
  </w:style>
  <w:style w:styleId="Heading1" w:type="paragraph">
    <w:name w:val="Heading 1"/>
    <w:basedOn w:val="Normal"/>
    <w:uiPriority w:val="1"/>
    <w:qFormat/>
    <w:pPr>
      <w:spacing w:before="218"/>
      <w:ind w:left="143"/>
      <w:outlineLvl w:val="1"/>
    </w:pPr>
    <w:rPr>
      <w:rFonts w:ascii="Arial" w:hAnsi="Arial" w:eastAsia="Arial" w:cs="Arial"/>
      <w:b/>
      <w:bCs/>
      <w:sz w:val="42"/>
      <w:szCs w:val="4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http://www.finma.ch/" TargetMode="External"/><Relationship Id="rId7" Type="http://schemas.openxmlformats.org/officeDocument/2006/relationships/footer" Target="footer1.xml"/><Relationship Id="rId8" Type="http://schemas.openxmlformats.org/officeDocument/2006/relationships/image" Target="media/image2.jpeg"/><Relationship Id="rId9" Type="http://schemas.openxmlformats.org/officeDocument/2006/relationships/header" Target="header1.xml"/><Relationship Id="rId10" Type="http://schemas.openxmlformats.org/officeDocument/2006/relationships/footer" Target="footer2.xml"/><Relationship Id="rId11" Type="http://schemas.openxmlformats.org/officeDocument/2006/relationships/header" Target="header2.xml"/><Relationship Id="rId12" Type="http://schemas.openxmlformats.org/officeDocument/2006/relationships/footer" Target="footer3.xml"/><Relationship Id="rId1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2025-11-08T10:57:51Z</dcterms:created>
  <dcterms:modified xsi:type="dcterms:W3CDTF">2025-11-08T10:57:51Z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2022-07-21T00:00:00Z</vt:filetime>
  </property>
  <property fmtid="{D5CDD505-2E9C-101B-9397-08002B2CF9AE}" pid="3" name="Creator">
    <vt:lpwstr>Microsoft® Word pour Microsoft 365</vt:lpwstr>
  </property>
  <property fmtid="{D5CDD505-2E9C-101B-9397-08002B2CF9AE}" pid="4" name="LastSaved">
    <vt:filetime>2025-11-08T00:00:00Z</vt:filetime>
  </property>
  <property fmtid="{D5CDD505-2E9C-101B-9397-08002B2CF9AE}" pid="5" name="Producer">
    <vt:lpwstr>3-Heights(TM) PDF Security Shell 4.8.25.2 (http://www.pdf-tools.com)</vt:lpwstr>
  </property>
</Properties>
</file>