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pPr>
      <w:r>
        <w:rPr>
          <w:rFonts w:ascii="Calibri" w:hAnsi="Calibri"/>
          <w:b/>
          <w:color w:val="1A335C"/>
          <w:sz w:val="80"/>
        </w:rPr>
        <w:t>ARISE</w:t>
      </w:r>
    </w:p>
    <w:p>
      <w:pPr>
        <w:spacing w:after="800"/>
      </w:pPr>
      <w:r>
        <w:rPr>
          <w:rFonts w:ascii="Calibri" w:hAnsi="Calibri"/>
          <w:i/>
          <w:color w:val="6B6B6B"/>
          <w:sz w:val="24"/>
        </w:rPr>
        <w:t>Augmented Rehabilitation &amp; Intelligent System for Enhancement</w:t>
      </w:r>
    </w:p>
    <w:p>
      <w:pPr>
        <w:spacing w:after="80"/>
      </w:pPr>
      <w:r>
        <w:rPr>
          <w:rFonts w:ascii="Calibri" w:hAnsi="Calibri"/>
          <w:b/>
          <w:color w:val="141414"/>
          <w:sz w:val="52"/>
        </w:rPr>
        <w:t>ARISE References Catalogue</w:t>
      </w:r>
    </w:p>
    <w:p>
      <w:pPr>
        <w:spacing w:after="800"/>
      </w:pPr>
      <w:r>
        <w:rPr>
          <w:rFonts w:ascii="Calibri" w:hAnsi="Calibri"/>
          <w:i/>
          <w:color w:val="6B6B6B"/>
          <w:sz w:val="26"/>
        </w:rPr>
        <w:t>Sit-to-Stand clinical and biomechanical sources behind D1.1 and T1.3</w:t>
      </w:r>
    </w:p>
    <w:tbl>
      <w:tblPr>
        <w:tblStyle w:val="LightList-Accent1"/>
        <w:tblW w:type="auto" w:w="0"/>
        <w:tblLook w:firstColumn="1" w:firstRow="1" w:lastColumn="0" w:lastRow="0" w:noHBand="0" w:noVBand="1" w:val="04A0"/>
      </w:tblPr>
      <w:tblGrid>
        <w:gridCol w:w="4706"/>
        <w:gridCol w:w="4706"/>
      </w:tblGrid>
      <w:tr>
        <w:tc>
          <w:tcPr>
            <w:tcW w:type="dxa" w:w="4706"/>
          </w:tcPr>
          <w:p>
            <w:r/>
            <w:r>
              <w:rPr>
                <w:rFonts w:ascii="Calibri" w:hAnsi="Calibri"/>
                <w:b/>
                <w:color w:val="141414"/>
                <w:sz w:val="20"/>
              </w:rPr>
              <w:t>Project</w:t>
            </w:r>
          </w:p>
        </w:tc>
        <w:tc>
          <w:tcPr>
            <w:tcW w:type="dxa" w:w="4706"/>
          </w:tcPr>
          <w:p>
            <w:r/>
            <w:r>
              <w:rPr>
                <w:rFonts w:ascii="Calibri" w:hAnsi="Calibri"/>
                <w:color w:val="141414"/>
                <w:sz w:val="20"/>
              </w:rPr>
              <w:t>ARISE</w:t>
            </w:r>
          </w:p>
        </w:tc>
      </w:tr>
      <w:tr>
        <w:tc>
          <w:tcPr>
            <w:tcW w:type="dxa" w:w="4706"/>
          </w:tcPr>
          <w:p>
            <w:r/>
            <w:r>
              <w:rPr>
                <w:rFonts w:ascii="Calibri" w:hAnsi="Calibri"/>
                <w:b/>
                <w:color w:val="141414"/>
                <w:sz w:val="20"/>
              </w:rPr>
              <w:t>Document type</w:t>
            </w:r>
          </w:p>
        </w:tc>
        <w:tc>
          <w:tcPr>
            <w:tcW w:type="dxa" w:w="4706"/>
          </w:tcPr>
          <w:p>
            <w:r/>
            <w:r>
              <w:rPr>
                <w:rFonts w:ascii="Calibri" w:hAnsi="Calibri"/>
                <w:color w:val="141414"/>
                <w:sz w:val="20"/>
              </w:rPr>
              <w:t>References catalogue, per-threshold source tracing</w:t>
            </w:r>
          </w:p>
        </w:tc>
      </w:tr>
      <w:tr>
        <w:tc>
          <w:tcPr>
            <w:tcW w:type="dxa" w:w="4706"/>
          </w:tcPr>
          <w:p>
            <w:r/>
            <w:r>
              <w:rPr>
                <w:rFonts w:ascii="Calibri" w:hAnsi="Calibri"/>
                <w:b/>
                <w:color w:val="141414"/>
                <w:sz w:val="20"/>
              </w:rPr>
              <w:t>Companion to</w:t>
            </w:r>
          </w:p>
        </w:tc>
        <w:tc>
          <w:tcPr>
            <w:tcW w:type="dxa" w:w="4706"/>
          </w:tcPr>
          <w:p>
            <w:r/>
            <w:r>
              <w:rPr>
                <w:rFonts w:ascii="Calibri" w:hAnsi="Calibri"/>
                <w:color w:val="141414"/>
                <w:sz w:val="20"/>
              </w:rPr>
              <w:t>D1.1 Clinical Requirements and Biomechanical KPIs, T1.3 Clinical Requirements and Protocol Definition</w:t>
            </w:r>
          </w:p>
        </w:tc>
      </w:tr>
      <w:tr>
        <w:tc>
          <w:tcPr>
            <w:tcW w:type="dxa" w:w="4706"/>
          </w:tcPr>
          <w:p>
            <w:r/>
            <w:r>
              <w:rPr>
                <w:rFonts w:ascii="Calibri" w:hAnsi="Calibri"/>
                <w:b/>
                <w:color w:val="141414"/>
                <w:sz w:val="20"/>
              </w:rPr>
              <w:t>Scope</w:t>
            </w:r>
          </w:p>
        </w:tc>
        <w:tc>
          <w:tcPr>
            <w:tcW w:type="dxa" w:w="4706"/>
          </w:tcPr>
          <w:p>
            <w:r/>
            <w:r>
              <w:rPr>
                <w:rFonts w:ascii="Calibri" w:hAnsi="Calibri"/>
                <w:color w:val="141414"/>
                <w:sz w:val="20"/>
              </w:rPr>
              <w:t>Sit-to-Stand biomechanics, clinical assessment tests, muscle and pathology associations, technology and regulatory sources</w:t>
            </w:r>
          </w:p>
        </w:tc>
      </w:tr>
      <w:tr>
        <w:tc>
          <w:tcPr>
            <w:tcW w:type="dxa" w:w="4706"/>
          </w:tcPr>
          <w:p>
            <w:r/>
            <w:r>
              <w:rPr>
                <w:rFonts w:ascii="Calibri" w:hAnsi="Calibri"/>
                <w:b/>
                <w:color w:val="141414"/>
                <w:sz w:val="20"/>
              </w:rPr>
              <w:t>Number of cited sources</w:t>
            </w:r>
          </w:p>
        </w:tc>
        <w:tc>
          <w:tcPr>
            <w:tcW w:type="dxa" w:w="4706"/>
          </w:tcPr>
          <w:p>
            <w:r/>
            <w:r>
              <w:rPr>
                <w:rFonts w:ascii="Calibri" w:hAnsi="Calibri"/>
                <w:color w:val="141414"/>
                <w:sz w:val="20"/>
              </w:rPr>
              <w:t>60+</w:t>
            </w:r>
          </w:p>
        </w:tc>
      </w:tr>
      <w:tr>
        <w:tc>
          <w:tcPr>
            <w:tcW w:type="dxa" w:w="4706"/>
          </w:tcPr>
          <w:p>
            <w:r/>
            <w:r>
              <w:rPr>
                <w:rFonts w:ascii="Calibri" w:hAnsi="Calibri"/>
                <w:b/>
                <w:color w:val="141414"/>
                <w:sz w:val="20"/>
              </w:rPr>
              <w:t>Status</w:t>
            </w:r>
          </w:p>
        </w:tc>
        <w:tc>
          <w:tcPr>
            <w:tcW w:type="dxa" w:w="4706"/>
          </w:tcPr>
          <w:p>
            <w:r/>
            <w:r>
              <w:rPr>
                <w:rFonts w:ascii="Calibri" w:hAnsi="Calibri"/>
                <w:color w:val="141414"/>
                <w:sz w:val="20"/>
              </w:rPr>
              <w:t>Draft for internal review</w:t>
            </w:r>
          </w:p>
        </w:tc>
      </w:tr>
      <w:tr>
        <w:tc>
          <w:tcPr>
            <w:tcW w:type="dxa" w:w="4706"/>
          </w:tcPr>
          <w:p>
            <w:r/>
            <w:r>
              <w:rPr>
                <w:rFonts w:ascii="Calibri" w:hAnsi="Calibri"/>
                <w:b/>
                <w:color w:val="141414"/>
                <w:sz w:val="20"/>
              </w:rPr>
              <w:t>Version, date</w:t>
            </w:r>
          </w:p>
        </w:tc>
        <w:tc>
          <w:tcPr>
            <w:tcW w:type="dxa" w:w="4706"/>
          </w:tcPr>
          <w:p>
            <w:r/>
            <w:r>
              <w:rPr>
                <w:rFonts w:ascii="Calibri" w:hAnsi="Calibri"/>
                <w:color w:val="141414"/>
                <w:sz w:val="20"/>
              </w:rPr>
              <w:t>1.0, 15 June 2026</w:t>
            </w:r>
          </w:p>
        </w:tc>
      </w:tr>
    </w:tbl>
    <w:p>
      <w:r>
        <w:br w:type="page"/>
      </w:r>
    </w:p>
    <w:p>
      <w:pPr>
        <w:pStyle w:val="Heading1"/>
      </w:pPr>
      <w:r>
        <w:t>Part 1: Sources used in D1.1 and T1.3</w:t>
      </w:r>
    </w:p>
    <w:p>
      <w:pPr>
        <w:pStyle w:val="Heading2"/>
      </w:pPr>
      <w:r>
        <w:t>1.1 STS phase decomposition</w:t>
      </w:r>
    </w:p>
    <w:p>
      <w:r>
        <w:rPr>
          <w:b/>
        </w:rPr>
        <w:t>[1] Schenkman M, Berger RA, Riley PO, Mann RW, Hodge WA (1990).</w:t>
      </w:r>
      <w:r>
        <w:t xml:space="preserve"> Whole-body movements during rising to standing from sitting. </w:t>
      </w:r>
      <w:r>
        <w:rPr>
          <w:i/>
        </w:rPr>
        <w:t>Physical Therapy</w:t>
      </w:r>
      <w:r>
        <w:t xml:space="preserve"> 70(10):638-648. </w:t>
      </w:r>
      <w:r>
        <w:rPr>
          <w:i/>
        </w:rPr>
        <w:t>Used in T1.3 (5.1) (cited explicitly as "Schenkman model") and D1.1 (2.3). Schenkman et al. instrumented healthy adults with reflective markers and ground-reaction force plates, and decomposed STS into four phases based on the time-aligned kinematic and kinetic signals: flexion-momentum, momentum-transfer, extension, and stabilisation. Our six-phase decomposition extends Schenkman's four phases by separating out the post-standing balance settling (our Stabilisation) as a distinct phase and adding the descent phase, because the failure mode "patient reaches standing but the trunk is still leaned" is distinct from "patient never reaches standing".</w:t>
      </w:r>
    </w:p>
    <w:p>
      <w:r>
        <w:rPr>
          <w:b/>
        </w:rPr>
        <w:t>[2] Roebroeck ME, Doorenbosch CAM, Harlaar J, Jacobs R, Lankhorst GJ (1994).</w:t>
      </w:r>
      <w:r>
        <w:t xml:space="preserve"> Biomechanics and muscular activity during sit-to-stand transfer. </w:t>
      </w:r>
      <w:r>
        <w:rPr>
          <w:i/>
        </w:rPr>
        <w:t>Clinical Biomechanics</w:t>
      </w:r>
      <w:r>
        <w:t xml:space="preserve"> 9:235-244. </w:t>
      </w:r>
      <w:r>
        <w:rPr>
          <w:i/>
        </w:rPr>
        <w:t>Used in D1.1 (2.3) and T1.3 (5.1). Roebroeck et al. recorded simultaneous angular kinematics and the surface EMG activity of the quadriceps, hamstrings, tibialis anterior, and gastrocnemius across the four classical STS phases. The combined kinematic-plus-EMG data establishes the timing and amplitude of muscle activation expected in each phase: which muscle should fire when, and at what level.</w:t>
      </w:r>
    </w:p>
    <w:p>
      <w:r>
        <w:rPr>
          <w:b/>
        </w:rPr>
        <w:t>[3] Janssen WGM, Bussmann HBJ, Stam HJ (2002).</w:t>
      </w:r>
      <w:r>
        <w:t xml:space="preserve"> Determinants of the sit-to-stand movement: a review. </w:t>
      </w:r>
      <w:r>
        <w:rPr>
          <w:i/>
        </w:rPr>
        <w:t>Physical Therapy</w:t>
      </w:r>
      <w:r>
        <w:t xml:space="preserve"> 82(9):866-879. </w:t>
      </w:r>
      <w:r>
        <w:rPr>
          <w:i/>
        </w:rPr>
        <w:t>Used in D1.1 (2.3) as the umbrella review behind the phase model. Janssen et al. systematically reviewed 39 STS biomechanics studies published between 1979 and 2000, including the Schenkman phase model and several alternatives (Kralj's 5-phase model and the Mansfield-Maki 3-phase model). The review documents the determinants of STS performance: chair height, seat depth, foot placement, arm use, trunk strategy, age, sex, body mass. These determinants are what justify the standardised set-up requirements we put in T1.3 (11.2).</w:t>
      </w:r>
    </w:p>
    <w:p>
      <w:r>
        <w:rPr>
          <w:b/>
        </w:rPr>
        <w:t>[4] Yoshioka S, Nagano A, Hay DC, Fukashiro S (2009).</w:t>
      </w:r>
      <w:r>
        <w:t xml:space="preserve"> Biomechanical analysis of the relation between movement time and joint moment development during a sit-to-stand task. </w:t>
      </w:r>
      <w:r>
        <w:rPr>
          <w:i/>
        </w:rPr>
        <w:t>BioMed Engineering OnLine</w:t>
      </w:r>
      <w:r>
        <w:t xml:space="preserve"> 8:27. </w:t>
      </w:r>
      <w:r>
        <w:rPr>
          <w:i/>
        </w:rPr>
        <w:t>Used in D1.1 (2.3) (phase-boundary detection) and (3.3) (peak hip vertical velocity for E8): the 0.06 × body-height per-frame velocity threshold for E8 (failed stand) corresponds to the lower end of Yoshioka's reported velocity range for completed transitions.</w:t>
      </w:r>
    </w:p>
    <w:p>
      <w:pPr>
        <w:pStyle w:val="Heading2"/>
      </w:pPr>
      <w:r>
        <w:t>1.2 Joint-angle and balance thresholds</w:t>
      </w:r>
    </w:p>
    <w:p>
      <w:r>
        <w:rPr>
          <w:b/>
        </w:rPr>
        <w:t>[5] Hughes MA, Myers BS, Schenkman ML (1996).</w:t>
      </w:r>
      <w:r>
        <w:t xml:space="preserve"> The role of strength in rising from a chair in the functionally impaired elderly. </w:t>
      </w:r>
      <w:r>
        <w:rPr>
          <w:i/>
        </w:rPr>
        <w:t>Journal of Biomechanics</w:t>
      </w:r>
      <w:r>
        <w:t xml:space="preserve"> 29(12):1509-1513. </w:t>
      </w:r>
      <w:r>
        <w:rPr>
          <w:i/>
        </w:rPr>
        <w:t>Used in D1.1 (3.1) (trunk-at-standing reference for E10) and (3.3) (lower-limb strength as ascent predictor).</w:t>
      </w:r>
    </w:p>
    <w:p>
      <w:r>
        <w:rPr>
          <w:b/>
        </w:rPr>
        <w:t>[6] Hirschfeld H, Thorsteinsdottir M, Olsson E (1999).</w:t>
      </w:r>
      <w:r>
        <w:t xml:space="preserve"> Coordinated ground forces exerted by buttocks and feet are adequately programmed for weight transfer during sit-to-stand. </w:t>
      </w:r>
      <w:r>
        <w:rPr>
          <w:i/>
        </w:rPr>
        <w:t>Journal of Neurophysiology</w:t>
      </w:r>
      <w:r>
        <w:t xml:space="preserve"> 82:3021-3029. </w:t>
      </w:r>
      <w:r>
        <w:rPr>
          <w:i/>
        </w:rPr>
        <w:t>Used in D1.1 (3.1) (lateral trunk sway threshold for E5) and (3.4) (CoM lateral excursion).</w:t>
      </w:r>
    </w:p>
    <w:p>
      <w:r>
        <w:rPr>
          <w:b/>
        </w:rPr>
        <w:t>[7] Kado DM, Huang M-H, Karlamangla AS, Barrett-Connor E, Greendale GA (2007).</w:t>
      </w:r>
      <w:r>
        <w:t xml:space="preserve"> Hyperkyphotic posture predicts mortality in older community-dwelling men and women. </w:t>
      </w:r>
      <w:r>
        <w:rPr>
          <w:i/>
        </w:rPr>
        <w:t>Journal of the American Geriatrics Society</w:t>
      </w:r>
      <w:r>
        <w:t xml:space="preserve"> 55:1662-1667. </w:t>
      </w:r>
      <w:r>
        <w:rPr>
          <w:i/>
        </w:rPr>
        <w:t>Used in D1.1 (3.1) (spine curvature threshold for E3b, slumped spine).</w:t>
      </w:r>
    </w:p>
    <w:p>
      <w:r>
        <w:rPr>
          <w:b/>
        </w:rPr>
        <w:t>[8] Mizner RL, Petterson SC, Snyder-Mackler L (2005).</w:t>
      </w:r>
      <w:r>
        <w:t xml:space="preserve"> Quadriceps strength and the time course of functional recovery after total knee arthroplasty. </w:t>
      </w:r>
      <w:r>
        <w:rPr>
          <w:i/>
        </w:rPr>
        <w:t>JOSPT</w:t>
      </w:r>
      <w:r>
        <w:t xml:space="preserve"> 35(7):424-436. </w:t>
      </w:r>
      <w:r>
        <w:rPr>
          <w:i/>
        </w:rPr>
        <w:t>Used in D1.1 (3.2) (145° peak knee extension cut-off for E3) and (5) (E3 muscle association). The paper is the empirical basis for our 145° cut-off and the source of the E3 muscle attribution "quadriceps weakness, flexion contracture, pain avoidance".</w:t>
      </w:r>
    </w:p>
    <w:p>
      <w:r>
        <w:rPr>
          <w:b/>
        </w:rPr>
        <w:t>[9] Patterson KK, Parafianowicz I, Danells CJ, Closson V, Verrier MC, Staines WR, Black SE, McIlroy WE (2008).</w:t>
      </w:r>
      <w:r>
        <w:t xml:space="preserve"> Gait asymmetry in community-ambulating stroke survivors. </w:t>
      </w:r>
      <w:r>
        <w:rPr>
          <w:i/>
        </w:rPr>
        <w:t>Archives of Physical Medicine and Rehabilitation</w:t>
      </w:r>
      <w:r>
        <w:t xml:space="preserve"> 89:304-310. </w:t>
      </w:r>
      <w:r>
        <w:rPr>
          <w:i/>
        </w:rPr>
        <w:t>Used in D1.1 (3.2) (15° asymmetry threshold for E4) and (5) (E4 pathology association).</w:t>
      </w:r>
    </w:p>
    <w:p>
      <w:r>
        <w:rPr>
          <w:b/>
        </w:rPr>
        <w:t>[10] Hewett TE, Myer GD, Ford KR, Heidt RS Jr, Colosimo AJ, McLean SG, van den Bogert AJ, Paterno MV, Succop P (2005).</w:t>
      </w:r>
      <w:r>
        <w:t xml:space="preserve"> Biomechanical measures of neuromuscular control and valgus loading of the knee predict anterior cruciate ligament injury risk in female athletes. </w:t>
      </w:r>
      <w:r>
        <w:rPr>
          <w:i/>
        </w:rPr>
        <w:t>American Journal of Sports Medicine</w:t>
      </w:r>
      <w:r>
        <w:t xml:space="preserve"> 33(4):492-501. </w:t>
      </w:r>
      <w:r>
        <w:rPr>
          <w:i/>
        </w:rPr>
        <w:t>Used in D1.1 (3.2) (knee valgus for E1) and (5) (E1 ligament-risk attribution).</w:t>
      </w:r>
    </w:p>
    <w:p>
      <w:r>
        <w:rPr>
          <w:b/>
        </w:rPr>
        <w:t>[11] Powers CM (2010).</w:t>
      </w:r>
      <w:r>
        <w:t xml:space="preserve"> The influence of abnormal hip mechanics on knee injury: a biomechanical perspective. </w:t>
      </w:r>
      <w:r>
        <w:rPr>
          <w:i/>
        </w:rPr>
        <w:t>JOSPT</w:t>
      </w:r>
      <w:r>
        <w:t xml:space="preserve"> 40(2):42-51. </w:t>
      </w:r>
      <w:r>
        <w:rPr>
          <w:i/>
        </w:rPr>
        <w:t>Used in D1.1 (3.2) (E1) and (5) (E1 muscle association: hip-abductor weakness drives knee valgus).</w:t>
      </w:r>
    </w:p>
    <w:p>
      <w:r>
        <w:rPr>
          <w:b/>
        </w:rPr>
        <w:t>[12] Sharma L, Song J, Felson DT, Cahue S, Shamiyeh E, Dunlop DD (2001).</w:t>
      </w:r>
      <w:r>
        <w:t xml:space="preserve"> The role of knee alignment in disease progression and functional decline in knee osteoarthritis. </w:t>
      </w:r>
      <w:r>
        <w:rPr>
          <w:i/>
        </w:rPr>
        <w:t>JAMA</w:t>
      </w:r>
      <w:r>
        <w:t xml:space="preserve"> 286:188-195. </w:t>
      </w:r>
      <w:r>
        <w:rPr>
          <w:i/>
        </w:rPr>
        <w:t>Used in D1.1 (3.2) (knee varus threshold for E1b) and (5) (E1b pathology association: bow-leg deformity).</w:t>
      </w:r>
    </w:p>
    <w:p>
      <w:r>
        <w:rPr>
          <w:b/>
        </w:rPr>
        <w:t>[13] Bourke AK, O'Brien JV, Lyons GM (2007).</w:t>
      </w:r>
      <w:r>
        <w:t xml:space="preserve"> Evaluation of a threshold-based tri-axial accelerometer fall detection algorithm. </w:t>
      </w:r>
      <w:r>
        <w:rPr>
          <w:i/>
        </w:rPr>
        <w:t>Gait &amp; Posture</w:t>
      </w:r>
      <w:r>
        <w:t xml:space="preserve"> 26:194-199. </w:t>
      </w:r>
      <w:r>
        <w:rPr>
          <w:i/>
        </w:rPr>
        <w:t>Used in D1.1 (5.6) (G1 sudden drop threshold).</w:t>
      </w:r>
    </w:p>
    <w:p>
      <w:r>
        <w:rPr>
          <w:b/>
        </w:rPr>
        <w:t>[14] Lord SR, Murray SM, Chapman K, Munro B, Tiedemann A (2002).</w:t>
      </w:r>
      <w:r>
        <w:t xml:space="preserve"> Sit-to-stand performance depends on sensation, speed, balance, and psychological status in addition to strength in older people. </w:t>
      </w:r>
      <w:r>
        <w:rPr>
          <w:i/>
        </w:rPr>
        <w:t>J Gerontol A Biol Sci Med Sci</w:t>
      </w:r>
      <w:r>
        <w:t xml:space="preserve"> 57:M539-M543. </w:t>
      </w:r>
      <w:r>
        <w:rPr>
          <w:i/>
        </w:rPr>
        <w:t>Used in D1.1 (3.6) (uncontrolled descent for E9) and (5) (E9 muscle association: eccentric quadriceps weakness).</w:t>
      </w:r>
    </w:p>
    <w:p>
      <w:pPr>
        <w:pStyle w:val="Heading2"/>
      </w:pPr>
      <w:r>
        <w:t>1.3 Muscle and pathology associations (D1.1 §5)</w:t>
      </w:r>
    </w:p>
    <w:p>
      <w:r>
        <w:rPr>
          <w:b/>
        </w:rPr>
        <w:t>[15] Adkin AL, Frank JS, Carpenter MG, Peysar GW (2002).</w:t>
      </w:r>
      <w:r>
        <w:t xml:space="preserve"> Fear of falling modifies anticipatory postural control. </w:t>
      </w:r>
      <w:r>
        <w:rPr>
          <w:i/>
        </w:rPr>
        <w:t>Experimental Brain Research</w:t>
      </w:r>
      <w:r>
        <w:t xml:space="preserve"> 143:160-170. </w:t>
      </w:r>
      <w:r>
        <w:rPr>
          <w:i/>
        </w:rPr>
        <w:t>Used in (5) to justify the inclusion of "fear of falling" in the clinical pattern attributed to E2 (insufficient forward lean).</w:t>
      </w:r>
    </w:p>
    <w:p>
      <w:r>
        <w:rPr>
          <w:b/>
        </w:rPr>
        <w:t>[16] Bohannon RW (2007).</w:t>
      </w:r>
      <w:r>
        <w:t xml:space="preserve"> Knee extension strength and body weight determine sit-to-stand independence after stroke. </w:t>
      </w:r>
      <w:r>
        <w:rPr>
          <w:i/>
        </w:rPr>
        <w:t>Physiotherapy Theory and Practice</w:t>
      </w:r>
      <w:r>
        <w:t xml:space="preserve"> 23:291-297. </w:t>
      </w:r>
      <w:r>
        <w:rPr>
          <w:i/>
        </w:rPr>
        <w:t>Used in (5) (E3 muscle association: quadriceps strength as STS prerequisite, stroke context). This is the decision support for our E3 attribution of quadriceps weakness and is also the basis for why the per-patient personalisation layer in D1.1 (6.7) requires the patient to have completed at least five clinically correct repetitions before per-patient scoring activates: weaker patients may not produce enough correct reps to anchor the baseline.</w:t>
      </w:r>
    </w:p>
    <w:p>
      <w:r>
        <w:rPr>
          <w:b/>
        </w:rPr>
        <w:t>[17] Mizner RL, Snyder-Mackler L (2005).</w:t>
      </w:r>
      <w:r>
        <w:t xml:space="preserve"> Altered loading during walking and sit-to-stand is affected by quadriceps weakness after total knee arthroplasty. </w:t>
      </w:r>
      <w:r>
        <w:rPr>
          <w:i/>
        </w:rPr>
        <w:t>Journal of Orthopaedic Research</w:t>
      </w:r>
      <w:r>
        <w:t xml:space="preserve"> 23:1083-1090. </w:t>
      </w:r>
      <w:r>
        <w:rPr>
          <w:i/>
        </w:rPr>
        <w:t>Used in (5) (E4 muscle association: post-TKA asymmetric loading). This is the basis for our attribution of E4 (asymmetric knee extension) to the post-arthroplasty pattern, and for the inference that detecting E4 in a post-TKA patient flags a need for unilateral quadriceps strengthening.</w:t>
      </w:r>
    </w:p>
    <w:p>
      <w:r>
        <w:rPr>
          <w:b/>
        </w:rPr>
        <w:t>[18] Maki BE, McIlroy WE (1997).</w:t>
      </w:r>
      <w:r>
        <w:t xml:space="preserve"> The role of limb movements in maintaining upright stance: the "change-in-support" strategy. </w:t>
      </w:r>
      <w:r>
        <w:rPr>
          <w:i/>
        </w:rPr>
        <w:t>Physical Therapy</w:t>
      </w:r>
      <w:r>
        <w:t xml:space="preserve"> 77:488-507. </w:t>
      </w:r>
      <w:r>
        <w:rPr>
          <w:i/>
        </w:rPr>
        <w:t>Used in (5) (E5 trunk sway pathology context: balance compensation), which is what justifies treating excessive lateral trunk motion during STS as a clinical signal (E5) rather than as benign variability.</w:t>
      </w:r>
    </w:p>
    <w:p>
      <w:r>
        <w:rPr>
          <w:b/>
        </w:rPr>
        <w:t>[19] Cesari M, Cerullo F, Zamboni V, Di Niro V, Onder G, Liperoti R, et al. (2009).</w:t>
      </w:r>
      <w:r>
        <w:t xml:space="preserve"> Added value of physical performance measures in predicting adverse health-related events. </w:t>
      </w:r>
      <w:r>
        <w:rPr>
          <w:i/>
        </w:rPr>
        <w:t>Journal of the American Geriatrics Society</w:t>
      </w:r>
      <w:r>
        <w:t xml:space="preserve"> 57:251-259. </w:t>
      </w:r>
      <w:r>
        <w:rPr>
          <w:i/>
        </w:rPr>
        <w:t>Used in (5) (E6 slow movement, frailty marker), that justifies flagging slow STS to the therapist as a meaningful longitudinal signal.</w:t>
      </w:r>
    </w:p>
    <w:p>
      <w:r>
        <w:rPr>
          <w:b/>
        </w:rPr>
        <w:t>[20] Mak MK, Levin O, Mizrahi J, Hui-Chan CWY (2003).</w:t>
      </w:r>
      <w:r>
        <w:t xml:space="preserve"> Joint torques during sit-to-stand in healthy subjects and people with Parkinson's disease. </w:t>
      </w:r>
      <w:r>
        <w:rPr>
          <w:i/>
        </w:rPr>
        <w:t>Clinical Biomechanics</w:t>
      </w:r>
      <w:r>
        <w:t xml:space="preserve"> 18:197-206. </w:t>
      </w:r>
      <w:r>
        <w:rPr>
          <w:i/>
        </w:rPr>
        <w:t>Used in (5) (E6b knee instability, Parkinson context). The paper is the basis for using lateral knee oscillation and hip-velocity as detection signals for E6b, and for attributing E6b to Parkinson disease as a pattern.</w:t>
      </w:r>
    </w:p>
    <w:p>
      <w:r>
        <w:rPr>
          <w:b/>
        </w:rPr>
        <w:t>[21] Cheng PT, Liaw MY, Wong MK, Tang FT, Lee MY, Lin PS (1998).</w:t>
      </w:r>
      <w:r>
        <w:t xml:space="preserve"> The sit-to-stand movement in stroke patients and its correlation with falling. </w:t>
      </w:r>
      <w:r>
        <w:rPr>
          <w:i/>
        </w:rPr>
        <w:t>Archives of Physical Medicine and Rehabilitation</w:t>
      </w:r>
      <w:r>
        <w:t xml:space="preserve"> 79:1043-1046. </w:t>
      </w:r>
      <w:r>
        <w:rPr>
          <w:i/>
        </w:rPr>
        <w:t>Used in D1.1 (3.4) (shoulder-height differential threshold for E7) and (5) (E7 pathology association: hemiparesis). The 0.075 × body height threshold for E7 and the source of the E7 attribution to post-stroke hemiparesis.</w:t>
      </w:r>
    </w:p>
    <w:p>
      <w:r>
        <w:rPr>
          <w:b/>
        </w:rPr>
        <w:t>[22] LaStayo PC, Woolf JM, Lewek MD, Snyder-Mackler L, Reich T, Lindstedt SL (2003).</w:t>
      </w:r>
      <w:r>
        <w:t xml:space="preserve"> Eccentric muscle contractions: their contribution to injury, prevention, rehabilitation, and sport. </w:t>
      </w:r>
      <w:r>
        <w:rPr>
          <w:i/>
        </w:rPr>
        <w:t>JOSPT</w:t>
      </w:r>
      <w:r>
        <w:t xml:space="preserve"> 33:557-571. </w:t>
      </w:r>
      <w:r>
        <w:rPr>
          <w:i/>
        </w:rPr>
        <w:t>Used in (5) (E9 uncontrolled descent: eccentric quadriceps weakness).</w:t>
      </w:r>
    </w:p>
    <w:p>
      <w:r>
        <w:rPr>
          <w:b/>
        </w:rPr>
        <w:t>[23] Alexander NB, Schultz AB, Warwick DN (1991).</w:t>
      </w:r>
      <w:r>
        <w:t xml:space="preserve"> Rising from a chair: effects of age and functional ability on performance biomechanics. </w:t>
      </w:r>
      <w:r>
        <w:rPr>
          <w:i/>
        </w:rPr>
        <w:t>Journal of Gerontology</w:t>
      </w:r>
      <w:r>
        <w:t xml:space="preserve"> 46:M91-M98. </w:t>
      </w:r>
      <w:r>
        <w:rPr>
          <w:i/>
        </w:rPr>
        <w:t>Used in (5) (E11 hands-assist: chair-push and knee-push patterns).</w:t>
      </w:r>
    </w:p>
    <w:p>
      <w:r>
        <w:rPr>
          <w:b/>
        </w:rPr>
        <w:t>[24] Hughes MA, Weiner DK, Schenkman ML, Long RM, Studenski SA (1994).</w:t>
      </w:r>
      <w:r>
        <w:t xml:space="preserve"> Chair rise strategies in the elderly. </w:t>
      </w:r>
      <w:r>
        <w:rPr>
          <w:i/>
        </w:rPr>
        <w:t>Clinical Biomechanics</w:t>
      </w:r>
      <w:r>
        <w:t xml:space="preserve"> 9:187-192. </w:t>
      </w:r>
      <w:r>
        <w:rPr>
          <w:i/>
        </w:rPr>
        <w:t>Used in (5) (E11 hands-assist, companion to [23]).</w:t>
      </w:r>
    </w:p>
    <w:p>
      <w:r>
        <w:rPr>
          <w:b/>
        </w:rPr>
        <w:t>[25] Hughes MA, Schenkman ML (1996).</w:t>
      </w:r>
      <w:r>
        <w:t xml:space="preserve"> Chair rise strategy in the functionally impaired elderly. </w:t>
      </w:r>
      <w:r>
        <w:rPr>
          <w:i/>
        </w:rPr>
        <w:t>Journal of Rehabilitation Research and Development</w:t>
      </w:r>
      <w:r>
        <w:t xml:space="preserve"> 33:409-412. </w:t>
      </w:r>
      <w:r>
        <w:rPr>
          <w:i/>
        </w:rPr>
        <w:t>Used in D1.1 (3.3) (hip-velocity zero-crossings for E6b, stalled-ascent phenomenon).</w:t>
      </w:r>
    </w:p>
    <w:p>
      <w:pPr>
        <w:pStyle w:val="Heading2"/>
      </w:pPr>
      <w:r>
        <w:t>1.4 STS clinical tests (5xSTS, 30sCST, TUG, SPPB)</w:t>
      </w:r>
    </w:p>
    <w:p>
      <w:r>
        <w:rPr>
          <w:b/>
        </w:rPr>
        <w:t>[26] Csuka M, McCarty DJ (1985).</w:t>
      </w:r>
      <w:r>
        <w:t xml:space="preserve"> Simple method for measurement of lower extremity muscle strength. </w:t>
      </w:r>
      <w:r>
        <w:rPr>
          <w:i/>
        </w:rPr>
        <w:t>American Journal of Medicine</w:t>
      </w:r>
      <w:r>
        <w:t xml:space="preserve"> 78(1):77-81. </w:t>
      </w:r>
      <w:r>
        <w:rPr>
          <w:i/>
        </w:rPr>
        <w:t>Used in T1.3 (4.3) and D1.1 (1). The original paper that introduced the Five Times Sit-to-Stand test as a simple, equipment-free measure of lower-extremity muscle function.</w:t>
      </w:r>
    </w:p>
    <w:p>
      <w:r>
        <w:rPr>
          <w:b/>
        </w:rPr>
        <w:t>[27] Bohannon RW (2011).</w:t>
      </w:r>
      <w:r>
        <w:t xml:space="preserve"> Test-retest reliability of the five-repetition sit-to-stand test: a systematic review. </w:t>
      </w:r>
      <w:r>
        <w:rPr>
          <w:i/>
        </w:rPr>
        <w:t>Journal of Strength and Conditioning Research</w:t>
      </w:r>
      <w:r>
        <w:t xml:space="preserve"> 25(11):3205-3207. </w:t>
      </w:r>
      <w:r>
        <w:rPr>
          <w:i/>
        </w:rPr>
        <w:t>Used in T1.3 (4.3) (5xSTS reliability data).</w:t>
      </w:r>
    </w:p>
    <w:p>
      <w:r>
        <w:rPr>
          <w:b/>
        </w:rPr>
        <w:t>[28] Bohannon RW (2006).</w:t>
      </w:r>
      <w:r>
        <w:t xml:space="preserve"> Reference values for the five-repetition sit-to-stand test: a descriptive meta-analysis. </w:t>
      </w:r>
      <w:r>
        <w:rPr>
          <w:i/>
        </w:rPr>
        <w:t>Perceptual and Motor Skills</w:t>
      </w:r>
      <w:r>
        <w:t xml:space="preserve"> 103:215-222. </w:t>
      </w:r>
      <w:r>
        <w:rPr>
          <w:i/>
        </w:rPr>
        <w:t>Used in D1.1 (3.6) (lift-off &gt; 3 s threshold for E6 slow movement).</w:t>
      </w:r>
    </w:p>
    <w:p>
      <w:r>
        <w:rPr>
          <w:b/>
        </w:rPr>
        <w:t>[29] Jones CJ, Rikli RE, Beam WC (1999).</w:t>
      </w:r>
      <w:r>
        <w:t xml:space="preserve"> A 30-s chair-stand test as a measure of lower body strength in community-residing older adults. </w:t>
      </w:r>
      <w:r>
        <w:rPr>
          <w:i/>
        </w:rPr>
        <w:t>Research Quarterly for Exercise and Sport</w:t>
      </w:r>
      <w:r>
        <w:t xml:space="preserve"> 70(2):113-119. </w:t>
      </w:r>
      <w:r>
        <w:rPr>
          <w:i/>
        </w:rPr>
        <w:t>Used in T1.3 (4.3) and D1.1 (1).</w:t>
      </w:r>
    </w:p>
    <w:p>
      <w:pPr>
        <w:pStyle w:val="Heading2"/>
      </w:pPr>
      <w:r>
        <w:t>1.5 STS as a predictor of outcomes (T1.3 §4.1)</w:t>
      </w:r>
    </w:p>
    <w:p>
      <w:r>
        <w:rPr>
          <w:b/>
        </w:rPr>
        <w:t>[30] Guralnik JM, Ferrucci L, Pieper CF, Leveille SG, Markides KS, Ostir GV, Studenski S, Berkman LF, Wallace RB (2000).</w:t>
      </w:r>
      <w:r>
        <w:t xml:space="preserve"> Lower extremity function and subsequent disability. </w:t>
      </w:r>
      <w:r>
        <w:rPr>
          <w:i/>
        </w:rPr>
        <w:t>J Gerontol A</w:t>
      </w:r>
      <w:r>
        <w:t xml:space="preserve"> 55:M221-M231. </w:t>
      </w:r>
      <w:r>
        <w:rPr>
          <w:i/>
        </w:rPr>
        <w:t>Used in T1.3 (4.1) (STS as a disability predictor). This is the source for the T1.3 (4.1) claim that STS performance predicts loss of independence.</w:t>
      </w:r>
    </w:p>
    <w:p>
      <w:r>
        <w:rPr>
          <w:b/>
        </w:rPr>
        <w:t>[31] Tinetti ME, Speechley M, Ginter SF (1988).</w:t>
      </w:r>
      <w:r>
        <w:t xml:space="preserve"> Risk factors for falls among elderly persons living in the community. </w:t>
      </w:r>
      <w:r>
        <w:rPr>
          <w:i/>
        </w:rPr>
        <w:t>N Engl J Med</w:t>
      </w:r>
      <w:r>
        <w:t xml:space="preserve"> 319(26):1701-1707. </w:t>
      </w:r>
      <w:r>
        <w:rPr>
          <w:i/>
        </w:rPr>
        <w:t>Used in T1.3 (4.1) (STS as a fall predictor). This is the foundational citation for treating STS performance as a fall-risk indicator and underpins the entire fall-risk framing of the value proposition.</w:t>
      </w:r>
    </w:p>
    <w:p>
      <w:r>
        <w:rPr>
          <w:b/>
        </w:rPr>
        <w:t>[32] Buatois S, Perret-Guillaume C, Gueguen R, Miget P, Vançon G, Perrin P, Benetos A (2008).</w:t>
      </w:r>
      <w:r>
        <w:t xml:space="preserve"> A simple clinical scale to stratify risk of recurrent falls in community-dwelling adults aged 65 years and older. </w:t>
      </w:r>
      <w:r>
        <w:rPr>
          <w:i/>
        </w:rPr>
        <w:t>Physical Therapy</w:t>
      </w:r>
      <w:r>
        <w:t xml:space="preserve"> 88(12):1482-1491. </w:t>
      </w:r>
      <w:r>
        <w:rPr>
          <w:i/>
        </w:rPr>
        <w:t>Used in T1.3 (4.1) (STS-based fall stratification scale). The paper is the modern operational source for the 15-second 5xSTS threshold and feeds into the Innovina interpretation of the per-lift-off-3-second threshold for E6.</w:t>
      </w:r>
    </w:p>
    <w:p>
      <w:pPr>
        <w:pStyle w:val="Heading2"/>
      </w:pPr>
      <w:r>
        <w:t>1.6 STS in specific populations (T1.3 §9)</w:t>
      </w:r>
    </w:p>
    <w:p>
      <w:r>
        <w:rPr>
          <w:b/>
        </w:rPr>
        <w:t>[33] Mong Y, Teo TW, Ng SS (2010).</w:t>
      </w:r>
      <w:r>
        <w:t xml:space="preserve"> 5-times-sit-to-stand: reliability and validity for stroke survivors. </w:t>
      </w:r>
      <w:r>
        <w:rPr>
          <w:i/>
        </w:rPr>
        <w:t>Archives of Physical Medicine and Rehabilitation</w:t>
      </w:r>
      <w:r>
        <w:t xml:space="preserve"> 91:407-413. </w:t>
      </w:r>
      <w:r>
        <w:rPr>
          <w:i/>
        </w:rPr>
        <w:t>Used in T1.3 (9) (stroke population, 5xSTS validity in stroke). This is the validation source that lets ARISE be deployed in the post-stroke population without re-validating the underlying STS metric.</w:t>
      </w:r>
    </w:p>
    <w:p>
      <w:r>
        <w:rPr>
          <w:b/>
        </w:rPr>
        <w:t>[34] Mak MK, Pang MY (2009).</w:t>
      </w:r>
      <w:r>
        <w:t xml:space="preserve"> Parkinsonian single fallers versus multiple fallers: different fall characteristics and clinical features. </w:t>
      </w:r>
      <w:r>
        <w:rPr>
          <w:i/>
        </w:rPr>
        <w:t>Journal of Neurology</w:t>
      </w:r>
      <w:r>
        <w:t xml:space="preserve"> 256:1689-1695. </w:t>
      </w:r>
      <w:r>
        <w:rPr>
          <w:i/>
        </w:rPr>
        <w:t>Used in T1.3 (9) (Parkinson population, fall sub-typing).</w:t>
      </w:r>
    </w:p>
    <w:p>
      <w:r>
        <w:rPr>
          <w:b/>
        </w:rPr>
        <w:t>[35] Bloem BR, Hausdorff JM, Visser JE, Giladi N (2004).</w:t>
      </w:r>
      <w:r>
        <w:t xml:space="preserve"> Falls and freezing of gait in Parkinson's disease: a review of two interconnected, episodic phenomena. </w:t>
      </w:r>
      <w:r>
        <w:rPr>
          <w:i/>
        </w:rPr>
        <w:t>Movement Disorders</w:t>
      </w:r>
      <w:r>
        <w:t xml:space="preserve"> 19:871-884. </w:t>
      </w:r>
      <w:r>
        <w:rPr>
          <w:i/>
        </w:rPr>
        <w:t>Used in T1.3 (9) (Parkinson population, postural instability).</w:t>
      </w:r>
    </w:p>
    <w:p>
      <w:pPr>
        <w:pStyle w:val="Heading1"/>
      </w:pPr>
      <w:r>
        <w:t>Part 2: STS literature</w:t>
      </w:r>
    </w:p>
    <w:p>
      <w:pPr>
        <w:pStyle w:val="Heading2"/>
      </w:pPr>
      <w:r>
        <w:t>2.1 Recent markerless STS validation studies</w:t>
      </w:r>
    </w:p>
    <w:p>
      <w:r>
        <w:rPr>
          <w:b/>
        </w:rPr>
        <w:t>[A1] Ino T, Samukawa M, Ishida T, Wada N, Koshino Y, Kasahara S, Tohyama H (2023).</w:t>
      </w:r>
      <w:r>
        <w:t xml:space="preserve"> Validity of AI-based gait analysis for simultaneous measurement of bilateral lower limb kinematics using a single video camera. </w:t>
      </w:r>
      <w:r>
        <w:rPr>
          <w:i/>
        </w:rPr>
        <w:t>Sensors</w:t>
      </w:r>
      <w:r>
        <w:t xml:space="preserve"> 23:9799.</w:t>
      </w:r>
    </w:p>
    <w:p>
      <w:r>
        <w:rPr>
          <w:b/>
        </w:rPr>
        <w:t>[A2] Needham L, Evans M, Cosker DP, Wade L, McGuigan PM, Bilzon JL, Colyer SL (2021).</w:t>
      </w:r>
      <w:r>
        <w:t xml:space="preserve"> The accuracy of several pose estimation methods for 3D joint centre localisation. </w:t>
      </w:r>
      <w:r>
        <w:rPr>
          <w:i/>
        </w:rPr>
        <w:t>Scientific Reports</w:t>
      </w:r>
      <w:r>
        <w:t xml:space="preserve"> 11:20673.</w:t>
      </w:r>
    </w:p>
    <w:p>
      <w:r>
        <w:rPr>
          <w:b/>
        </w:rPr>
        <w:t>[A3] D'Antonio E, Taborri J, Palermo E, Rossi S, Patanè F (2020).</w:t>
      </w:r>
      <w:r>
        <w:t xml:space="preserve"> A markerless system for gait analysis based on OpenPose library. </w:t>
      </w:r>
      <w:r>
        <w:rPr>
          <w:i/>
        </w:rPr>
        <w:t>IEEE I2MTC Conference</w:t>
      </w:r>
      <w:r>
        <w:t>.</w:t>
      </w:r>
    </w:p>
    <w:p>
      <w:r>
        <w:rPr>
          <w:b/>
        </w:rPr>
        <w:t>[A4] Zago M, Luzzago M, Marangoni T, De Cecco M, Tarabini M, Galli M (2020).</w:t>
      </w:r>
      <w:r>
        <w:t xml:space="preserve"> 3D tracking of human motion using visual skeletonization and stereoscopic vision. </w:t>
      </w:r>
      <w:r>
        <w:rPr>
          <w:i/>
        </w:rPr>
        <w:t>Frontiers in Bioengineering and Biotechnology</w:t>
      </w:r>
      <w:r>
        <w:t xml:space="preserve"> 8:181.</w:t>
      </w:r>
    </w:p>
    <w:p>
      <w:r>
        <w:rPr>
          <w:b/>
        </w:rPr>
        <w:t>[A5] Stenum J, Hsu MM, Pantelyat AY, Roemmich RT (2024).</w:t>
      </w:r>
      <w:r>
        <w:t xml:space="preserve"> Clinical gait analysis using video-based pose estimation: multiple perspectives, clinical populations, and measuring change. </w:t>
      </w:r>
      <w:r>
        <w:rPr>
          <w:i/>
        </w:rPr>
        <w:t>PLOS Digital Health</w:t>
      </w:r>
      <w:r>
        <w:t xml:space="preserve"> 3:e0000467.</w:t>
      </w:r>
    </w:p>
    <w:p>
      <w:pPr>
        <w:pStyle w:val="Heading2"/>
      </w:pPr>
      <w:r>
        <w:t>2.2 STS reviews, Parkinson, and stroke literature</w:t>
      </w:r>
    </w:p>
    <w:p>
      <w:r>
        <w:rPr>
          <w:b/>
        </w:rPr>
        <w:t>[A6] Bohannon RW (2012).</w:t>
      </w:r>
      <w:r>
        <w:t xml:space="preserve"> Daily sit-to-stands performed by adults: a systematic review. </w:t>
      </w:r>
      <w:r>
        <w:rPr>
          <w:i/>
        </w:rPr>
        <w:t>Journal of Physical Therapy Science</w:t>
      </w:r>
      <w:r>
        <w:t xml:space="preserve"> 24:1185-1188.</w:t>
      </w:r>
    </w:p>
    <w:p>
      <w:r>
        <w:rPr>
          <w:b/>
        </w:rPr>
        <w:t>[A7] Bohannon RW (2017).</w:t>
      </w:r>
      <w:r>
        <w:t xml:space="preserve"> Sit-to-stand test for measuring performance of lower extremity muscles. </w:t>
      </w:r>
      <w:r>
        <w:rPr>
          <w:i/>
        </w:rPr>
        <w:t>Perceptual and Motor Skills</w:t>
      </w:r>
      <w:r>
        <w:t xml:space="preserve"> 124:1015-1031.</w:t>
      </w:r>
    </w:p>
    <w:p>
      <w:r>
        <w:rPr>
          <w:b/>
        </w:rPr>
        <w:t>[A8] Millor N, Lecumberri P, Gomez M, Martinez-Ramirez A, Izquierdo M (2014).</w:t>
      </w:r>
      <w:r>
        <w:t xml:space="preserve"> Kinematic parameters to evaluate functional performance of sit-to-stand and stand-to-sit transitions using motion sensor devices: a systematic review. </w:t>
      </w:r>
      <w:r>
        <w:rPr>
          <w:i/>
        </w:rPr>
        <w:t>IEEE Transactions on Neural Systems and Rehabilitation Engineering</w:t>
      </w:r>
      <w:r>
        <w:t xml:space="preserve"> 22:926-936.</w:t>
      </w:r>
    </w:p>
    <w:p>
      <w:r>
        <w:rPr>
          <w:b/>
        </w:rPr>
        <w:t>[A9] Inkster LM, Eng JJ (2004).</w:t>
      </w:r>
      <w:r>
        <w:t xml:space="preserve"> Postural control during a sit-to-stand task in individuals with mild Parkinson's disease. </w:t>
      </w:r>
      <w:r>
        <w:rPr>
          <w:i/>
        </w:rPr>
        <w:t>Experimental Brain Research</w:t>
      </w:r>
      <w:r>
        <w:t xml:space="preserve"> 154:33-38.</w:t>
      </w:r>
    </w:p>
    <w:p>
      <w:r>
        <w:rPr>
          <w:b/>
        </w:rPr>
        <w:t>[A10] Bishop M, Brunt D, Pathare N, Patel B (2005).</w:t>
      </w:r>
      <w:r>
        <w:t xml:space="preserve"> The effect of velocity on the strategies used during a sit-to-stand task in individuals with Parkinson's disease. </w:t>
      </w:r>
      <w:r>
        <w:rPr>
          <w:i/>
        </w:rPr>
        <w:t>NeuroRehabilitation</w:t>
      </w:r>
      <w:r>
        <w:t xml:space="preserve"> 20:193-201.</w:t>
      </w:r>
    </w:p>
    <w:p>
      <w:r>
        <w:rPr>
          <w:b/>
        </w:rPr>
        <w:t>[A11] Nikfekr E, Kerr K, Attfield S, Playford DE (2002).</w:t>
      </w:r>
      <w:r>
        <w:t xml:space="preserve"> Trunk movement in Parkinson's disease during rising from seated position. </w:t>
      </w:r>
      <w:r>
        <w:rPr>
          <w:i/>
        </w:rPr>
        <w:t>Movement Disorders</w:t>
      </w:r>
      <w:r>
        <w:t xml:space="preserve"> 17:274-282.</w:t>
      </w:r>
    </w:p>
    <w:p>
      <w:r>
        <w:rPr>
          <w:b/>
        </w:rPr>
        <w:t>[A12] Pääsuke M, Ereline J, Gapeyeva H, Joost K, Mottus K, Taba P (2004).</w:t>
      </w:r>
      <w:r>
        <w:t xml:space="preserve"> Leg-extension strength and chair-rise performance in elderly women with Parkinson's disease. </w:t>
      </w:r>
      <w:r>
        <w:rPr>
          <w:i/>
        </w:rPr>
        <w:t>Journal of Aging and Physical Activity</w:t>
      </w:r>
      <w:r>
        <w:t xml:space="preserve"> 12:511-524.</w:t>
      </w:r>
    </w:p>
    <w:p>
      <w:r>
        <w:rPr>
          <w:b/>
        </w:rPr>
        <w:t>[A13] Boukadida A, Piotte F, Dehail P, Nadeau S (2015).</w:t>
      </w:r>
      <w:r>
        <w:t xml:space="preserve"> Determinants of sit-to-stand tasks in individuals with hemiparesis post stroke: A review. </w:t>
      </w:r>
      <w:r>
        <w:rPr>
          <w:i/>
        </w:rPr>
        <w:t>Annals of Physical and Rehabilitation Medicine</w:t>
      </w:r>
      <w:r>
        <w:t xml:space="preserve"> 58:167-172. </w:t>
      </w:r>
      <w:r>
        <w:rPr>
          <w:i/>
        </w:rPr>
        <w:t>Useful for: comprehensive review of STS determinants in stroke. Foundational reading for the WP5 stroke sub-analysis and for the post-stroke chapter of the Phase 2 Clinical Evaluation Report.</w:t>
      </w:r>
    </w:p>
    <w:p>
      <w:r>
        <w:rPr>
          <w:b/>
        </w:rPr>
        <w:t>[A14] Tung F-L, Yang Y-R, Lee C-C, Wang R-Y (2010).</w:t>
      </w:r>
      <w:r>
        <w:t xml:space="preserve"> Balance outcomes after additional sit-to-stand training in subjects with stroke: a randomized controlled trial. </w:t>
      </w:r>
      <w:r>
        <w:rPr>
          <w:i/>
        </w:rPr>
        <w:t>Clinical Rehabilitation</w:t>
      </w:r>
      <w:r>
        <w:t xml:space="preserve"> 24:533-542. </w:t>
      </w:r>
      <w:r>
        <w:rPr>
          <w:i/>
        </w:rPr>
        <w:t>Useful for: RCT evidence that STS-specific training improves stroke outcomes, supports the therapeutic value of biofeedback-driven STS practice.</w:t>
      </w:r>
    </w:p>
    <w:p>
      <w:pPr>
        <w:pStyle w:val="Heading2"/>
      </w:pPr>
      <w:r>
        <w:t>2.3 Multiple sclerosis</w:t>
      </w:r>
    </w:p>
    <w:p>
      <w:r>
        <w:rPr>
          <w:b/>
        </w:rPr>
        <w:t>[A15] Møller AB, Bibby BM, Skjerbæk AG, Jensen E, Sørensen H, Stenager E, Dalgas U (2012).</w:t>
      </w:r>
      <w:r>
        <w:t xml:space="preserve"> Validity and variability of the 5-repetition sit-to-stand test in patients with multiple sclerosis. </w:t>
      </w:r>
      <w:r>
        <w:rPr>
          <w:i/>
        </w:rPr>
        <w:t>Disability and Rehabilitation</w:t>
      </w:r>
      <w:r>
        <w:t xml:space="preserve"> 34:2251-2258. </w:t>
      </w:r>
      <w:r>
        <w:rPr>
          <w:i/>
        </w:rPr>
        <w:t>Useful for: MS validation of the 5xSTS. Foundational for the MS expansion population in Phase 2.</w:t>
      </w:r>
    </w:p>
    <w:p>
      <w:r>
        <w:rPr>
          <w:b/>
        </w:rPr>
        <w:t>[A16] Manca M, Drudi GP, Lo Greco F, Pelis L, Vannutelli ML, Cattaneo D (2016).</w:t>
      </w:r>
      <w:r>
        <w:t xml:space="preserve"> Reliability and validity of the Italian version of the Sit-to-Stand test in multiple sclerosis. </w:t>
      </w:r>
      <w:r>
        <w:rPr>
          <w:i/>
        </w:rPr>
        <w:t>Multiple Sclerosis Journal</w:t>
      </w:r>
      <w:r>
        <w:t xml:space="preserve"> 22:1396-1402. </w:t>
      </w:r>
      <w:r>
        <w:rPr>
          <w:i/>
        </w:rPr>
        <w:t>Useful for: Italian-language STS instrument validation, directly relevant to the Italian rehabilitation deployment.</w:t>
      </w:r>
    </w:p>
    <w:p>
      <w:pPr>
        <w:pStyle w:val="Heading2"/>
      </w:pPr>
      <w:r>
        <w:t>2.4 Hip fracture and post-fall recovery</w:t>
      </w:r>
    </w:p>
    <w:p>
      <w:r>
        <w:rPr>
          <w:b/>
        </w:rPr>
        <w:t>[A17] Magaziner J, Hawkes W, Hebel JR, Zimmerman SI, Fox KM, Dolan M, Felsenthal G, Kenzora J (2000).</w:t>
      </w:r>
      <w:r>
        <w:t xml:space="preserve"> Recovery from hip fracture in eight areas of function. </w:t>
      </w:r>
      <w:r>
        <w:rPr>
          <w:i/>
        </w:rPr>
        <w:t>Journal of Gerontology A</w:t>
      </w:r>
      <w:r>
        <w:t xml:space="preserve"> 55:M498-M507. </w:t>
      </w:r>
      <w:r>
        <w:rPr>
          <w:i/>
        </w:rPr>
        <w:t>Useful for: STS recovery trajectory after hip fracture. Supports the case for including post-hip-fracture patients in Phase 2 enrolment.</w:t>
      </w:r>
    </w:p>
    <w:p>
      <w:r>
        <w:rPr>
          <w:b/>
        </w:rPr>
        <w:t>[A18] Visschedijk J, Achterberg W, Van Balen R, Hertogh C (2010).</w:t>
      </w:r>
      <w:r>
        <w:t xml:space="preserve"> Fear of falling after hip fracture: a systematic review. </w:t>
      </w:r>
      <w:r>
        <w:rPr>
          <w:i/>
        </w:rPr>
        <w:t>Journal of the American Geriatrics Society</w:t>
      </w:r>
      <w:r>
        <w:t xml:space="preserve"> 58:1739-1748. </w:t>
      </w:r>
      <w:r>
        <w:rPr>
          <w:i/>
        </w:rPr>
        <w:t>Useful for: fear-of-falling context for E2 attribution in the hip-fracture population, which is highly relevant given the geriatric overlap.</w:t>
      </w:r>
    </w:p>
    <w:p>
      <w:pPr>
        <w:pStyle w:val="Heading2"/>
      </w:pPr>
      <w:r>
        <w:t>2.5 Knee osteoarthritis</w:t>
      </w:r>
    </w:p>
    <w:p>
      <w:r>
        <w:rPr>
          <w:b/>
        </w:rPr>
        <w:t>[A19] Mukherjee M, Bhattacharya P (2020).</w:t>
      </w:r>
      <w:r>
        <w:t xml:space="preserve"> Sit-to-stand kinematics in subjects with knee osteoarthritis: a review. </w:t>
      </w:r>
      <w:r>
        <w:rPr>
          <w:i/>
        </w:rPr>
        <w:t>Journal of Bodywork and Movement Therapies</w:t>
      </w:r>
      <w:r>
        <w:t xml:space="preserve"> 24:307-313. </w:t>
      </w:r>
      <w:r>
        <w:rPr>
          <w:i/>
        </w:rPr>
        <w:t>Useful for: KOA-specific STS kinematics. Supports the case for KOA as a primary segment for ARISE since KOA patients dominate the orthopaedic rehabilitation outpatient population.</w:t>
      </w:r>
    </w:p>
    <w:p>
      <w:r>
        <w:rPr>
          <w:b/>
        </w:rPr>
        <w:t>[A20] Ageberg E, Roos EM (2015).</w:t>
      </w:r>
      <w:r>
        <w:t xml:space="preserve"> Neuromuscular exercise as treatment of degenerative knee disease. </w:t>
      </w:r>
      <w:r>
        <w:rPr>
          <w:i/>
        </w:rPr>
        <w:t>Exercise and Sport Sciences Reviews</w:t>
      </w:r>
      <w:r>
        <w:t xml:space="preserve"> 43:14-22. </w:t>
      </w:r>
      <w:r>
        <w:rPr>
          <w:i/>
        </w:rPr>
        <w:t>Useful for: neuromuscular-exercise framework in KOA, relevant to the therapeutic positioning of ARISE biofeedback in KOA patients.</w:t>
      </w:r>
    </w:p>
    <w:p>
      <w:pPr>
        <w:pStyle w:val="Heading2"/>
      </w:pPr>
      <w:r>
        <w:t>2.6 STS biomechanics</w:t>
      </w:r>
    </w:p>
    <w:p>
      <w:r>
        <w:rPr>
          <w:b/>
        </w:rPr>
        <w:t>[A21] Doorenbosch CAM, Harlaar J, Roebroeck ME, Lankhorst GJ (1994).</w:t>
      </w:r>
      <w:r>
        <w:t xml:space="preserve"> Two strategies of transferring from sit-to-stand; the activation of monoarticular and biarticular muscles. </w:t>
      </w:r>
      <w:r>
        <w:rPr>
          <w:i/>
        </w:rPr>
        <w:t>Journal of Biomechanics</w:t>
      </w:r>
      <w:r>
        <w:t xml:space="preserve"> 27:1299-1307.</w:t>
      </w:r>
    </w:p>
    <w:p>
      <w:r>
        <w:rPr>
          <w:b/>
        </w:rPr>
        <w:t>[A22] Kerr KM, White JA, Barr DA, Mollan RA (1997).</w:t>
      </w:r>
      <w:r>
        <w:t xml:space="preserve"> Analysis of the sit-stand-sit movement cycle in normal subjects. </w:t>
      </w:r>
      <w:r>
        <w:rPr>
          <w:i/>
        </w:rPr>
        <w:t>Clinical Biomechanics</w:t>
      </w:r>
      <w:r>
        <w:t xml:space="preserve"> 12:236-245.</w:t>
      </w:r>
    </w:p>
    <w:p>
      <w:r>
        <w:rPr>
          <w:b/>
        </w:rPr>
        <w:t>[A23] Gross MM, Stevenson PJ, Charette SL, Pyka G, Marcus R (1998).</w:t>
      </w:r>
      <w:r>
        <w:t xml:space="preserve"> Effect of muscle strength and movement speed on the biomechanics of rising from a chair in healthy elderly and young women. </w:t>
      </w:r>
      <w:r>
        <w:rPr>
          <w:i/>
        </w:rPr>
        <w:t>Gait &amp; Posture</w:t>
      </w:r>
      <w:r>
        <w:t xml:space="preserve"> 8:175-185.</w:t>
      </w:r>
    </w:p>
    <w:p>
      <w:r>
        <w:rPr>
          <w:b/>
        </w:rPr>
        <w:t>[A24] Vander Linden DW, Brunt D, McCulloch MU (1994).</w:t>
      </w:r>
      <w:r>
        <w:t xml:space="preserve"> Variant and invariant characteristics of the sit-to-stand task in healthy elderly adults. </w:t>
      </w:r>
      <w:r>
        <w:rPr>
          <w:i/>
        </w:rPr>
        <w:t>Archives of Physical Medicine and Rehabilitation</w:t>
      </w:r>
      <w:r>
        <w:t xml:space="preserve"> 75:653-660.</w:t>
      </w:r>
    </w:p>
    <w:p>
      <w:r>
        <w:rPr>
          <w:b/>
        </w:rPr>
        <w:t>[A25] Reisman DS, Scholz JP, Schöner G (2002).</w:t>
      </w:r>
      <w:r>
        <w:t xml:space="preserve"> Differential joint coordination in the tasks of standing up and sitting down. </w:t>
      </w:r>
      <w:r>
        <w:rPr>
          <w:i/>
        </w:rPr>
        <w:t>Journal of Electromyography and Kinesiology</w:t>
      </w:r>
      <w:r>
        <w:t xml:space="preserve"> 12:493-505.</w:t>
      </w:r>
    </w:p>
    <w:p>
      <w:pPr>
        <w:pStyle w:val="Heading2"/>
      </w:pPr>
      <w:r>
        <w:t>2.7 Reference values and norms</w:t>
      </w:r>
    </w:p>
    <w:p>
      <w:r>
        <w:rPr>
          <w:b/>
        </w:rPr>
        <w:t>[A26] Macfarlane PA, Nielsen DH, Shurr DG (1997).</w:t>
      </w:r>
      <w:r>
        <w:t xml:space="preserve"> Mechanical gait analysis of the sit-to-stand transition. </w:t>
      </w:r>
      <w:r>
        <w:rPr>
          <w:i/>
        </w:rPr>
        <w:t>Journal of Biomechanics</w:t>
      </w:r>
      <w:r>
        <w:t xml:space="preserve"> 30:735-741. </w:t>
      </w:r>
      <w:r>
        <w:rPr>
          <w:i/>
        </w:rPr>
        <w:t>Useful for: kinetic norms for STS in healthy adults.</w:t>
      </w:r>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B6B"/>
        <w:sz w:val="18"/>
      </w:rPr>
      <w:t>Innovina S.r.l.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D9D9"/>
      </w:pBdr>
    </w:pPr>
    <w:r>
      <w:rPr>
        <w:rFonts w:ascii="Calibri" w:hAnsi="Calibri"/>
        <w:color w:val="6B6B6B"/>
        <w:sz w:val="18"/>
      </w:rPr>
      <w:t>ARISE   |   References Catalogue</w:t>
    </w:r>
    <w:r>
      <w:tab/>
      <w:tab/>
    </w:r>
    <w:r>
      <w:rPr>
        <w:rFonts w:ascii="Calibri" w:hAnsi="Calibri"/>
        <w:color w:val="6B6B6B"/>
        <w:sz w:val="18"/>
      </w:rPr>
      <w:t xml:space="preserve">Page </w:t>
    </w:r>
    <w:r>
      <w:rPr>
        <w:rFonts w:ascii="Calibri" w:hAnsi="Calibri"/>
        <w:color w:val="6B6B6B"/>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3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