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Propuesta de Proyecto: Desarrollo de Aplicación Web con Feature-Driven Development (FDD)</w:t>
      </w:r>
    </w:p>
    <w:p>
      <w:pPr>
        <w:spacing w:after="160"/>
        <w:jc w:val="center"/>
      </w:pPr>
      <w:r>
        <w:rPr>
          <w:color w:val="444444"/>
          <w:sz w:val="24"/>
          <w:szCs w:val="24"/>
        </w:rPr>
        <w:t xml:space="preserve">Programación orientada a la Web, 2026B</w:t>
      </w:r>
    </w:p>
    <w:p>
      <w:pPr>
        <w:pBdr>
          <w:top w:val="single" w:color="b5651d" w:sz="4"/>
          <w:bottom w:val="single" w:color="b5651d" w:sz="4"/>
        </w:pBdr>
        <w:spacing w:after="400"/>
        <w:jc w:val="center"/>
      </w:pPr>
      <w:r>
        <w:rPr>
          <w:i/>
          <w:iCs/>
          <w:color w:val="8a4a12"/>
          <w:sz w:val="19"/>
          <w:szCs w:val="19"/>
        </w:rPr>
        <w:t xml:space="preserve">Documento de propuesta — versión de avance (12 de septiembre de 2026). Contenido sujeto a revisión y ajustes por parte del equipo antes de la entrega final del 26 de septiembre de 2026.</w:t>
      </w:r>
    </w:p>
    <w:p>
      <w:pPr>
        <w:pStyle w:val="Heading1"/>
        <w:spacing w:after="160" w:before="320"/>
      </w:pPr>
      <w:r>
        <w:t xml:space="preserve">1. Nombre del Proyecto / Nombre del grupo de trabajo</w:t>
      </w:r>
    </w:p>
    <w:p>
      <w:pPr>
        <w:spacing w:after="160"/>
      </w:pPr>
      <w:r>
        <w:rPr>
          <w:b/>
          <w:bCs/>
        </w:rPr>
        <w:t xml:space="preserve">Nombre del proyecto: </w:t>
      </w:r>
      <w:r>
        <w:t xml:space="preserve">Del Campo a tu Mesa (DCM) — Red Digital de Productores Locales y Soberanía Alimentaria</w:t>
      </w:r>
    </w:p>
    <w:p>
      <w:pPr>
        <w:spacing w:after="160"/>
      </w:pPr>
      <w:r>
        <w:rPr>
          <w:b/>
          <w:bCs/>
        </w:rPr>
        <w:t xml:space="preserve">Integrantes: </w:t>
      </w:r>
      <w:r>
        <w:t xml:space="preserve">Hadna García Alarcón, Kevin Andrés Puentes Mera, Miguel Ossa</w:t>
      </w:r>
    </w:p>
    <w:p>
      <w:pPr>
        <w:spacing w:after="160"/>
      </w:pPr>
      <w:r>
        <w:rPr>
          <w:b/>
          <w:bCs/>
        </w:rPr>
        <w:t xml:space="preserve">Repositorio: </w:t>
      </w:r>
      <w:r>
        <w:t xml:space="preserve">https://github.com/miguelossa05-collab/POW-PROYECTO</w:t>
      </w:r>
    </w:p>
    <w:p>
      <w:pPr>
        <w:pStyle w:val="Heading1"/>
        <w:spacing w:after="160" w:before="320"/>
      </w:pPr>
      <w:r>
        <w:t xml:space="preserve">2. Descripción General</w:t>
      </w:r>
    </w:p>
    <w:p>
      <w:pPr>
        <w:spacing w:after="160"/>
      </w:pPr>
      <w:r>
        <w:t xml:space="preserve">Ante la concentración del mercado de alimentos en pocas cadenas y distribuidores, esta plataforma conecta directamente a productores campesinos y urbanos con consumidores, fortaleciendo circuitos cortos de comercialización y reduciendo la dependencia de intermediarios que erosionan la soberanía alimentaria.</w:t>
      </w:r>
    </w:p>
    <w:p>
      <w:pPr>
        <w:spacing w:after="160"/>
      </w:pPr>
      <w:r>
        <w:t xml:space="preserve">Está dirigida a dos tipos de usuario: productores locales que necesitan un canal simple y directo para publicar y vender sus productos, y consumidores que buscan comprar alimentos frescos directamente a quien los produce, con una comisión solidaria transparente en lugar de márgenes ocultos de intermediación. Se relaciona con los Objetivos de Desarrollo Sostenible de Soberanía Alimentaria, Sostenibilidad Ambiental y Reducción de Desigualdades.</w:t>
      </w:r>
    </w:p>
    <w:p>
      <w:pPr>
        <w:pStyle w:val="Heading1"/>
        <w:spacing w:after="160" w:before="320"/>
      </w:pPr>
      <w:r>
        <w:t xml:space="preserve">3. Objetivos de la aplicación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Diseñar y desarrollar una plataforma web de comercio directo entre productores locales y consumidores, utilizando HTML, CSS y JavaScript sin frameworks, siguiendo la metodología Feature-Driven Development (FDD).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Implementar de manera modular las funcionalidades del MVP (registro, catálogo, filtro, carrito simulado, panel de inventario) como características independientes y verificables.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Elaborar un prototipo de pantallas y un mapa de navegación que representen la experiencia tanto del productor como del consumidor.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Aplicar una comisión solidaria transparente (mínima y visible) que sostenga la plataforma, en lugar de márgenes ocultos de intermediación.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4. Metodología</w:t>
      </w:r>
    </w:p>
    <w:p>
      <w:pPr>
        <w:spacing w:after="160"/>
      </w:pPr>
      <w:r>
        <w:t xml:space="preserve">La metodología FDD se basa en cinco pasos fundamentales: desarrollo de un modelo general, construcción de una lista de características, planificación por características, diseño por características y construcción por características. A continuación se documentan los primeros pasos, que sustentan esta propuesta.</w:t>
      </w:r>
    </w:p>
    <w:p>
      <w:pPr>
        <w:pStyle w:val="Heading2"/>
        <w:spacing w:after="120" w:before="260"/>
      </w:pPr>
      <w:r>
        <w:t xml:space="preserve">4.1 Modelo general</w:t>
      </w:r>
    </w:p>
    <w:p>
      <w:pPr>
        <w:spacing w:after="160"/>
      </w:pPr>
      <w:r>
        <w:t xml:space="preserve">El modelo general se representa mediante un diagrama de dominio (E-R general) que identifica las entidades principales y sus relaciones, y un diagrama de casos de uso que muestra los actores (Productor y Consumidor) y sus interacciones con el sistema.</w:t>
      </w:r>
    </w:p>
    <w:p>
      <w:pPr>
        <w:spacing w:after="100" w:before="120"/>
        <w:jc w:val="center"/>
      </w:pPr>
      <w:r>
        <w:drawing>
          <wp:inline distT="0" distB="0" distL="0" distR="0">
            <wp:extent cx="5524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Figura 1. Diagrama de dominio (E-R general).</w:t>
      </w:r>
    </w:p>
    <w:p>
      <w:pPr>
        <w:spacing w:after="100" w:before="120"/>
        <w:jc w:val="center"/>
      </w:pPr>
      <w:r>
        <w:drawing>
          <wp:inline distT="0" distB="0" distL="0" distR="0">
            <wp:extent cx="55245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Figura 2. Diagrama de casos de uso del MVP.</w:t>
      </w:r>
    </w:p>
    <w:p>
      <w:pPr>
        <w:pStyle w:val="Heading2"/>
        <w:spacing w:after="120" w:before="260"/>
      </w:pPr>
      <w:r>
        <w:t xml:space="preserve">4.2 Lista de Características (MVP)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Registro de productores y consumidores.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Creación de perfil del productor.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Publicación y edición de productos (precio, descripción, imagen).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Carrito de compras básico — simulación de pedido.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Filtro por ubicación o categoría.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Panel de gestión de inventario básico.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Comisión solidaria transparente (porcentaje mínimo y visible que sostiene la plataforma).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4.3 Planificación del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2200"/>
        <w:gridCol w:w="2000"/>
      </w:tblGrid>
      <w:tr>
        <w:trPr>
          <w:tblHeader/>
        </w:trPr>
        <w:tc>
          <w:tcPr>
            <w:tcW w:type="dxa" w:w="900"/>
            <w:shd w:fill="D9E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4260"/>
            <w:shd w:fill="D9E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Característica (2 semanas por iteración)</w:t>
            </w:r>
          </w:p>
        </w:tc>
        <w:tc>
          <w:tcPr>
            <w:tcW w:type="dxa" w:w="2200"/>
            <w:shd w:fill="D9E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Responsable</w:t>
            </w:r>
          </w:p>
        </w:tc>
        <w:tc>
          <w:tcPr>
            <w:tcW w:type="dxa" w:w="2000"/>
            <w:shd w:fill="D9E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Catálogo público + filtro por categoría (HTML/CSS/JS)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completo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Ya entregado (avance 1, en GitHub)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 e inicio de sesión simulados (localStorage) + estructura del panel del productor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Kevin Andrés Puentes Mera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Propuesta: por confirmar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Carrito de compras, comisión solidaria y confirmación de pedido simulado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Hadna García Alarcón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Propuesta: por confirmar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Panel de inventario básico y estadísticas del productor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Miguel Ossa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Propuesta: por confirmar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Pruebas integrales, corrección de errores y preparación de la exposición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completo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Propuesta: por confirmar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Nota: la asignación de responsables y las fechas son una propuesta inicial del equipo para su discusión; deben ajustarse al cronograma oficial que entregue el profesor y confirmarse entre los tres integrantes.</w:t>
      </w:r>
    </w:p>
    <w:p>
      <w:pPr>
        <w:pStyle w:val="Heading1"/>
        <w:spacing w:after="160" w:before="320"/>
      </w:pPr>
      <w:r>
        <w:t xml:space="preserve">5. Prototipado y Navegación</w:t>
      </w:r>
    </w:p>
    <w:p>
      <w:pPr>
        <w:pStyle w:val="Heading2"/>
        <w:spacing w:after="120" w:before="260"/>
      </w:pPr>
      <w:r>
        <w:t xml:space="preserve">5.1 Prototipos de Pantallas</w:t>
      </w:r>
    </w:p>
    <w:p>
      <w:pPr>
        <w:spacing w:after="160"/>
      </w:pPr>
      <w:r>
        <w:t xml:space="preserve">Pantallas maquetadas en Balsamiq (prototipo de baja fidelidad, aún no funcional):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1. Inicio / Catálogo (pública)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2. Registro (modal)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 Iniciar sesión (modal)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4. Filtro por ubicación / categoría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5. Publicar / editar producto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6. Personaliza tu perfil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7. Estadísticas del mes + Inventario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8. Carrito de compras + Información de pago (simulada)</w:t>
            </w:r>
          </w:p>
        </w:tc>
      </w:tr>
    </w:tbl>
    <w:p>
      <w:pPr>
        <w:spacing w:after="100"/>
      </w:pP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Figura 3. Pantallas del prototipo — Del Campo a tu Mesa (Balsamiq).</w:t>
      </w:r>
    </w:p>
    <w:p>
      <w:pPr>
        <w:pStyle w:val="Heading2"/>
        <w:spacing w:after="120" w:before="260"/>
      </w:pPr>
      <w:r>
        <w:t xml:space="preserve">5.2 Mapa de Navegación</w:t>
      </w:r>
    </w:p>
    <w:p>
      <w:pPr>
        <w:spacing w:after="100"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Figura 4. Mapa de navegación del sitio.</w:t>
      </w:r>
    </w:p>
    <w:p>
      <w:pPr>
        <w:spacing w:after="160"/>
      </w:pPr>
      <w:r>
        <w:t xml:space="preserve">Tipo de navegación: combinada. El catálogo público usa navegación global mediante una barra superior (buscador y accesos de Sign up / Log in), visible y accesible sin necesidad de iniciar sesión. Al autenticarse como productor, el usuario entra a un panel con navegación lateral tipo hub-and-spoke (menú de íconos) desde el que se accede a Perfil, a Publicar/editar producto y a Estadísticas + Inventario. El flujo de compra (Carrito → Información de pago) se alcanza desde el ícono de carrito en la barra superior y regresa al catálogo al finalizar; el paso de pago es simulado, sin pasarela de pago real. Si el rol es Consumidor, los modales de registro e inicio de sesión simplemente se cierran y el usuario permanece en el catálogo.</w:t>
      </w:r>
    </w:p>
    <w:p>
      <w:pPr>
        <w:pStyle w:val="Heading1"/>
        <w:spacing w:after="160" w:before="320"/>
      </w:pPr>
      <w:r>
        <w:t xml:space="preserve">6. Tecnologías y Herramientas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Frontend: HTML5, CSS3 y JavaScript (vanilla, sin frameworks), tal como se trabaja en el curso.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Backend: no aplica en esta etapa del MVP; la lógica de registro, sesión e inventario se simula en 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Base de datos: no aplica todavía; se usan datos ficticios en JavaScript y almacenamiento local del navegador (localStorage) para simular persistencia.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Prototipado: Balsamiq.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Control de versiones: Git y GitHub — repositorio miguelossa05-collab/POW-PROYECTO.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Hosting: aún no se publica; pendiente de definir en una etapa posterior.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0d415cf5f5603425085f046f9e6743c18e10a7.png"/><Relationship Id="rId8" Type="http://schemas.openxmlformats.org/officeDocument/2006/relationships/image" Target="media/e349116cda1c3ecce8e3e950fd32f10f7502abc2.png"/><Relationship Id="rId9" Type="http://schemas.openxmlformats.org/officeDocument/2006/relationships/image" Target="media/c1ee63ea50d45a99dd9f10d8c7724a58f2b01512.png"/><Relationship Id="rId10" Type="http://schemas.openxmlformats.org/officeDocument/2006/relationships/image" Target="media/45025af951d34ea6a11875e28c9394628387a792.png"/><Relationship Id="rId11" Type="http://schemas.openxmlformats.org/officeDocument/2006/relationships/image" Target="media/62282e8afe015f7ffd11b8fb08a50ae94fb38cf7.png"/><Relationship Id="rId12" Type="http://schemas.openxmlformats.org/officeDocument/2006/relationships/image" Target="media/706829341c8631c9725bd57b2dcb605b5ea7acda.png"/><Relationship Id="rId13" Type="http://schemas.openxmlformats.org/officeDocument/2006/relationships/image" Target="media/3e1309e6207699437a31bf9bbc62b1d4eb97fa04.png"/><Relationship Id="rId14" Type="http://schemas.openxmlformats.org/officeDocument/2006/relationships/image" Target="media/dbebdb66f7d3a35cfab2a15b7043c14935a031b2.png"/><Relationship Id="rId15" Type="http://schemas.openxmlformats.org/officeDocument/2006/relationships/image" Target="media/7c5691003362b9af8e341501818eeee0d5d63e9a.png"/><Relationship Id="rId16" Type="http://schemas.openxmlformats.org/officeDocument/2006/relationships/image" Target="media/e5d9f4403f616f2bfc9b15c977543f5439550322.png"/><Relationship Id="rId17" Type="http://schemas.openxmlformats.org/officeDocument/2006/relationships/image" Target="media/a9fa8a63504f3fae43b5f7b5a36c84559d23376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2026-09-12T15:37:00.075Z</dcterms:created>
  <dcterms:modified xsi:type="dcterms:W3CDTF">2026-09-12T15:37:00.092Z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