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11 August,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AnomaliStaxx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AnomaliStaxx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Anomali Staxx integration (TIPG-3996)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FireEyeHX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 HX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integration logic when multiple matches are found for the entity in FireEye HX (TIPG-3436)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IBoss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iBoss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iBoss integration. (TIPG-3982)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Netskope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Netskope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Minor improvements across the whole integration. (TIPG-3595)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Migrated integration from Python2 to Python3. Newer version is only supported on Siemplify 5.3 and higher. (TIPG-3809)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limit parameter can crash execution in some actions. (TIPG-2186)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unicode characters. (TIPG-3357)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ThreatQ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ThreatQ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new functionality to enrichment actions. (TIPG-4023)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PaloAltoPanorama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SearchLogs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timezone support. (TIPG-4092)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Correlated Traffic Between IPs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timezone support. (TIPG-4092)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SymantecATP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Commands Status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default value for Commands IDs parameter. (TIPG-3346)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ThreatQ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Indicator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Create Indicator. (TIPG-4042)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Adversary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Create Adversary. (TIPG-4043)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Related Objects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List Related Objects. (TIPG-4049)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Link Objects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Link Objects. (TIPG-4046)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Add Attribute. (TIPG-4044)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Source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Add Source. (TIPG-4045)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Malware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Get Malware Details. (TIPG-4064)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Object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Create Object. (TIPG-4052)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Entity Related Objects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List Entity Related Objects. (TIPG-4050)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AlienVaultAnywhere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 USM Anywhere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 a bug that causes the connector to process same alarms multiple times and create false positive overflow alerts. (TIPG-4206)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