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14.8 Release Notes</w:t>
      </w:r>
    </w:p>
    <w:p>
      <w:pPr>
        <w:spacing w:before="240"/>
        <w:jc w:val="center"/>
      </w:pPr>
      <w:r>
        <w:rPr>
          <w:rFonts w:ascii="Calibri" w:hAnsi="Calibri"/>
          <w:color w:val="404040"/>
          <w:sz w:val="30"/>
        </w:rPr>
        <w:t>Published on 07 April,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CyberX</w:t>
      </w:r>
    </w:p>
    <w:p>
      <w:pPr>
        <w:pStyle w:val="ListBullet2"/>
        <w:ind w:left="2551"/>
      </w:pPr>
      <w:r>
        <w:rPr>
          <w:rFonts w:ascii="Calibri" w:hAnsi="Calibri"/>
          <w:b/>
          <w:sz w:val="22"/>
        </w:rPr>
        <w:t>CyberX</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ElasticaCloudSOC</w:t>
      </w:r>
    </w:p>
    <w:p>
      <w:pPr>
        <w:pStyle w:val="ListBullet2"/>
        <w:ind w:left="2551"/>
      </w:pPr>
      <w:r>
        <w:rPr>
          <w:rFonts w:ascii="Calibri" w:hAnsi="Calibri"/>
          <w:b/>
          <w:sz w:val="22"/>
        </w:rPr>
        <w:t>ElasticaCloudSOC</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FireEyeEX</w:t>
      </w:r>
    </w:p>
    <w:p>
      <w:pPr>
        <w:pStyle w:val="ListBullet2"/>
        <w:ind w:left="2551"/>
      </w:pPr>
      <w:r>
        <w:rPr>
          <w:rFonts w:ascii="Calibri" w:hAnsi="Calibri"/>
          <w:b/>
          <w:sz w:val="22"/>
        </w:rPr>
        <w:t>FireEye EX</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FireEyeHX</w:t>
      </w:r>
    </w:p>
    <w:p>
      <w:pPr>
        <w:pStyle w:val="ListBullet2"/>
        <w:ind w:left="2551"/>
      </w:pPr>
      <w:r>
        <w:rPr>
          <w:rFonts w:ascii="Calibri" w:hAnsi="Calibri"/>
          <w:b/>
          <w:sz w:val="22"/>
        </w:rPr>
        <w:t>FireEye HX</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FortiManager</w:t>
      </w:r>
    </w:p>
    <w:p>
      <w:pPr>
        <w:pStyle w:val="ListBullet2"/>
        <w:ind w:left="2551"/>
      </w:pPr>
      <w:r>
        <w:rPr>
          <w:rFonts w:ascii="Calibri" w:hAnsi="Calibri"/>
          <w:b/>
          <w:sz w:val="22"/>
        </w:rPr>
        <w:t>FortiManager</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IBoss</w:t>
      </w:r>
    </w:p>
    <w:p>
      <w:pPr>
        <w:pStyle w:val="ListBullet2"/>
        <w:ind w:left="2551"/>
      </w:pPr>
      <w:r>
        <w:rPr>
          <w:rFonts w:ascii="Calibri" w:hAnsi="Calibri"/>
          <w:b/>
          <w:sz w:val="22"/>
        </w:rPr>
        <w:t>iBoss</w:t>
      </w:r>
    </w:p>
    <w:p>
      <w:pPr>
        <w:pStyle w:val="ListBullet3"/>
        <w:ind w:left="3118"/>
      </w:pPr>
      <w:r>
        <w:rPr>
          <w:rFonts w:ascii="Calibri" w:hAnsi="Calibri"/>
          <w:b w:val="0"/>
          <w:sz w:val="22"/>
        </w:rPr>
        <w:t>Fixed a bug where the integration's SVG logo file was causing unexpected behaviors in specific cases. (TIPG-8062)</w:t>
      </w:r>
    </w:p>
    <w:p>
      <w:pPr>
        <w:pStyle w:val="ListBullet"/>
        <w:ind w:left="1984"/>
      </w:pPr>
      <w:r>
        <w:rPr>
          <w:rFonts w:ascii="Calibri" w:hAnsi="Calibri"/>
          <w:b/>
          <w:sz w:val="24"/>
        </w:rPr>
        <w:t>IPInfo</w:t>
      </w:r>
    </w:p>
    <w:p>
      <w:pPr>
        <w:pStyle w:val="ListBullet2"/>
        <w:ind w:left="2551"/>
      </w:pPr>
      <w:r>
        <w:rPr>
          <w:rFonts w:ascii="Calibri" w:hAnsi="Calibri"/>
          <w:b/>
          <w:sz w:val="22"/>
        </w:rPr>
        <w:t>IPInfo</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JuniperVSRX</w:t>
      </w:r>
    </w:p>
    <w:p>
      <w:pPr>
        <w:pStyle w:val="ListBullet2"/>
        <w:ind w:left="2551"/>
      </w:pPr>
      <w:r>
        <w:rPr>
          <w:rFonts w:ascii="Calibri" w:hAnsi="Calibri"/>
          <w:b/>
          <w:sz w:val="22"/>
        </w:rPr>
        <w:t>JuniperVSRX</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Lastline</w:t>
      </w:r>
    </w:p>
    <w:p>
      <w:pPr>
        <w:pStyle w:val="ListBullet2"/>
        <w:ind w:left="2551"/>
      </w:pPr>
      <w:r>
        <w:rPr>
          <w:rFonts w:ascii="Calibri" w:hAnsi="Calibri"/>
          <w:b/>
          <w:sz w:val="22"/>
        </w:rPr>
        <w:t>Lastline</w:t>
      </w:r>
    </w:p>
    <w:p>
      <w:pPr>
        <w:pStyle w:val="ListBullet3"/>
        <w:ind w:left="3118"/>
      </w:pPr>
      <w:r>
        <w:rPr>
          <w:rFonts w:ascii="Calibri" w:hAnsi="Calibri"/>
          <w:b w:val="0"/>
          <w:sz w:val="22"/>
        </w:rPr>
        <w:t>NEW! New Lastline integration added. (TIPG-5996)</w:t>
      </w:r>
    </w:p>
    <w:p>
      <w:pPr>
        <w:pStyle w:val="ListBullet"/>
        <w:ind w:left="1984"/>
      </w:pPr>
      <w:r>
        <w:rPr>
          <w:rFonts w:ascii="Calibri" w:hAnsi="Calibri"/>
          <w:b/>
          <w:sz w:val="24"/>
        </w:rPr>
        <w:t>McAfeeActiveResponse</w:t>
      </w:r>
    </w:p>
    <w:p>
      <w:pPr>
        <w:pStyle w:val="ListBullet2"/>
        <w:ind w:left="2551"/>
      </w:pPr>
      <w:r>
        <w:rPr>
          <w:rFonts w:ascii="Calibri" w:hAnsi="Calibri"/>
          <w:b/>
          <w:sz w:val="22"/>
        </w:rPr>
        <w:t>McAfee Active Response</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McAfeeEPO</w:t>
      </w:r>
    </w:p>
    <w:p>
      <w:pPr>
        <w:pStyle w:val="ListBullet2"/>
        <w:ind w:left="2551"/>
      </w:pPr>
      <w:r>
        <w:rPr>
          <w:rFonts w:ascii="Calibri" w:hAnsi="Calibri"/>
          <w:b/>
          <w:sz w:val="22"/>
        </w:rPr>
        <w:t>McAfeeEPO</w:t>
      </w:r>
    </w:p>
    <w:p>
      <w:pPr>
        <w:pStyle w:val="ListBullet3"/>
        <w:ind w:left="3118"/>
      </w:pPr>
      <w:r>
        <w:rPr>
          <w:rFonts w:ascii="Calibri" w:hAnsi="Calibri"/>
          <w:b w:val="0"/>
          <w:sz w:val="22"/>
        </w:rPr>
        <w:t>Migrated integration to Python3. (TIPG-7896)</w:t>
      </w:r>
    </w:p>
    <w:p>
      <w:pPr>
        <w:pStyle w:val="ListBullet3"/>
        <w:ind w:left="3118"/>
      </w:pPr>
      <w:r>
        <w:rPr>
          <w:rFonts w:ascii="Calibri" w:hAnsi="Calibri"/>
          <w:b w:val="0"/>
          <w:sz w:val="22"/>
        </w:rPr>
        <w:t>Updated action description for actions "Add Tag", "Get Agent Information", "Get Dat Version", "Get Events For Hash", "Get Host IPS Status", "Get Host Network IPS Status", "Get Last Communition Time", "Get McAfee Epo Agent Version", "Get System Information", "Get Virus Engine Agent Version", "Remove Tag", "Run Full Scan", "Update McAfee Agent", "Compare Server and Agent DAT" (TIPG-7896)</w:t>
      </w:r>
    </w:p>
    <w:p>
      <w:pPr>
        <w:pStyle w:val="ListBullet3"/>
        <w:ind w:left="3118"/>
      </w:pPr>
      <w:r>
        <w:rPr>
          <w:rFonts w:ascii="Calibri" w:hAnsi="Calibri"/>
          <w:b w:val="0"/>
          <w:sz w:val="22"/>
        </w:rPr>
        <w:t>Updated output messages and error handling for actions "Add Tag", "Get Agent Information", "Get Dat Version", "Get Events For Hash", "Get Host IPS Status", "Get Host Network IPS Status", "Get Last Communition Time", "Get McAfee Epo Agent Version", "Get System Information", "Get Virus Engine Agent Version", "Remove Tag", "Run Full Scan", "Update McAfee Agent" (TIPG-7896)</w:t>
      </w:r>
    </w:p>
    <w:p>
      <w:pPr>
        <w:pStyle w:val="ListBullet3"/>
        <w:ind w:left="3118"/>
      </w:pPr>
      <w:r>
        <w:rPr>
          <w:rFonts w:ascii="Calibri" w:hAnsi="Calibri"/>
          <w:b w:val="0"/>
          <w:sz w:val="22"/>
        </w:rPr>
        <w:t>Added new optional parameters for actions "Get Events For Hash", "Get System Information" (TIPG-7896)</w:t>
      </w:r>
    </w:p>
    <w:p>
      <w:pPr>
        <w:pStyle w:val="ListBullet3"/>
        <w:ind w:left="3118"/>
      </w:pPr>
      <w:r>
        <w:rPr>
          <w:rFonts w:ascii="Calibri" w:hAnsi="Calibri"/>
          <w:b w:val="0"/>
          <w:sz w:val="22"/>
        </w:rPr>
        <w:t>Updated action parameter description for actions "Add Tag", "Get Events For Hash", "Get System Information", "Remove Tag", "Run Full Scan", "Update McAfee Agent" (TIPG-7896)</w:t>
      </w:r>
    </w:p>
    <w:p>
      <w:pPr>
        <w:pStyle w:val="ListBullet3"/>
        <w:ind w:left="3118"/>
      </w:pPr>
      <w:r>
        <w:rPr>
          <w:rFonts w:ascii="Calibri" w:hAnsi="Calibri"/>
          <w:b w:val="0"/>
          <w:sz w:val="22"/>
        </w:rPr>
        <w:t>Updated JSON result for actions "Get Dat Version", "Get Events For Hash", "Get Host IPS Status", "Get Host Network IPS Status", "Get Last Communition Time", "Get McAfee Epo Agent Version", "Get System Information", "Get Virus Engine Agent Version", "Run Full Scan", "Update McAfee Agent", "Compare Server and Agent DAT" (TIPG-7896)</w:t>
      </w:r>
    </w:p>
    <w:p>
      <w:pPr>
        <w:pStyle w:val="ListBullet3"/>
        <w:ind w:left="3118"/>
      </w:pPr>
      <w:r>
        <w:rPr>
          <w:rFonts w:ascii="Calibri" w:hAnsi="Calibri"/>
          <w:b w:val="0"/>
          <w:sz w:val="22"/>
        </w:rPr>
        <w:t>Added group handling logic for actions "Add Tag", "Get System Information", "Remove Tag", "Run Full Scan", "Update McAfee Agent" (TIPG-7896)</w:t>
      </w:r>
    </w:p>
    <w:p>
      <w:pPr>
        <w:pStyle w:val="ListBullet3"/>
        <w:ind w:left="3118"/>
      </w:pPr>
      <w:r>
        <w:rPr>
          <w:rFonts w:ascii="Calibri" w:hAnsi="Calibri"/>
          <w:b w:val="0"/>
          <w:sz w:val="22"/>
        </w:rPr>
        <w:t>NEW! Added new actions "Execute Query By ID", "Execute Custom Query", "Get Endpoint Events", "List Queries", "Execute Entity Query" and "List Tasks". (TIPG-7896)</w:t>
      </w:r>
    </w:p>
    <w:p>
      <w:pPr>
        <w:pStyle w:val="ListBullet3"/>
        <w:ind w:left="3118"/>
      </w:pPr>
      <w:r>
        <w:rPr>
          <w:rFonts w:ascii="Calibri" w:hAnsi="Calibri"/>
          <w:b w:val="0"/>
          <w:sz w:val="22"/>
        </w:rPr>
        <w:t>NEW! Added new connector "Threats Connector" (TIPG-7896)</w:t>
      </w:r>
    </w:p>
    <w:p>
      <w:pPr>
        <w:pStyle w:val="ListBullet3"/>
        <w:ind w:left="3118"/>
      </w:pPr>
      <w:r>
        <w:rPr>
          <w:rFonts w:ascii="Calibri" w:hAnsi="Calibri"/>
          <w:b w:val="0"/>
          <w:sz w:val="22"/>
        </w:rPr>
        <w:t>Removed action "Get Host SolidCore Status". (TIPG-7896)</w:t>
      </w:r>
    </w:p>
    <w:p>
      <w:pPr>
        <w:pStyle w:val="ListBullet"/>
        <w:ind w:left="1984"/>
      </w:pPr>
      <w:r>
        <w:rPr>
          <w:rFonts w:ascii="Calibri" w:hAnsi="Calibri"/>
          <w:b/>
          <w:sz w:val="24"/>
        </w:rPr>
        <w:t>MicroFocusITSMA</w:t>
      </w:r>
    </w:p>
    <w:p>
      <w:pPr>
        <w:pStyle w:val="ListBullet2"/>
        <w:ind w:left="2551"/>
      </w:pPr>
      <w:r>
        <w:rPr>
          <w:rFonts w:ascii="Calibri" w:hAnsi="Calibri"/>
          <w:b/>
          <w:sz w:val="22"/>
        </w:rPr>
        <w:t>MicroFocusTSMA</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MicrosoftDefenderATP</w:t>
      </w:r>
    </w:p>
    <w:p>
      <w:pPr>
        <w:pStyle w:val="ListBullet2"/>
        <w:ind w:left="2551"/>
      </w:pPr>
      <w:r>
        <w:rPr>
          <w:rFonts w:ascii="Calibri" w:hAnsi="Calibri"/>
          <w:b/>
          <w:sz w:val="22"/>
        </w:rPr>
        <w:t>Microsoft Defender ATP</w:t>
      </w:r>
    </w:p>
    <w:p>
      <w:pPr>
        <w:pStyle w:val="ListBullet3"/>
        <w:ind w:left="3118"/>
      </w:pPr>
      <w:r>
        <w:rPr>
          <w:rFonts w:ascii="Calibri" w:hAnsi="Calibri"/>
          <w:b w:val="0"/>
          <w:sz w:val="22"/>
        </w:rPr>
        <w:t>Updated the integration actions that work on ip and host entities to correctly find matching machines in Defender ATP. (TIPG-8050)</w:t>
      </w:r>
    </w:p>
    <w:p>
      <w:pPr>
        <w:pStyle w:val="ListBullet"/>
        <w:ind w:left="1984"/>
      </w:pPr>
      <w:r>
        <w:rPr>
          <w:rFonts w:ascii="Calibri" w:hAnsi="Calibri"/>
          <w:b/>
          <w:sz w:val="24"/>
        </w:rPr>
        <w:t>MobileIron</w:t>
      </w:r>
    </w:p>
    <w:p>
      <w:pPr>
        <w:pStyle w:val="ListBullet2"/>
        <w:ind w:left="2551"/>
      </w:pPr>
      <w:r>
        <w:rPr>
          <w:rFonts w:ascii="Calibri" w:hAnsi="Calibri"/>
          <w:b/>
          <w:sz w:val="22"/>
        </w:rPr>
        <w:t>MobileIron</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SymantecATP</w:t>
      </w:r>
    </w:p>
    <w:p>
      <w:pPr>
        <w:pStyle w:val="ListBullet2"/>
        <w:ind w:left="2551"/>
      </w:pPr>
      <w:r>
        <w:rPr>
          <w:rFonts w:ascii="Calibri" w:hAnsi="Calibri"/>
          <w:b/>
          <w:sz w:val="22"/>
        </w:rPr>
        <w:t>Symantec ATP</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SymantecContentAnalysis</w:t>
      </w:r>
    </w:p>
    <w:p>
      <w:pPr>
        <w:pStyle w:val="ListBullet2"/>
        <w:ind w:left="2551"/>
      </w:pPr>
      <w:r>
        <w:rPr>
          <w:rFonts w:ascii="Calibri" w:hAnsi="Calibri"/>
          <w:b/>
          <w:sz w:val="22"/>
        </w:rPr>
        <w:t>SymantecContentAnalysis</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SymantecICDX</w:t>
      </w:r>
    </w:p>
    <w:p>
      <w:pPr>
        <w:pStyle w:val="ListBullet2"/>
        <w:ind w:left="2551"/>
      </w:pPr>
      <w:r>
        <w:rPr>
          <w:rFonts w:ascii="Calibri" w:hAnsi="Calibri"/>
          <w:b/>
          <w:sz w:val="22"/>
        </w:rPr>
        <w:t>SymantecICDX</w:t>
      </w:r>
    </w:p>
    <w:p>
      <w:pPr>
        <w:pStyle w:val="ListBullet3"/>
        <w:ind w:left="3118"/>
      </w:pPr>
      <w:r>
        <w:rPr>
          <w:rFonts w:ascii="Calibri" w:hAnsi="Calibri"/>
          <w:b w:val="0"/>
          <w:sz w:val="22"/>
        </w:rPr>
        <w:t xml:space="preserve"> Fixed a bug where the integration's SVG logo file was causing unexpected behaviors in specific cases. (TIPG-8062)</w:t>
      </w:r>
    </w:p>
    <w:p>
      <w:pPr>
        <w:pStyle w:val="ListBullet"/>
        <w:ind w:left="1984"/>
      </w:pPr>
      <w:r>
        <w:rPr>
          <w:rFonts w:ascii="Calibri" w:hAnsi="Calibri"/>
          <w:b/>
          <w:sz w:val="24"/>
        </w:rPr>
        <w:t>TrendMicroApexCentral</w:t>
      </w:r>
    </w:p>
    <w:p>
      <w:pPr>
        <w:pStyle w:val="ListBullet2"/>
        <w:ind w:left="2551"/>
      </w:pPr>
      <w:r>
        <w:rPr>
          <w:rFonts w:ascii="Calibri" w:hAnsi="Calibri"/>
          <w:b/>
          <w:sz w:val="22"/>
        </w:rPr>
        <w:t>TrendMicroApexCentral</w:t>
      </w:r>
    </w:p>
    <w:p>
      <w:pPr>
        <w:pStyle w:val="ListBullet3"/>
        <w:ind w:left="3118"/>
      </w:pPr>
      <w:r>
        <w:rPr>
          <w:rFonts w:ascii="Calibri" w:hAnsi="Calibri"/>
          <w:b w:val="0"/>
          <w:sz w:val="22"/>
        </w:rPr>
        <w:t>NEW! Added MAC Address entity support to "Isolate Endpoints" and "Unisolate Endpoints" actions. (TIPG-8031)</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SentinelOneV2</w:t>
      </w:r>
    </w:p>
    <w:p>
      <w:pPr>
        <w:pStyle w:val="ListBullet2"/>
        <w:ind w:left="2551"/>
      </w:pPr>
      <w:r>
        <w:rPr>
          <w:rFonts w:ascii="Calibri" w:hAnsi="Calibri"/>
          <w:b/>
          <w:sz w:val="22"/>
        </w:rPr>
        <w:t>Mark As Threat</w:t>
      </w:r>
    </w:p>
    <w:p>
      <w:pPr>
        <w:pStyle w:val="ListBullet3"/>
        <w:ind w:left="3118"/>
      </w:pPr>
      <w:r>
        <w:rPr>
          <w:rFonts w:ascii="Calibri" w:hAnsi="Calibri"/>
          <w:b w:val="0"/>
          <w:sz w:val="22"/>
        </w:rPr>
        <w:t>Added support for using simulated data with the playbook simulator feature, in the "Mark As Threat" action (TIPG-8109)</w:t>
      </w:r>
    </w:p>
    <w:p>
      <w:pPr>
        <w:pStyle w:val="ListBullet"/>
        <w:ind w:left="1984"/>
      </w:pPr>
      <w:r>
        <w:rPr>
          <w:rFonts w:ascii="Calibri" w:hAnsi="Calibri"/>
          <w:b/>
          <w:sz w:val="24"/>
        </w:rPr>
        <w:t>TrendMicroCloudAppSecurity</w:t>
      </w:r>
    </w:p>
    <w:p>
      <w:pPr>
        <w:pStyle w:val="ListBullet2"/>
        <w:ind w:left="2551"/>
      </w:pPr>
      <w:r>
        <w:rPr>
          <w:rFonts w:ascii="Calibri" w:hAnsi="Calibri"/>
          <w:b/>
          <w:sz w:val="22"/>
        </w:rPr>
        <w:t>Enrich Entities</w:t>
      </w:r>
    </w:p>
    <w:p>
      <w:pPr>
        <w:pStyle w:val="ListBullet3"/>
        <w:ind w:left="3118"/>
      </w:pPr>
      <w:r>
        <w:rPr>
          <w:rFonts w:ascii="Calibri" w:hAnsi="Calibri"/>
          <w:b w:val="0"/>
          <w:sz w:val="22"/>
        </w:rPr>
        <w:t>NEW! New action "Enrich Entities" added. (TIPG-7675)</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CrowdStrikeFalcon</w:t>
      </w:r>
    </w:p>
    <w:p>
      <w:pPr>
        <w:pStyle w:val="ListBullet2"/>
        <w:ind w:left="2551"/>
      </w:pPr>
      <w:r>
        <w:rPr>
          <w:rFonts w:ascii="Calibri" w:hAnsi="Calibri"/>
          <w:b/>
          <w:sz w:val="22"/>
        </w:rPr>
        <w:t>Crowdstrike Falcon Streaming Events Connector</w:t>
      </w:r>
    </w:p>
    <w:p>
      <w:pPr>
        <w:pStyle w:val="ListBullet3"/>
        <w:ind w:left="3118"/>
      </w:pPr>
      <w:r>
        <w:rPr>
          <w:rFonts w:ascii="Calibri" w:hAnsi="Calibri"/>
          <w:b w:val="0"/>
          <w:sz w:val="22"/>
        </w:rPr>
        <w:t>Added support for all possible event types in "Streaming Events" connector. (TIPG-7984)</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