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15.85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01 September,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Jira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Jira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Create issue, Update Issue, Get Issues Actions - Improved handling of issue types in Jira. (TIPG-9218)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Lastline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Lastline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"Verify SSL" logic of the integration. (TIPG-9685)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Sophos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Sophos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Integration - REGRESSIVE! - Updated integration configuration to support MFA environments. Note: Sophos will require MFA authentication soon. Make sure to update your integration configuration! (TIPG-4617)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Ping, Get Service Status, Scan Endpoints, Get Events Log - Updated action's logic. (TIPG-4617)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Talos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Talos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the integration to match API requirement's changes. (TIPG-9799)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CBCloud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a Reputation Override for IT Tool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Create a Reputation Override for IT Tool. (TIPG-9508)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a Reputation Override for Certificate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Create a Reputation Override for Certificate. (TIPG-9500)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a Reputation Override for SHA-256 Hash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Create a Reputation Override for SHA-256 Hash. (TIPG-9505)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Reputation Overrides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Reputation Overrides. (TIPG-9497)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Delete a Reputation Override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Delete a Reputation Override. (TIPG-9509)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CiscoOrbital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Execute Query - Updated action's timeout flow. (TIPG-9631)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FreshworksFreshservice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Update Ticket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 Ticket - Updated the "Custom Fields" parameter's functionality. (TIPG-9680)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MISP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Create Event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Create Event - Added an ability to immediately publish created events (TIPG-9624)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Sophos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Get Events Log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Get Events Log - REGRESSIVE! - Updated action output. Make sure to check your playbooks that relied on the action output! (TIPG-4617)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Mail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v2 - Added raw email addresses values (without display names) to the connector's events. (TIPG-9365)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Mail Connector v2 with Oauth Authentication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 with Oauth Authentication - Added raw email addresses values (without display names) to the connector's events. (TIPG-9365)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