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16.05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October,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"Enrich Endpoint", "Update Endpoint", "Quarantine Address", "Unquarantine Address" - Updated the actions to match API requirement's changes. (TIPG-9912)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actions to better support cases of invalid entities. (TIPG-9979)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