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16.15 Release Notes</w:t>
      </w:r>
    </w:p>
    <w:p>
      <w:pPr>
        <w:spacing w:before="240"/>
        <w:jc w:val="center"/>
      </w:pPr>
      <w:r>
        <w:rPr>
          <w:rFonts w:ascii="Calibri" w:hAnsi="Calibri"/>
          <w:color w:val="404040"/>
          <w:sz w:val="30"/>
        </w:rPr>
        <w:t>Published on 13 October,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LogRhythm</w:t>
      </w:r>
    </w:p>
    <w:p>
      <w:pPr>
        <w:pStyle w:val="ListBullet2"/>
        <w:ind w:left="2551"/>
      </w:pPr>
      <w:r>
        <w:rPr>
          <w:rFonts w:ascii="Calibri" w:hAnsi="Calibri"/>
          <w:b/>
          <w:sz w:val="22"/>
        </w:rPr>
        <w:t>LogRhythm</w:t>
      </w:r>
    </w:p>
    <w:p>
      <w:pPr>
        <w:pStyle w:val="ListBullet3"/>
        <w:ind w:left="3118"/>
      </w:pPr>
      <w:r>
        <w:rPr>
          <w:rFonts w:ascii="Calibri" w:hAnsi="Calibri"/>
          <w:b w:val="0"/>
          <w:sz w:val="22"/>
        </w:rPr>
        <w:t>Updated the integration configuration. Please make sure to provide all of the needed parameters and check the connectivity. (TIPG-2217)</w:t>
      </w:r>
    </w:p>
    <w:p>
      <w:pPr>
        <w:pStyle w:val="ListBullet3"/>
        <w:ind w:left="3118"/>
      </w:pPr>
      <w:r>
        <w:rPr>
          <w:rFonts w:ascii="Calibri" w:hAnsi="Calibri"/>
          <w:b w:val="0"/>
          <w:sz w:val="22"/>
        </w:rPr>
        <w:t>New Actions Added - Enrich Entities, Update Alarm, Get Alarm Details, Add Comment To Alarm, List Case Evidence, Add Alarm To Case, Attach File To Case, Add Note To Case, Create Case, Update Case, Download Case Files, List Entity Events. (TIPG-2217)</w:t>
      </w:r>
    </w:p>
    <w:p>
      <w:pPr>
        <w:pStyle w:val="ListBullet3"/>
        <w:ind w:left="3118"/>
      </w:pPr>
      <w:r>
        <w:rPr>
          <w:rFonts w:ascii="Calibri" w:hAnsi="Calibri"/>
          <w:b w:val="0"/>
          <w:sz w:val="22"/>
        </w:rPr>
        <w:t>New Jobs Added - Sync Case Comments, Sync Closed Cases, Sync Alarm Comments, Sync Closed Alarms. (TIPG-2217)</w:t>
      </w:r>
    </w:p>
    <w:p>
      <w:pPr>
        <w:pStyle w:val="ListBullet3"/>
        <w:ind w:left="3118"/>
      </w:pPr>
      <w:r>
        <w:rPr>
          <w:rFonts w:ascii="Calibri" w:hAnsi="Calibri"/>
          <w:b w:val="0"/>
          <w:sz w:val="22"/>
        </w:rPr>
        <w:t>Updated the integration configuration. Please make sure to provide all of the needed parameters and check the connectivity. Please refer to our documentation for more information: integrations.siemplify.co/doc/logrhythm. (TIPG-2217)</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AlienVaultAnywhere</w:t>
      </w:r>
    </w:p>
    <w:p>
      <w:pPr>
        <w:pStyle w:val="ListBullet2"/>
        <w:ind w:left="2551"/>
      </w:pPr>
      <w:r>
        <w:rPr>
          <w:rFonts w:ascii="Calibri" w:hAnsi="Calibri"/>
          <w:b/>
          <w:sz w:val="22"/>
        </w:rPr>
        <w:t>List Events</w:t>
      </w:r>
    </w:p>
    <w:p>
      <w:pPr>
        <w:pStyle w:val="ListBullet3"/>
        <w:ind w:left="3118"/>
      </w:pPr>
      <w:r>
        <w:rPr>
          <w:rFonts w:ascii="Calibri" w:hAnsi="Calibri"/>
          <w:b w:val="0"/>
          <w:sz w:val="22"/>
        </w:rPr>
        <w:t>List Events - Updated action to support latest API changes. (TIPG-9903)</w:t>
      </w:r>
    </w:p>
    <w:p>
      <w:pPr>
        <w:pStyle w:val="ListBullet"/>
        <w:ind w:left="1984"/>
      </w:pPr>
      <w:r>
        <w:rPr>
          <w:rFonts w:ascii="Calibri" w:hAnsi="Calibri"/>
          <w:b/>
          <w:sz w:val="24"/>
        </w:rPr>
        <w:t>LogRhythm</w:t>
      </w:r>
    </w:p>
    <w:p>
      <w:pPr>
        <w:pStyle w:val="ListBullet2"/>
        <w:ind w:left="2551"/>
      </w:pPr>
      <w:r>
        <w:rPr>
          <w:rFonts w:ascii="Calibri" w:hAnsi="Calibri"/>
          <w:b/>
          <w:sz w:val="22"/>
        </w:rPr>
        <w:t>Ping</w:t>
      </w:r>
    </w:p>
    <w:p>
      <w:pPr>
        <w:pStyle w:val="ListBullet3"/>
        <w:ind w:left="3118"/>
      </w:pPr>
      <w:r>
        <w:rPr>
          <w:rFonts w:ascii="Calibri" w:hAnsi="Calibri"/>
          <w:b w:val="0"/>
          <w:sz w:val="22"/>
        </w:rPr>
        <w:t>Ping - Updated the action logic to support latest API version. (TIPG-9696)</w:t>
      </w:r>
    </w:p>
    <w:p>
      <w:pPr>
        <w:pStyle w:val="ListBullet"/>
        <w:ind w:left="1984"/>
      </w:pPr>
      <w:r>
        <w:rPr>
          <w:rFonts w:ascii="Calibri" w:hAnsi="Calibri"/>
          <w:b/>
          <w:sz w:val="24"/>
        </w:rPr>
        <w:t>McAfeeEPO</w:t>
      </w:r>
    </w:p>
    <w:p>
      <w:pPr>
        <w:pStyle w:val="ListBullet2"/>
        <w:ind w:left="2551"/>
      </w:pPr>
      <w:r>
        <w:rPr>
          <w:rFonts w:ascii="Calibri" w:hAnsi="Calibri"/>
          <w:b/>
          <w:sz w:val="22"/>
        </w:rPr>
        <w:t>Get Endpoint Events</w:t>
      </w:r>
    </w:p>
    <w:p>
      <w:pPr>
        <w:pStyle w:val="ListBullet3"/>
        <w:ind w:left="3118"/>
      </w:pPr>
      <w:r>
        <w:rPr>
          <w:rFonts w:ascii="Calibri" w:hAnsi="Calibri"/>
          <w:b w:val="0"/>
          <w:sz w:val="22"/>
        </w:rPr>
        <w:t>Get Endpoint Events - Updated action logic. (TIPG-10046)</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LogRhythm</w:t>
      </w:r>
    </w:p>
    <w:p>
      <w:pPr>
        <w:pStyle w:val="ListBullet2"/>
        <w:ind w:left="2551"/>
      </w:pPr>
      <w:r>
        <w:rPr>
          <w:rFonts w:ascii="Calibri" w:hAnsi="Calibri"/>
          <w:b/>
          <w:sz w:val="22"/>
        </w:rPr>
        <w:t>LogRhythm Alarms Connector</w:t>
      </w:r>
    </w:p>
    <w:p>
      <w:pPr>
        <w:pStyle w:val="ListBullet3"/>
        <w:ind w:left="3118"/>
      </w:pPr>
      <w:r>
        <w:rPr>
          <w:rFonts w:ascii="Calibri" w:hAnsi="Calibri"/>
          <w:b w:val="0"/>
          <w:sz w:val="22"/>
        </w:rPr>
        <w:t>REGRESSIVE! Alarms Connector - REGRESSIVE! Removed due to deprecation of SOAP API on the side of LogRhythm. Please be aware that the update can lead to unexpected results. It is recommended to remove the Alarms connector before the update and make sure to switch to Rest API Alarms connector. (TIPG-9709)</w:t>
      </w:r>
    </w:p>
    <w:p>
      <w:pPr>
        <w:pStyle w:val="ListBullet2"/>
        <w:ind w:left="2551"/>
      </w:pPr>
      <w:r>
        <w:rPr>
          <w:rFonts w:ascii="Calibri" w:hAnsi="Calibri"/>
          <w:b/>
          <w:sz w:val="22"/>
        </w:rPr>
        <w:t>LogRhythm Cases Connector</w:t>
      </w:r>
    </w:p>
    <w:p>
      <w:pPr>
        <w:pStyle w:val="ListBullet3"/>
        <w:ind w:left="3118"/>
      </w:pPr>
      <w:r>
        <w:rPr>
          <w:rFonts w:ascii="Calibri" w:hAnsi="Calibri"/>
          <w:b w:val="0"/>
          <w:sz w:val="22"/>
        </w:rPr>
        <w:t>Cases Connector - Updated execution flow and enhanced functionality. (TIPG-9707)</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