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16.55 Release Notes</w:t>
      </w:r>
    </w:p>
    <w:p>
      <w:pPr>
        <w:spacing w:before="240"/>
        <w:jc w:val="center"/>
      </w:pPr>
      <w:r>
        <w:rPr>
          <w:rFonts w:ascii="Calibri" w:hAnsi="Calibri"/>
          <w:color w:val="404040"/>
          <w:sz w:val="30"/>
        </w:rPr>
        <w:t>Published on 08 December,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PostgreSQL</w:t>
      </w:r>
    </w:p>
    <w:p>
      <w:pPr>
        <w:pStyle w:val="ListBullet2"/>
        <w:ind w:left="2551"/>
      </w:pPr>
      <w:r>
        <w:rPr>
          <w:rFonts w:ascii="Calibri" w:hAnsi="Calibri"/>
          <w:b/>
          <w:sz w:val="22"/>
        </w:rPr>
        <w:t>PostgreSQL</w:t>
      </w:r>
    </w:p>
    <w:p>
      <w:pPr>
        <w:pStyle w:val="ListBullet3"/>
        <w:ind w:left="3118"/>
      </w:pPr>
      <w:r>
        <w:rPr>
          <w:rFonts w:ascii="Calibri" w:hAnsi="Calibri"/>
          <w:b w:val="0"/>
          <w:sz w:val="22"/>
        </w:rPr>
        <w:t>PostgreSQL - Updated handling of the "Port" parameter. (TIPG-10442)</w:t>
      </w:r>
    </w:p>
    <w:p>
      <w:pPr>
        <w:pStyle w:val="ListBullet"/>
        <w:ind w:left="1984"/>
      </w:pPr>
      <w:r>
        <w:rPr>
          <w:rFonts w:ascii="Calibri" w:hAnsi="Calibri"/>
          <w:b/>
          <w:sz w:val="24"/>
        </w:rPr>
        <w:t>Siemplify</w:t>
      </w:r>
    </w:p>
    <w:p>
      <w:pPr>
        <w:pStyle w:val="ListBullet2"/>
        <w:ind w:left="2551"/>
      </w:pPr>
      <w:r>
        <w:rPr>
          <w:rFonts w:ascii="Calibri" w:hAnsi="Calibri"/>
          <w:b/>
          <w:sz w:val="22"/>
        </w:rPr>
        <w:t>Siemplify</w:t>
      </w:r>
    </w:p>
    <w:p>
      <w:pPr>
        <w:pStyle w:val="ListBullet3"/>
        <w:ind w:left="3118"/>
      </w:pPr>
      <w:r>
        <w:rPr>
          <w:rFonts w:ascii="Calibri" w:hAnsi="Calibri"/>
          <w:b w:val="0"/>
          <w:sz w:val="22"/>
        </w:rPr>
        <w:t>Updated the Cases Collector's logic. (TIPG-10686)</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ConnectWise</w:t>
      </w:r>
    </w:p>
    <w:p>
      <w:pPr>
        <w:pStyle w:val="ListBullet2"/>
        <w:ind w:left="2551"/>
      </w:pPr>
      <w:r>
        <w:rPr>
          <w:rFonts w:ascii="Calibri" w:hAnsi="Calibri"/>
          <w:b/>
          <w:sz w:val="22"/>
        </w:rPr>
        <w:t>Update Ticket</w:t>
      </w:r>
    </w:p>
    <w:p>
      <w:pPr>
        <w:pStyle w:val="ListBullet3"/>
        <w:ind w:left="3118"/>
      </w:pPr>
      <w:r>
        <w:rPr>
          <w:rFonts w:ascii="Calibri" w:hAnsi="Calibri"/>
          <w:b w:val="0"/>
          <w:sz w:val="22"/>
        </w:rPr>
        <w:t>Update Ticket - Added the ability to change ConnectWise tickets statuses. (TIPG-4440)</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McAfeeEPO</w:t>
      </w:r>
    </w:p>
    <w:p>
      <w:pPr>
        <w:pStyle w:val="ListBullet2"/>
        <w:ind w:left="2551"/>
      </w:pPr>
      <w:r>
        <w:rPr>
          <w:rFonts w:ascii="Calibri" w:hAnsi="Calibri"/>
          <w:b/>
          <w:sz w:val="22"/>
        </w:rPr>
        <w:t>McAfee ePO - Threats Connector</w:t>
      </w:r>
    </w:p>
    <w:p>
      <w:pPr>
        <w:pStyle w:val="ListBullet3"/>
        <w:ind w:left="3118"/>
      </w:pPr>
      <w:r>
        <w:rPr>
          <w:rFonts w:ascii="Calibri" w:hAnsi="Calibri"/>
          <w:b w:val="0"/>
          <w:sz w:val="22"/>
        </w:rPr>
        <w:t>Threats Connector - Added additional fields to Siemplify Events. (TIPG-9986)</w:t>
      </w:r>
    </w:p>
    <w:p>
      <w:pPr>
        <w:pStyle w:val="ListBullet"/>
        <w:ind w:left="1984"/>
      </w:pPr>
      <w:r>
        <w:rPr>
          <w:rFonts w:ascii="Calibri" w:hAnsi="Calibri"/>
          <w:b/>
          <w:sz w:val="24"/>
        </w:rPr>
        <w:t>MicrosoftAzureSentinel</w:t>
      </w:r>
    </w:p>
    <w:p>
      <w:pPr>
        <w:pStyle w:val="ListBullet2"/>
        <w:ind w:left="2551"/>
      </w:pPr>
      <w:r>
        <w:rPr>
          <w:rFonts w:ascii="Calibri" w:hAnsi="Calibri"/>
          <w:b/>
          <w:sz w:val="22"/>
        </w:rPr>
        <w:t>Incident Connector v2</w:t>
      </w:r>
    </w:p>
    <w:p>
      <w:pPr>
        <w:pStyle w:val="ListBullet3"/>
        <w:ind w:left="3118"/>
      </w:pPr>
      <w:r>
        <w:rPr>
          <w:rFonts w:ascii="Calibri" w:hAnsi="Calibri"/>
          <w:b w:val="0"/>
          <w:sz w:val="22"/>
        </w:rPr>
        <w:t>Microsoft Azure Sentinel Incident Connector v2 - Important Note: Added a new parameter to limit the number of events ingested for Azure Sentinel's Scheduled Alerts. Default limit is 100. When updating, please make sure this number matches your needs, or change it accordingly. Please refer to our documentation for more information. (TIPG-10496)</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