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18.45 Release Notes</w:t>
      </w:r>
    </w:p>
    <w:p>
      <w:pPr>
        <w:spacing w:before="240"/>
        <w:jc w:val="center"/>
      </w:pPr>
      <w:r>
        <w:rPr>
          <w:rFonts w:ascii="Calibri" w:hAnsi="Calibri"/>
          <w:color w:val="404040"/>
          <w:sz w:val="30"/>
        </w:rPr>
        <w:t>Published on 31 August, 2022</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AWSGuardDuty</w:t>
      </w:r>
    </w:p>
    <w:p>
      <w:pPr>
        <w:pStyle w:val="ListBullet2"/>
        <w:ind w:left="2551"/>
      </w:pPr>
      <w:r>
        <w:rPr>
          <w:rFonts w:ascii="Calibri" w:hAnsi="Calibri"/>
          <w:b/>
          <w:sz w:val="22"/>
        </w:rPr>
        <w:t>AWSGuardDuty</w:t>
      </w:r>
    </w:p>
    <w:p>
      <w:pPr>
        <w:pStyle w:val="ListBullet3"/>
        <w:ind w:left="3118"/>
      </w:pPr>
      <w:r>
        <w:rPr>
          <w:rFonts w:ascii="Calibri" w:hAnsi="Calibri"/>
          <w:b w:val="0"/>
          <w:sz w:val="22"/>
        </w:rPr>
        <w:t>Archive findings, Create Trusted IP List, Get Finding Details, Get Threat Intel Set, Get All Trusted IP Lists, List Findings for Detector, List Threat Intel Set, Update Findings Feedback, Update a Trusted IP List actions - Added a new "AWS Region" parameter. (TIPG-12656)</w:t>
      </w:r>
    </w:p>
    <w:p>
      <w:pPr>
        <w:pStyle w:val="ListBullet3"/>
        <w:ind w:left="3118"/>
      </w:pPr>
      <w:r>
        <w:rPr>
          <w:rFonts w:ascii="Calibri" w:hAnsi="Calibri"/>
          <w:b w:val="0"/>
          <w:sz w:val="22"/>
        </w:rPr>
        <w:t>AWS GuardDuty - Findings Connector - Added a new event field that will contain the detector id specified in the connector configuration page. If the admin account detector id specified in the connector configuration, this detector id can be used to query the findings from the managed organizations in actions like "Get Finding Details". (TIPG-11644)</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AlienVaultAnywhere</w:t>
      </w:r>
    </w:p>
    <w:p>
      <w:pPr>
        <w:pStyle w:val="ListBullet2"/>
        <w:ind w:left="2551"/>
      </w:pPr>
      <w:r>
        <w:rPr>
          <w:rFonts w:ascii="Calibri" w:hAnsi="Calibri"/>
          <w:b/>
          <w:sz w:val="22"/>
        </w:rPr>
        <w:t>AlienVault USM Anywhere Connector</w:t>
      </w:r>
    </w:p>
    <w:p>
      <w:pPr>
        <w:pStyle w:val="ListBullet3"/>
        <w:ind w:left="3118"/>
      </w:pPr>
      <w:r>
        <w:rPr>
          <w:rFonts w:ascii="Calibri" w:hAnsi="Calibri"/>
          <w:b w:val="0"/>
          <w:sz w:val="22"/>
        </w:rPr>
        <w:t>AlienVault USM Anywhere Connector - Updated connector to better support Siemplify's SAAS deployment. Important - Before updating, please make sure to read our white paper for stateless connectors here: https://integrations.siemplify.co/doc/stateless-connectors-white-paper. (TIPG-11371)</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AWSCloudTrail</w:t>
      </w:r>
    </w:p>
    <w:p>
      <w:pPr>
        <w:pStyle w:val="ListBullet2"/>
        <w:ind w:left="2551"/>
      </w:pPr>
      <w:r>
        <w:rPr>
          <w:rFonts w:ascii="Calibri" w:hAnsi="Calibri"/>
          <w:b/>
          <w:sz w:val="22"/>
        </w:rPr>
        <w:t>AWS Cloud Trail - InsightsConnector</w:t>
      </w:r>
    </w:p>
    <w:p>
      <w:pPr>
        <w:pStyle w:val="ListBullet3"/>
        <w:ind w:left="3118"/>
      </w:pPr>
      <w:r>
        <w:rPr>
          <w:rFonts w:ascii="Calibri" w:hAnsi="Calibri"/>
          <w:b w:val="0"/>
          <w:sz w:val="22"/>
        </w:rPr>
        <w:t>Insights Connector - Updated connector to better support Siemplify's SAAS deployment. Important - Before updating, please make sure to read our white paper for stateless connectors here: https://integrations.siemplify.co/doc/stateless-connectors-white-paper. (TIPG-11871)</w:t>
      </w:r>
    </w:p>
    <w:p>
      <w:pPr>
        <w:pStyle w:val="ListBullet"/>
        <w:ind w:left="1984"/>
      </w:pPr>
      <w:r>
        <w:rPr>
          <w:rFonts w:ascii="Calibri" w:hAnsi="Calibri"/>
          <w:b/>
          <w:sz w:val="24"/>
        </w:rPr>
        <w:t>AWSGuardDuty</w:t>
      </w:r>
    </w:p>
    <w:p>
      <w:pPr>
        <w:pStyle w:val="ListBullet2"/>
        <w:ind w:left="2551"/>
      </w:pPr>
      <w:r>
        <w:rPr>
          <w:rFonts w:ascii="Calibri" w:hAnsi="Calibri"/>
          <w:b/>
          <w:sz w:val="22"/>
        </w:rPr>
        <w:t>AWS Guard Duty - Findings Connector</w:t>
      </w:r>
    </w:p>
    <w:p>
      <w:pPr>
        <w:pStyle w:val="ListBullet3"/>
        <w:ind w:left="3118"/>
      </w:pPr>
      <w:r>
        <w:rPr>
          <w:rFonts w:ascii="Calibri" w:hAnsi="Calibri"/>
          <w:b w:val="0"/>
          <w:sz w:val="22"/>
        </w:rPr>
        <w:t>Findings Connector - Updated connector to better support Siemplify's SAAS deployment. Important - Before updating, please make sure to read our white paper for stateless connectors here: https://integrations.siemplify.co/doc/stateless-connectors-white-paper. (TIPG-11397)</w:t>
      </w:r>
    </w:p>
    <w:p>
      <w:pPr>
        <w:pStyle w:val="ListBullet"/>
        <w:ind w:left="1984"/>
      </w:pPr>
      <w:r>
        <w:rPr>
          <w:rFonts w:ascii="Calibri" w:hAnsi="Calibri"/>
          <w:b/>
          <w:sz w:val="24"/>
        </w:rPr>
        <w:t>AWSIAMAccessAnalyzer</w:t>
      </w:r>
    </w:p>
    <w:p>
      <w:pPr>
        <w:pStyle w:val="ListBullet2"/>
        <w:ind w:left="2551"/>
      </w:pPr>
      <w:r>
        <w:rPr>
          <w:rFonts w:ascii="Calibri" w:hAnsi="Calibri"/>
          <w:b/>
          <w:sz w:val="22"/>
        </w:rPr>
        <w:t>AWS IAM - Findings Connector</w:t>
      </w:r>
    </w:p>
    <w:p>
      <w:pPr>
        <w:pStyle w:val="ListBullet3"/>
        <w:ind w:left="3118"/>
      </w:pPr>
      <w:r>
        <w:rPr>
          <w:rFonts w:ascii="Calibri" w:hAnsi="Calibri"/>
          <w:b w:val="0"/>
          <w:sz w:val="22"/>
        </w:rPr>
        <w:t>Findings Connector - Updated connector to better support Siemplify's SAAS deployment. Important - Before updating, please make sure to read our white paper for stateless connectors here: https://integrations.siemplify.co/doc/stateless-connectors-white-paper. (TIPG-12040)</w:t>
      </w:r>
    </w:p>
    <w:p>
      <w:pPr>
        <w:pStyle w:val="ListBullet"/>
        <w:ind w:left="1984"/>
      </w:pPr>
      <w:r>
        <w:rPr>
          <w:rFonts w:ascii="Calibri" w:hAnsi="Calibri"/>
          <w:b/>
          <w:sz w:val="24"/>
        </w:rPr>
        <w:t>AmazonMacie</w:t>
      </w:r>
    </w:p>
    <w:p>
      <w:pPr>
        <w:pStyle w:val="ListBullet2"/>
        <w:ind w:left="2551"/>
      </w:pPr>
      <w:r>
        <w:rPr>
          <w:rFonts w:ascii="Calibri" w:hAnsi="Calibri"/>
          <w:b/>
          <w:sz w:val="22"/>
        </w:rPr>
        <w:t>Amazon Macie - Findings Connector</w:t>
      </w:r>
    </w:p>
    <w:p>
      <w:pPr>
        <w:pStyle w:val="ListBullet3"/>
        <w:ind w:left="3118"/>
      </w:pPr>
      <w:r>
        <w:rPr>
          <w:rFonts w:ascii="Calibri" w:hAnsi="Calibri"/>
          <w:b w:val="0"/>
          <w:sz w:val="22"/>
        </w:rPr>
        <w:t>Findings Connector - Updated connector to better support Siemplify's SAAS deployment. Important - Before updating, please make sure to read our white paper for stateless connectors here: https://integrations.siemplify.co/doc/stateless-connectors-white-paper. (TIPG-12048)</w:t>
      </w:r>
    </w:p>
    <w:p>
      <w:pPr>
        <w:pStyle w:val="ListBullet"/>
        <w:ind w:left="1984"/>
      </w:pPr>
      <w:r>
        <w:rPr>
          <w:rFonts w:ascii="Calibri" w:hAnsi="Calibri"/>
          <w:b/>
          <w:sz w:val="24"/>
        </w:rPr>
        <w:t>Devo</w:t>
      </w:r>
    </w:p>
    <w:p>
      <w:pPr>
        <w:pStyle w:val="ListBullet2"/>
        <w:ind w:left="2551"/>
      </w:pPr>
      <w:r>
        <w:rPr>
          <w:rFonts w:ascii="Calibri" w:hAnsi="Calibri"/>
          <w:b/>
          <w:sz w:val="22"/>
        </w:rPr>
        <w:t>Devo Alerts Connector</w:t>
      </w:r>
    </w:p>
    <w:p>
      <w:pPr>
        <w:pStyle w:val="ListBullet3"/>
        <w:ind w:left="3118"/>
      </w:pPr>
      <w:r>
        <w:rPr>
          <w:rFonts w:ascii="Calibri" w:hAnsi="Calibri"/>
          <w:b w:val="0"/>
          <w:sz w:val="22"/>
        </w:rPr>
        <w:t>Devo Alerts Connector - Updated connector to better support Siemplify's SAAS deployment. Important - Before updating, please make sure to read our white paper for stateless connectors here: https://integrations.siemplify.co/doc/stateless-connectors-white-paper. (TIPG-11423)</w:t>
      </w:r>
    </w:p>
    <w:p>
      <w:pPr>
        <w:pStyle w:val="ListBullet"/>
        <w:ind w:left="1984"/>
      </w:pPr>
      <w:r>
        <w:rPr>
          <w:rFonts w:ascii="Calibri" w:hAnsi="Calibri"/>
          <w:b/>
          <w:sz w:val="24"/>
        </w:rPr>
        <w:t>FireEyeHX</w:t>
      </w:r>
    </w:p>
    <w:p>
      <w:pPr>
        <w:pStyle w:val="ListBullet2"/>
        <w:ind w:left="2551"/>
      </w:pPr>
      <w:r>
        <w:rPr>
          <w:rFonts w:ascii="Calibri" w:hAnsi="Calibri"/>
          <w:b/>
          <w:sz w:val="22"/>
        </w:rPr>
        <w:t>FireEye HX Alerts Connector</w:t>
      </w:r>
    </w:p>
    <w:p>
      <w:pPr>
        <w:pStyle w:val="ListBullet3"/>
        <w:ind w:left="3118"/>
      </w:pPr>
      <w:r>
        <w:rPr>
          <w:rFonts w:ascii="Calibri" w:hAnsi="Calibri"/>
          <w:b w:val="0"/>
          <w:sz w:val="22"/>
        </w:rPr>
        <w:t>Alerts Connector - Updated connector to better support Siemplify's SAAS deployment. Important - Before updating, please make sure to read our white paper for stateless connectors here: https://integrations.siemplify.co/doc/stateless-connectors-white-paper. (TIPG-11401)</w:t>
      </w:r>
    </w:p>
    <w:p>
      <w:pPr>
        <w:pStyle w:val="ListBullet"/>
        <w:ind w:left="1984"/>
      </w:pPr>
      <w:r>
        <w:rPr>
          <w:rFonts w:ascii="Calibri" w:hAnsi="Calibri"/>
          <w:b/>
          <w:sz w:val="24"/>
        </w:rPr>
        <w:t>Intsights</w:t>
      </w:r>
    </w:p>
    <w:p>
      <w:pPr>
        <w:pStyle w:val="ListBullet2"/>
        <w:ind w:left="2551"/>
      </w:pPr>
      <w:r>
        <w:rPr>
          <w:rFonts w:ascii="Calibri" w:hAnsi="Calibri"/>
          <w:b/>
          <w:sz w:val="22"/>
        </w:rPr>
        <w:t>IntsightsConnector</w:t>
      </w:r>
    </w:p>
    <w:p>
      <w:pPr>
        <w:pStyle w:val="ListBullet3"/>
        <w:ind w:left="3118"/>
      </w:pPr>
      <w:r>
        <w:rPr>
          <w:rFonts w:ascii="Calibri" w:hAnsi="Calibri"/>
          <w:b w:val="0"/>
          <w:sz w:val="22"/>
        </w:rPr>
        <w:t>Intsights Connector - Updated connector to better support Siemplify's SAAS deployment. Important - Before updating, please make sure to read our white paper for stateless connectors here: https://integrations.siemplify.co/doc/stateless-connectors-white-paper. (TIPG-11922)</w:t>
      </w:r>
    </w:p>
    <w:p>
      <w:pPr>
        <w:pStyle w:val="ListBullet"/>
        <w:ind w:left="1984"/>
      </w:pPr>
      <w:r>
        <w:rPr>
          <w:rFonts w:ascii="Calibri" w:hAnsi="Calibri"/>
          <w:b/>
          <w:sz w:val="24"/>
        </w:rPr>
        <w:t>Sophos</w:t>
      </w:r>
    </w:p>
    <w:p>
      <w:pPr>
        <w:pStyle w:val="ListBullet2"/>
        <w:ind w:left="2551"/>
      </w:pPr>
      <w:r>
        <w:rPr>
          <w:rFonts w:ascii="Calibri" w:hAnsi="Calibri"/>
          <w:b/>
          <w:sz w:val="22"/>
        </w:rPr>
        <w:t>Sophos Central - Alerts Connector</w:t>
      </w:r>
    </w:p>
    <w:p>
      <w:pPr>
        <w:pStyle w:val="ListBullet3"/>
        <w:ind w:left="3118"/>
      </w:pPr>
      <w:r>
        <w:rPr>
          <w:rFonts w:ascii="Calibri" w:hAnsi="Calibri"/>
          <w:b w:val="0"/>
          <w:sz w:val="22"/>
        </w:rPr>
        <w:t>Alerts Connector - Updated connector to better support Siemplify's SAAS deployment. Important - Before updating, please make sure to read our white paper for stateless connectors here: https://integrations.siemplify.co/doc/stateless-connectors-white-paper. (TIPG-11408)</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2022</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2022</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