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Comprendre les analyses du projet Lichess</w:t>
      </w:r>
    </w:p>
    <w:p>
      <w:r>
        <w:t>Guide du notebook et des fonctions essentielles</w:t>
        <w:br/>
        <w:t>Version du 30 octobre 2026</w:t>
      </w:r>
    </w:p>
    <w:p>
      <w:pPr>
        <w:pStyle w:val="Heading2"/>
      </w:pPr>
      <w:r>
        <w:t>Ce que le projet cherche à établir</w:t>
      </w:r>
    </w:p>
    <w:p>
      <w:r>
        <w:t>Le projet étudie les associations entre le choix et la répétition des familles d’ouvertures, les résultats des parties et le contexte de jeu. Il distingue la couleur, la cadence et le niveau Elo. Il ne permet pas d’attribuer un effet causal à la répétition d’une ouverture.</w:t>
      </w:r>
    </w:p>
    <w:p>
      <w:r>
        <w:t>Le notebook Analyse_data.ipynb est le document de travail principal. Il présente maintenant les fonctions des tests dans ses cellules, les hypothèses, les tableaux observés et attendus et les limites d’interprétation. Les explications sont volontairement détaillées pour pouvoir être supprimées ou raccourcies avant un rendu.</w:t>
      </w:r>
    </w:p>
    <w:p>
      <w:pPr>
        <w:pStyle w:val="Heading2"/>
      </w:pPr>
      <w:r>
        <w:t>Par où commencer</w:t>
      </w:r>
    </w:p>
    <w:p>
      <w:r>
        <w:t>Ouvrir le notebook depuis le dépôt puis choisir le lien Colab. GitHub affiche le contenu ; Colab fournit l’environnement d’exécution. Exécuter la cellule d’installation, choisir les pseudos et la taille de collecte, puis lancer les cellules dans l’ordre. Les premières collectes doivent rester petites pour vérifier la chaîne ; les tests statistiques exigent ensuite des effectifs plus importants.</w:t>
      </w:r>
    </w:p>
    <w:p>
      <w:r>
        <w:t>Lien direct : https://colab.research.google.com/github/Hadrienfonrojet/ANALYSE-MARCHE-/blob/main/Analyse_data.ipynb</w:t>
      </w:r>
    </w:p>
    <w:p>
      <w:pPr>
        <w:pStyle w:val="Heading2"/>
      </w:pPr>
      <w:r>
        <w:t>Où se trouvent les calculs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9D9D9"/>
              <w:left w:val="single" w:sz="4" w:color="D9D9D9"/>
              <w:bottom w:val="single" w:sz="4" w:color="D9D9D9"/>
              <w:right w:val="single" w:sz="4" w:color="D9D9D9"/>
            </w:tcBorders>
            <w:shd w:fill="E8EDF2"/>
          </w:tcPr>
          <w:p>
            <w:pPr>
              <w:spacing w:after="100" w:before="100"/>
            </w:pPr>
            <w:r>
              <w:rPr>
                <w:b/>
                <w:sz w:val="20"/>
              </w:rPr>
              <w:t>Élément</w:t>
            </w:r>
          </w:p>
        </w:tc>
        <w:tc>
          <w:tcPr>
            <w:tcW w:type="dxa" w:w="6803"/>
            <w:tcBorders>
              <w:top w:val="single" w:sz="4" w:color="D9D9D9"/>
              <w:left w:val="single" w:sz="4" w:color="D9D9D9"/>
              <w:bottom w:val="single" w:sz="4" w:color="D9D9D9"/>
              <w:right w:val="single" w:sz="4" w:color="D9D9D9"/>
            </w:tcBorders>
            <w:shd w:fill="E8EDF2"/>
          </w:tcPr>
          <w:p>
            <w:pPr>
              <w:spacing w:after="100" w:before="100"/>
            </w:pPr>
            <w:r>
              <w:rPr>
                <w:b/>
                <w:sz w:val="20"/>
              </w:rPr>
              <w:t>Emplacement</w:t>
            </w:r>
          </w:p>
        </w:tc>
      </w:tr>
      <w:tr>
        <w:tc>
          <w:tcPr>
            <w:tcW w:type="dxa" w:w="2835"/>
            <w:tcBorders>
              <w:top w:val="single" w:sz="4" w:color="D9D9D9"/>
              <w:left w:val="single" w:sz="4" w:color="D9D9D9"/>
              <w:bottom w:val="single" w:sz="4" w:color="D9D9D9"/>
              <w:right w:val="single" w:sz="4" w:color="D9D9D9"/>
            </w:tcBorders>
          </w:tcPr>
          <w:p>
            <w:pPr>
              <w:spacing w:after="100" w:before="100"/>
            </w:pPr>
            <w:r>
              <w:rPr>
                <w:b w:val="0"/>
                <w:sz w:val="20"/>
              </w:rPr>
              <w:t>Code du χ² et des transitions</w:t>
            </w:r>
          </w:p>
        </w:tc>
        <w:tc>
          <w:tcPr>
            <w:tcW w:type="dxa" w:w="6803"/>
            <w:tcBorders>
              <w:top w:val="single" w:sz="4" w:color="D9D9D9"/>
              <w:left w:val="single" w:sz="4" w:color="D9D9D9"/>
              <w:bottom w:val="single" w:sz="4" w:color="D9D9D9"/>
              <w:right w:val="single" w:sz="4" w:color="D9D9D9"/>
            </w:tcBorders>
          </w:tcPr>
          <w:p>
            <w:pPr>
              <w:spacing w:after="100" w:before="100"/>
            </w:pPr>
            <w:r>
              <w:rPr>
                <w:b w:val="0"/>
                <w:sz w:val="20"/>
              </w:rPr>
              <w:t>analyses/Tests_repetition.py et cellules du notebook</w:t>
            </w:r>
          </w:p>
        </w:tc>
      </w:tr>
      <w:tr>
        <w:tc>
          <w:tcPr>
            <w:tcW w:type="dxa" w:w="2835"/>
            <w:tcBorders>
              <w:top w:val="single" w:sz="4" w:color="D9D9D9"/>
              <w:left w:val="single" w:sz="4" w:color="D9D9D9"/>
              <w:bottom w:val="single" w:sz="4" w:color="D9D9D9"/>
              <w:right w:val="single" w:sz="4" w:color="D9D9D9"/>
            </w:tcBorders>
          </w:tcPr>
          <w:p>
            <w:pPr>
              <w:spacing w:after="100" w:before="100"/>
            </w:pPr>
            <w:r>
              <w:rPr>
                <w:b w:val="0"/>
                <w:sz w:val="20"/>
              </w:rPr>
              <w:t>Analyses générales</w:t>
            </w:r>
          </w:p>
        </w:tc>
        <w:tc>
          <w:tcPr>
            <w:tcW w:type="dxa" w:w="6803"/>
            <w:tcBorders>
              <w:top w:val="single" w:sz="4" w:color="D9D9D9"/>
              <w:left w:val="single" w:sz="4" w:color="D9D9D9"/>
              <w:bottom w:val="single" w:sz="4" w:color="D9D9D9"/>
              <w:right w:val="single" w:sz="4" w:color="D9D9D9"/>
            </w:tcBorders>
          </w:tcPr>
          <w:p>
            <w:pPr>
              <w:spacing w:after="100" w:before="100"/>
            </w:pPr>
            <w:r>
              <w:rPr>
                <w:b w:val="0"/>
                <w:sz w:val="20"/>
              </w:rPr>
              <w:t>analyses/Analyse_ouvertures.py</w:t>
            </w:r>
          </w:p>
        </w:tc>
      </w:tr>
      <w:tr>
        <w:tc>
          <w:tcPr>
            <w:tcW w:type="dxa" w:w="2835"/>
            <w:tcBorders>
              <w:top w:val="single" w:sz="4" w:color="D9D9D9"/>
              <w:left w:val="single" w:sz="4" w:color="D9D9D9"/>
              <w:bottom w:val="single" w:sz="4" w:color="D9D9D9"/>
              <w:right w:val="single" w:sz="4" w:color="D9D9D9"/>
            </w:tcBorders>
          </w:tcPr>
          <w:p>
            <w:pPr>
              <w:spacing w:after="100" w:before="100"/>
            </w:pPr>
            <w:r>
              <w:rPr>
                <w:b w:val="0"/>
                <w:sz w:val="20"/>
              </w:rPr>
              <w:t>Construction du panel</w:t>
            </w:r>
          </w:p>
        </w:tc>
        <w:tc>
          <w:tcPr>
            <w:tcW w:type="dxa" w:w="6803"/>
            <w:tcBorders>
              <w:top w:val="single" w:sz="4" w:color="D9D9D9"/>
              <w:left w:val="single" w:sz="4" w:color="D9D9D9"/>
              <w:bottom w:val="single" w:sz="4" w:color="D9D9D9"/>
              <w:right w:val="single" w:sz="4" w:color="D9D9D9"/>
            </w:tcBorders>
          </w:tcPr>
          <w:p>
            <w:pPr>
              <w:spacing w:after="100" w:before="100"/>
            </w:pPr>
            <w:r>
              <w:rPr>
                <w:b w:val="0"/>
                <w:sz w:val="20"/>
              </w:rPr>
              <w:t>Nettoyage_donnees.py — prepare</w:t>
            </w:r>
          </w:p>
        </w:tc>
      </w:tr>
      <w:tr>
        <w:tc>
          <w:tcPr>
            <w:tcW w:type="dxa" w:w="2835"/>
            <w:tcBorders>
              <w:top w:val="single" w:sz="4" w:color="D9D9D9"/>
              <w:left w:val="single" w:sz="4" w:color="D9D9D9"/>
              <w:bottom w:val="single" w:sz="4" w:color="D9D9D9"/>
              <w:right w:val="single" w:sz="4" w:color="D9D9D9"/>
            </w:tcBorders>
          </w:tcPr>
          <w:p>
            <w:pPr>
              <w:spacing w:after="100" w:before="100"/>
            </w:pPr>
            <w:r>
              <w:rPr>
                <w:b w:val="0"/>
                <w:sz w:val="20"/>
              </w:rPr>
              <w:t>Vérifications du code</w:t>
            </w:r>
          </w:p>
        </w:tc>
        <w:tc>
          <w:tcPr>
            <w:tcW w:type="dxa" w:w="6803"/>
            <w:tcBorders>
              <w:top w:val="single" w:sz="4" w:color="D9D9D9"/>
              <w:left w:val="single" w:sz="4" w:color="D9D9D9"/>
              <w:bottom w:val="single" w:sz="4" w:color="D9D9D9"/>
              <w:right w:val="single" w:sz="4" w:color="D9D9D9"/>
            </w:tcBorders>
          </w:tcPr>
          <w:p>
            <w:pPr>
              <w:spacing w:after="100" w:before="100"/>
            </w:pPr>
            <w:r>
              <w:rPr>
                <w:b w:val="0"/>
                <w:sz w:val="20"/>
              </w:rPr>
              <w:t>tests/test_analyses.py</w:t>
            </w:r>
          </w:p>
        </w:tc>
      </w:tr>
      <w:tr>
        <w:tc>
          <w:tcPr>
            <w:tcW w:type="dxa" w:w="2835"/>
            <w:tcBorders>
              <w:top w:val="single" w:sz="4" w:color="D9D9D9"/>
              <w:left w:val="single" w:sz="4" w:color="D9D9D9"/>
              <w:bottom w:val="single" w:sz="4" w:color="D9D9D9"/>
              <w:right w:val="single" w:sz="4" w:color="D9D9D9"/>
            </w:tcBorders>
          </w:tcPr>
          <w:p>
            <w:pPr>
              <w:spacing w:after="100" w:before="100"/>
            </w:pPr>
            <w:r>
              <w:rPr>
                <w:b w:val="0"/>
                <w:sz w:val="20"/>
              </w:rPr>
              <w:t>Résultats statistiques</w:t>
            </w:r>
          </w:p>
        </w:tc>
        <w:tc>
          <w:tcPr>
            <w:tcW w:type="dxa" w:w="6803"/>
            <w:tcBorders>
              <w:top w:val="single" w:sz="4" w:color="D9D9D9"/>
              <w:left w:val="single" w:sz="4" w:color="D9D9D9"/>
              <w:bottom w:val="single" w:sz="4" w:color="D9D9D9"/>
              <w:right w:val="single" w:sz="4" w:color="D9D9D9"/>
            </w:tcBorders>
          </w:tcPr>
          <w:p>
            <w:pPr>
              <w:spacing w:after="100" w:before="100"/>
            </w:pPr>
            <w:r>
              <w:rPr>
                <w:b w:val="0"/>
                <w:sz w:val="20"/>
              </w:rPr>
              <w:t>Collectes/&lt;identifiant&gt;/Resultats/repetition/</w:t>
            </w:r>
          </w:p>
        </w:tc>
      </w:tr>
    </w:tbl>
    <w:p>
      <w:r>
        <w:t>Dans la version précédente, la section 7 appelait analyze(clean). Le calcul du χ² était dans chi_test puis analyze, dans Analyse_ouvertures.py. Il était donc exécuté mais peu visible dans le notebook. Le nouveau notebook expose les calculs essentiels directement.</w:t>
      </w:r>
    </w:p>
    <w:p>
      <w:r>
        <w:br w:type="page"/>
      </w:r>
    </w:p>
    <w:p>
      <w:pPr>
        <w:pStyle w:val="Heading1"/>
      </w:pPr>
      <w:r>
        <w:t>Définir correctement la répétition</w:t>
      </w:r>
    </w:p>
    <w:p>
      <w:r>
        <w:t>Une ligne représente le point de vue d’un joueur sur une partie. Deux joueurs collectés peuvent donner deux lignes pour le même game_id. Les données sont triées par joueur, horodatage et identifiant de partie avant de calculer les valeurs précédentes avec groupby et shift.</w:t>
      </w:r>
    </w:p>
    <w:tbl>
      <w:tblPr>
        <w:tblW w:type="auto" w:w="0"/>
        <w:tblLayout w:type="fixed"/>
        <w:tblLook w:firstColumn="1" w:firstRow="1" w:lastColumn="0" w:lastRow="0" w:noHBand="0" w:noVBand="1" w:val="04A0"/>
      </w:tblPr>
      <w:tblGrid>
        <w:gridCol w:w="2891"/>
        <w:gridCol w:w="6746"/>
      </w:tblGrid>
      <w:tr>
        <w:tc>
          <w:tcPr>
            <w:tcW w:type="dxa" w:w="2891"/>
            <w:tcBorders>
              <w:top w:val="single" w:sz="4" w:color="D9D9D9"/>
              <w:left w:val="single" w:sz="4" w:color="D9D9D9"/>
              <w:bottom w:val="single" w:sz="4" w:color="D9D9D9"/>
              <w:right w:val="single" w:sz="4" w:color="D9D9D9"/>
            </w:tcBorders>
            <w:shd w:fill="E8EDF2"/>
          </w:tcPr>
          <w:p>
            <w:pPr>
              <w:spacing w:after="100" w:before="100"/>
            </w:pPr>
            <w:r>
              <w:rPr>
                <w:b/>
                <w:sz w:val="20"/>
              </w:rPr>
              <w:t>Variable</w:t>
            </w:r>
          </w:p>
        </w:tc>
        <w:tc>
          <w:tcPr>
            <w:tcW w:type="dxa" w:w="6746"/>
            <w:tcBorders>
              <w:top w:val="single" w:sz="4" w:color="D9D9D9"/>
              <w:left w:val="single" w:sz="4" w:color="D9D9D9"/>
              <w:bottom w:val="single" w:sz="4" w:color="D9D9D9"/>
              <w:right w:val="single" w:sz="4" w:color="D9D9D9"/>
            </w:tcBorders>
            <w:shd w:fill="E8EDF2"/>
          </w:tcPr>
          <w:p>
            <w:pPr>
              <w:spacing w:after="100" w:before="100"/>
            </w:pPr>
            <w:r>
              <w:rPr>
                <w:b/>
                <w:sz w:val="20"/>
              </w:rPr>
              <w:t>Comparaison</w:t>
            </w:r>
          </w:p>
        </w:tc>
      </w:tr>
      <w:tr>
        <w:tc>
          <w:tcPr>
            <w:tcW w:type="dxa" w:w="2891"/>
            <w:tcBorders>
              <w:top w:val="single" w:sz="4" w:color="D9D9D9"/>
              <w:left w:val="single" w:sz="4" w:color="D9D9D9"/>
              <w:bottom w:val="single" w:sz="4" w:color="D9D9D9"/>
              <w:right w:val="single" w:sz="4" w:color="D9D9D9"/>
            </w:tcBorders>
          </w:tcPr>
          <w:p>
            <w:pPr>
              <w:spacing w:after="100" w:before="100"/>
            </w:pPr>
            <w:r>
              <w:rPr>
                <w:b w:val="0"/>
                <w:sz w:val="20"/>
              </w:rPr>
              <w:t>repeat_all</w:t>
            </w:r>
          </w:p>
        </w:tc>
        <w:tc>
          <w:tcPr>
            <w:tcW w:type="dxa" w:w="6746"/>
            <w:tcBorders>
              <w:top w:val="single" w:sz="4" w:color="D9D9D9"/>
              <w:left w:val="single" w:sz="4" w:color="D9D9D9"/>
              <w:bottom w:val="single" w:sz="4" w:color="D9D9D9"/>
              <w:right w:val="single" w:sz="4" w:color="D9D9D9"/>
            </w:tcBorders>
          </w:tcPr>
          <w:p>
            <w:pPr>
              <w:spacing w:after="100" w:before="100"/>
            </w:pPr>
            <w:r>
              <w:rPr>
                <w:b w:val="0"/>
                <w:sz w:val="20"/>
              </w:rPr>
              <w:t>Même famille que dans la partie observée immédiatement précédente, toutes couleurs confondues.</w:t>
            </w:r>
          </w:p>
        </w:tc>
      </w:tr>
      <w:tr>
        <w:tc>
          <w:tcPr>
            <w:tcW w:type="dxa" w:w="2891"/>
            <w:tcBorders>
              <w:top w:val="single" w:sz="4" w:color="D9D9D9"/>
              <w:left w:val="single" w:sz="4" w:color="D9D9D9"/>
              <w:bottom w:val="single" w:sz="4" w:color="D9D9D9"/>
              <w:right w:val="single" w:sz="4" w:color="D9D9D9"/>
            </w:tcBorders>
          </w:tcPr>
          <w:p>
            <w:pPr>
              <w:spacing w:after="100" w:before="100"/>
            </w:pPr>
            <w:r>
              <w:rPr>
                <w:b w:val="0"/>
                <w:sz w:val="20"/>
              </w:rPr>
              <w:t>repeat_same_color</w:t>
            </w:r>
          </w:p>
        </w:tc>
        <w:tc>
          <w:tcPr>
            <w:tcW w:type="dxa" w:w="6746"/>
            <w:tcBorders>
              <w:top w:val="single" w:sz="4" w:color="D9D9D9"/>
              <w:left w:val="single" w:sz="4" w:color="D9D9D9"/>
              <w:bottom w:val="single" w:sz="4" w:color="D9D9D9"/>
              <w:right w:val="single" w:sz="4" w:color="D9D9D9"/>
            </w:tcBorders>
          </w:tcPr>
          <w:p>
            <w:pPr>
              <w:spacing w:after="100" w:before="100"/>
            </w:pPr>
            <w:r>
              <w:rPr>
                <w:b w:val="0"/>
                <w:sz w:val="20"/>
              </w:rPr>
              <w:t>Même famille que dans la précédente partie observée avec la même couleur.</w:t>
            </w:r>
          </w:p>
        </w:tc>
      </w:tr>
      <w:tr>
        <w:tc>
          <w:tcPr>
            <w:tcW w:type="dxa" w:w="2891"/>
            <w:tcBorders>
              <w:top w:val="single" w:sz="4" w:color="D9D9D9"/>
              <w:left w:val="single" w:sz="4" w:color="D9D9D9"/>
              <w:bottom w:val="single" w:sz="4" w:color="D9D9D9"/>
              <w:right w:val="single" w:sz="4" w:color="D9D9D9"/>
            </w:tcBorders>
          </w:tcPr>
          <w:p>
            <w:pPr>
              <w:spacing w:after="100" w:before="100"/>
            </w:pPr>
            <w:r>
              <w:rPr>
                <w:b w:val="0"/>
                <w:sz w:val="20"/>
              </w:rPr>
              <w:t>same_color_consecutive</w:t>
            </w:r>
          </w:p>
        </w:tc>
        <w:tc>
          <w:tcPr>
            <w:tcW w:type="dxa" w:w="6746"/>
            <w:tcBorders>
              <w:top w:val="single" w:sz="4" w:color="D9D9D9"/>
              <w:left w:val="single" w:sz="4" w:color="D9D9D9"/>
              <w:bottom w:val="single" w:sz="4" w:color="D9D9D9"/>
              <w:right w:val="single" w:sz="4" w:color="D9D9D9"/>
            </w:tcBorders>
          </w:tcPr>
          <w:p>
            <w:pPr>
              <w:spacing w:after="100" w:before="100"/>
            </w:pPr>
            <w:r>
              <w:rPr>
                <w:b w:val="0"/>
                <w:sz w:val="20"/>
              </w:rPr>
              <w:t>Même couleur que dans la partie observée immédiatement précédente. Ce n’est pas une mesure d’ouverture.</w:t>
            </w:r>
          </w:p>
        </w:tc>
      </w:tr>
    </w:tbl>
    <w:p>
      <w:pPr>
        <w:pStyle w:val="Heading2"/>
      </w:pPr>
      <w:r>
        <w:t>Un exemple qui évite les confusions</w:t>
      </w:r>
    </w:p>
    <w:tbl>
      <w:tblPr>
        <w:tblW w:type="auto" w:w="0"/>
        <w:tblLayout w:type="fixed"/>
        <w:tblLook w:firstColumn="1" w:firstRow="1" w:lastColumn="0" w:lastRow="0" w:noHBand="0" w:noVBand="1" w:val="04A0"/>
      </w:tblPr>
      <w:tblGrid>
        <w:gridCol w:w="964"/>
        <w:gridCol w:w="1304"/>
        <w:gridCol w:w="1304"/>
        <w:gridCol w:w="2948"/>
        <w:gridCol w:w="3118"/>
      </w:tblGrid>
      <w:tr>
        <w:tc>
          <w:tcPr>
            <w:tcW w:type="dxa" w:w="964"/>
            <w:tcBorders>
              <w:top w:val="single" w:sz="4" w:color="D9D9D9"/>
              <w:left w:val="single" w:sz="4" w:color="D9D9D9"/>
              <w:bottom w:val="single" w:sz="4" w:color="D9D9D9"/>
              <w:right w:val="single" w:sz="4" w:color="D9D9D9"/>
            </w:tcBorders>
            <w:shd w:fill="E8EDF2"/>
          </w:tcPr>
          <w:p>
            <w:pPr>
              <w:spacing w:after="100" w:before="100"/>
            </w:pPr>
            <w:r>
              <w:rPr>
                <w:b/>
                <w:sz w:val="20"/>
              </w:rPr>
              <w:t>Partie</w:t>
            </w:r>
          </w:p>
        </w:tc>
        <w:tc>
          <w:tcPr>
            <w:tcW w:type="dxa" w:w="1304"/>
            <w:tcBorders>
              <w:top w:val="single" w:sz="4" w:color="D9D9D9"/>
              <w:left w:val="single" w:sz="4" w:color="D9D9D9"/>
              <w:bottom w:val="single" w:sz="4" w:color="D9D9D9"/>
              <w:right w:val="single" w:sz="4" w:color="D9D9D9"/>
            </w:tcBorders>
            <w:shd w:fill="E8EDF2"/>
          </w:tcPr>
          <w:p>
            <w:pPr>
              <w:spacing w:after="100" w:before="100"/>
            </w:pPr>
            <w:r>
              <w:rPr>
                <w:b/>
                <w:sz w:val="20"/>
              </w:rPr>
              <w:t>Couleur</w:t>
            </w:r>
          </w:p>
        </w:tc>
        <w:tc>
          <w:tcPr>
            <w:tcW w:type="dxa" w:w="1304"/>
            <w:tcBorders>
              <w:top w:val="single" w:sz="4" w:color="D9D9D9"/>
              <w:left w:val="single" w:sz="4" w:color="D9D9D9"/>
              <w:bottom w:val="single" w:sz="4" w:color="D9D9D9"/>
              <w:right w:val="single" w:sz="4" w:color="D9D9D9"/>
            </w:tcBorders>
            <w:shd w:fill="E8EDF2"/>
          </w:tcPr>
          <w:p>
            <w:pPr>
              <w:spacing w:after="100" w:before="100"/>
            </w:pPr>
            <w:r>
              <w:rPr>
                <w:b/>
                <w:sz w:val="20"/>
              </w:rPr>
              <w:t>Famille</w:t>
            </w:r>
          </w:p>
        </w:tc>
        <w:tc>
          <w:tcPr>
            <w:tcW w:type="dxa" w:w="2948"/>
            <w:tcBorders>
              <w:top w:val="single" w:sz="4" w:color="D9D9D9"/>
              <w:left w:val="single" w:sz="4" w:color="D9D9D9"/>
              <w:bottom w:val="single" w:sz="4" w:color="D9D9D9"/>
              <w:right w:val="single" w:sz="4" w:color="D9D9D9"/>
            </w:tcBorders>
            <w:shd w:fill="E8EDF2"/>
          </w:tcPr>
          <w:p>
            <w:pPr>
              <w:spacing w:after="100" w:before="100"/>
            </w:pPr>
            <w:r>
              <w:rPr>
                <w:b/>
                <w:sz w:val="20"/>
              </w:rPr>
              <w:t>Toutes couleurs</w:t>
            </w:r>
          </w:p>
        </w:tc>
        <w:tc>
          <w:tcPr>
            <w:tcW w:type="dxa" w:w="3118"/>
            <w:tcBorders>
              <w:top w:val="single" w:sz="4" w:color="D9D9D9"/>
              <w:left w:val="single" w:sz="4" w:color="D9D9D9"/>
              <w:bottom w:val="single" w:sz="4" w:color="D9D9D9"/>
              <w:right w:val="single" w:sz="4" w:color="D9D9D9"/>
            </w:tcBorders>
            <w:shd w:fill="E8EDF2"/>
          </w:tcPr>
          <w:p>
            <w:pPr>
              <w:spacing w:after="100" w:before="100"/>
            </w:pPr>
            <w:r>
              <w:rPr>
                <w:b/>
                <w:sz w:val="20"/>
              </w:rPr>
              <w:t>Même couleur</w:t>
            </w:r>
          </w:p>
        </w:tc>
      </w:tr>
      <w:tr>
        <w:tc>
          <w:tcPr>
            <w:tcW w:type="dxa" w:w="964"/>
            <w:tcBorders>
              <w:top w:val="single" w:sz="4" w:color="D9D9D9"/>
              <w:left w:val="single" w:sz="4" w:color="D9D9D9"/>
              <w:bottom w:val="single" w:sz="4" w:color="D9D9D9"/>
              <w:right w:val="single" w:sz="4" w:color="D9D9D9"/>
            </w:tcBorders>
          </w:tcPr>
          <w:p>
            <w:pPr>
              <w:spacing w:after="100" w:before="100"/>
            </w:pPr>
            <w:r>
              <w:rPr>
                <w:b w:val="0"/>
                <w:sz w:val="20"/>
              </w:rPr>
              <w:t>1</w:t>
            </w:r>
          </w:p>
        </w:tc>
        <w:tc>
          <w:tcPr>
            <w:tcW w:type="dxa" w:w="1304"/>
            <w:tcBorders>
              <w:top w:val="single" w:sz="4" w:color="D9D9D9"/>
              <w:left w:val="single" w:sz="4" w:color="D9D9D9"/>
              <w:bottom w:val="single" w:sz="4" w:color="D9D9D9"/>
              <w:right w:val="single" w:sz="4" w:color="D9D9D9"/>
            </w:tcBorders>
          </w:tcPr>
          <w:p>
            <w:pPr>
              <w:spacing w:after="100" w:before="100"/>
            </w:pPr>
            <w:r>
              <w:rPr>
                <w:b w:val="0"/>
                <w:sz w:val="20"/>
              </w:rPr>
              <w:t>Blanc</w:t>
            </w:r>
          </w:p>
        </w:tc>
        <w:tc>
          <w:tcPr>
            <w:tcW w:type="dxa" w:w="1304"/>
            <w:tcBorders>
              <w:top w:val="single" w:sz="4" w:color="D9D9D9"/>
              <w:left w:val="single" w:sz="4" w:color="D9D9D9"/>
              <w:bottom w:val="single" w:sz="4" w:color="D9D9D9"/>
              <w:right w:val="single" w:sz="4" w:color="D9D9D9"/>
            </w:tcBorders>
          </w:tcPr>
          <w:p>
            <w:pPr>
              <w:spacing w:after="100" w:before="100"/>
            </w:pPr>
            <w:r>
              <w:rPr>
                <w:b w:val="0"/>
                <w:sz w:val="20"/>
              </w:rPr>
              <w:t>A</w:t>
            </w:r>
          </w:p>
        </w:tc>
        <w:tc>
          <w:tcPr>
            <w:tcW w:type="dxa" w:w="2948"/>
            <w:tcBorders>
              <w:top w:val="single" w:sz="4" w:color="D9D9D9"/>
              <w:left w:val="single" w:sz="4" w:color="D9D9D9"/>
              <w:bottom w:val="single" w:sz="4" w:color="D9D9D9"/>
              <w:right w:val="single" w:sz="4" w:color="D9D9D9"/>
            </w:tcBorders>
          </w:tcPr>
          <w:p>
            <w:pPr>
              <w:spacing w:after="100" w:before="100"/>
            </w:pPr>
            <w:r>
              <w:rPr>
                <w:b w:val="0"/>
                <w:sz w:val="20"/>
              </w:rPr>
              <w:t>Manquant</w:t>
            </w:r>
          </w:p>
        </w:tc>
        <w:tc>
          <w:tcPr>
            <w:tcW w:type="dxa" w:w="3118"/>
            <w:tcBorders>
              <w:top w:val="single" w:sz="4" w:color="D9D9D9"/>
              <w:left w:val="single" w:sz="4" w:color="D9D9D9"/>
              <w:bottom w:val="single" w:sz="4" w:color="D9D9D9"/>
              <w:right w:val="single" w:sz="4" w:color="D9D9D9"/>
            </w:tcBorders>
          </w:tcPr>
          <w:p>
            <w:pPr>
              <w:spacing w:after="100" w:before="100"/>
            </w:pPr>
            <w:r>
              <w:rPr>
                <w:b w:val="0"/>
                <w:sz w:val="20"/>
              </w:rPr>
              <w:t>Manquant</w:t>
            </w:r>
          </w:p>
        </w:tc>
      </w:tr>
      <w:tr>
        <w:tc>
          <w:tcPr>
            <w:tcW w:type="dxa" w:w="964"/>
            <w:tcBorders>
              <w:top w:val="single" w:sz="4" w:color="D9D9D9"/>
              <w:left w:val="single" w:sz="4" w:color="D9D9D9"/>
              <w:bottom w:val="single" w:sz="4" w:color="D9D9D9"/>
              <w:right w:val="single" w:sz="4" w:color="D9D9D9"/>
            </w:tcBorders>
          </w:tcPr>
          <w:p>
            <w:pPr>
              <w:spacing w:after="100" w:before="100"/>
            </w:pPr>
            <w:r>
              <w:rPr>
                <w:b w:val="0"/>
                <w:sz w:val="20"/>
              </w:rPr>
              <w:t>2</w:t>
            </w:r>
          </w:p>
        </w:tc>
        <w:tc>
          <w:tcPr>
            <w:tcW w:type="dxa" w:w="1304"/>
            <w:tcBorders>
              <w:top w:val="single" w:sz="4" w:color="D9D9D9"/>
              <w:left w:val="single" w:sz="4" w:color="D9D9D9"/>
              <w:bottom w:val="single" w:sz="4" w:color="D9D9D9"/>
              <w:right w:val="single" w:sz="4" w:color="D9D9D9"/>
            </w:tcBorders>
          </w:tcPr>
          <w:p>
            <w:pPr>
              <w:spacing w:after="100" w:before="100"/>
            </w:pPr>
            <w:r>
              <w:rPr>
                <w:b w:val="0"/>
                <w:sz w:val="20"/>
              </w:rPr>
              <w:t>Noir</w:t>
            </w:r>
          </w:p>
        </w:tc>
        <w:tc>
          <w:tcPr>
            <w:tcW w:type="dxa" w:w="1304"/>
            <w:tcBorders>
              <w:top w:val="single" w:sz="4" w:color="D9D9D9"/>
              <w:left w:val="single" w:sz="4" w:color="D9D9D9"/>
              <w:bottom w:val="single" w:sz="4" w:color="D9D9D9"/>
              <w:right w:val="single" w:sz="4" w:color="D9D9D9"/>
            </w:tcBorders>
          </w:tcPr>
          <w:p>
            <w:pPr>
              <w:spacing w:after="100" w:before="100"/>
            </w:pPr>
            <w:r>
              <w:rPr>
                <w:b w:val="0"/>
                <w:sz w:val="20"/>
              </w:rPr>
              <w:t>B</w:t>
            </w:r>
          </w:p>
        </w:tc>
        <w:tc>
          <w:tcPr>
            <w:tcW w:type="dxa" w:w="2948"/>
            <w:tcBorders>
              <w:top w:val="single" w:sz="4" w:color="D9D9D9"/>
              <w:left w:val="single" w:sz="4" w:color="D9D9D9"/>
              <w:bottom w:val="single" w:sz="4" w:color="D9D9D9"/>
              <w:right w:val="single" w:sz="4" w:color="D9D9D9"/>
            </w:tcBorders>
          </w:tcPr>
          <w:p>
            <w:pPr>
              <w:spacing w:after="100" w:before="100"/>
            </w:pPr>
            <w:r>
              <w:rPr>
                <w:b w:val="0"/>
                <w:sz w:val="20"/>
              </w:rPr>
              <w:t>0</w:t>
            </w:r>
          </w:p>
        </w:tc>
        <w:tc>
          <w:tcPr>
            <w:tcW w:type="dxa" w:w="3118"/>
            <w:tcBorders>
              <w:top w:val="single" w:sz="4" w:color="D9D9D9"/>
              <w:left w:val="single" w:sz="4" w:color="D9D9D9"/>
              <w:bottom w:val="single" w:sz="4" w:color="D9D9D9"/>
              <w:right w:val="single" w:sz="4" w:color="D9D9D9"/>
            </w:tcBorders>
          </w:tcPr>
          <w:p>
            <w:pPr>
              <w:spacing w:after="100" w:before="100"/>
            </w:pPr>
            <w:r>
              <w:rPr>
                <w:b w:val="0"/>
                <w:sz w:val="20"/>
              </w:rPr>
              <w:t>Manquant</w:t>
            </w:r>
          </w:p>
        </w:tc>
      </w:tr>
      <w:tr>
        <w:tc>
          <w:tcPr>
            <w:tcW w:type="dxa" w:w="964"/>
            <w:tcBorders>
              <w:top w:val="single" w:sz="4" w:color="D9D9D9"/>
              <w:left w:val="single" w:sz="4" w:color="D9D9D9"/>
              <w:bottom w:val="single" w:sz="4" w:color="D9D9D9"/>
              <w:right w:val="single" w:sz="4" w:color="D9D9D9"/>
            </w:tcBorders>
          </w:tcPr>
          <w:p>
            <w:pPr>
              <w:spacing w:after="100" w:before="100"/>
            </w:pPr>
            <w:r>
              <w:rPr>
                <w:b w:val="0"/>
                <w:sz w:val="20"/>
              </w:rPr>
              <w:t>3</w:t>
            </w:r>
          </w:p>
        </w:tc>
        <w:tc>
          <w:tcPr>
            <w:tcW w:type="dxa" w:w="1304"/>
            <w:tcBorders>
              <w:top w:val="single" w:sz="4" w:color="D9D9D9"/>
              <w:left w:val="single" w:sz="4" w:color="D9D9D9"/>
              <w:bottom w:val="single" w:sz="4" w:color="D9D9D9"/>
              <w:right w:val="single" w:sz="4" w:color="D9D9D9"/>
            </w:tcBorders>
          </w:tcPr>
          <w:p>
            <w:pPr>
              <w:spacing w:after="100" w:before="100"/>
            </w:pPr>
            <w:r>
              <w:rPr>
                <w:b w:val="0"/>
                <w:sz w:val="20"/>
              </w:rPr>
              <w:t>Blanc</w:t>
            </w:r>
          </w:p>
        </w:tc>
        <w:tc>
          <w:tcPr>
            <w:tcW w:type="dxa" w:w="1304"/>
            <w:tcBorders>
              <w:top w:val="single" w:sz="4" w:color="D9D9D9"/>
              <w:left w:val="single" w:sz="4" w:color="D9D9D9"/>
              <w:bottom w:val="single" w:sz="4" w:color="D9D9D9"/>
              <w:right w:val="single" w:sz="4" w:color="D9D9D9"/>
            </w:tcBorders>
          </w:tcPr>
          <w:p>
            <w:pPr>
              <w:spacing w:after="100" w:before="100"/>
            </w:pPr>
            <w:r>
              <w:rPr>
                <w:b w:val="0"/>
                <w:sz w:val="20"/>
              </w:rPr>
              <w:t>A</w:t>
            </w:r>
          </w:p>
        </w:tc>
        <w:tc>
          <w:tcPr>
            <w:tcW w:type="dxa" w:w="2948"/>
            <w:tcBorders>
              <w:top w:val="single" w:sz="4" w:color="D9D9D9"/>
              <w:left w:val="single" w:sz="4" w:color="D9D9D9"/>
              <w:bottom w:val="single" w:sz="4" w:color="D9D9D9"/>
              <w:right w:val="single" w:sz="4" w:color="D9D9D9"/>
            </w:tcBorders>
          </w:tcPr>
          <w:p>
            <w:pPr>
              <w:spacing w:after="100" w:before="100"/>
            </w:pPr>
            <w:r>
              <w:rPr>
                <w:b w:val="0"/>
                <w:sz w:val="20"/>
              </w:rPr>
              <w:t>0</w:t>
            </w:r>
          </w:p>
        </w:tc>
        <w:tc>
          <w:tcPr>
            <w:tcW w:type="dxa" w:w="3118"/>
            <w:tcBorders>
              <w:top w:val="single" w:sz="4" w:color="D9D9D9"/>
              <w:left w:val="single" w:sz="4" w:color="D9D9D9"/>
              <w:bottom w:val="single" w:sz="4" w:color="D9D9D9"/>
              <w:right w:val="single" w:sz="4" w:color="D9D9D9"/>
            </w:tcBorders>
          </w:tcPr>
          <w:p>
            <w:pPr>
              <w:spacing w:after="100" w:before="100"/>
            </w:pPr>
            <w:r>
              <w:rPr>
                <w:b w:val="0"/>
                <w:sz w:val="20"/>
              </w:rPr>
              <w:t>1</w:t>
            </w:r>
          </w:p>
        </w:tc>
      </w:tr>
      <w:tr>
        <w:tc>
          <w:tcPr>
            <w:tcW w:type="dxa" w:w="964"/>
            <w:tcBorders>
              <w:top w:val="single" w:sz="4" w:color="D9D9D9"/>
              <w:left w:val="single" w:sz="4" w:color="D9D9D9"/>
              <w:bottom w:val="single" w:sz="4" w:color="D9D9D9"/>
              <w:right w:val="single" w:sz="4" w:color="D9D9D9"/>
            </w:tcBorders>
          </w:tcPr>
          <w:p>
            <w:pPr>
              <w:spacing w:after="100" w:before="100"/>
            </w:pPr>
            <w:r>
              <w:rPr>
                <w:b w:val="0"/>
                <w:sz w:val="20"/>
              </w:rPr>
              <w:t>4</w:t>
            </w:r>
          </w:p>
        </w:tc>
        <w:tc>
          <w:tcPr>
            <w:tcW w:type="dxa" w:w="1304"/>
            <w:tcBorders>
              <w:top w:val="single" w:sz="4" w:color="D9D9D9"/>
              <w:left w:val="single" w:sz="4" w:color="D9D9D9"/>
              <w:bottom w:val="single" w:sz="4" w:color="D9D9D9"/>
              <w:right w:val="single" w:sz="4" w:color="D9D9D9"/>
            </w:tcBorders>
          </w:tcPr>
          <w:p>
            <w:pPr>
              <w:spacing w:after="100" w:before="100"/>
            </w:pPr>
            <w:r>
              <w:rPr>
                <w:b w:val="0"/>
                <w:sz w:val="20"/>
              </w:rPr>
              <w:t>Blanc</w:t>
            </w:r>
          </w:p>
        </w:tc>
        <w:tc>
          <w:tcPr>
            <w:tcW w:type="dxa" w:w="1304"/>
            <w:tcBorders>
              <w:top w:val="single" w:sz="4" w:color="D9D9D9"/>
              <w:left w:val="single" w:sz="4" w:color="D9D9D9"/>
              <w:bottom w:val="single" w:sz="4" w:color="D9D9D9"/>
              <w:right w:val="single" w:sz="4" w:color="D9D9D9"/>
            </w:tcBorders>
          </w:tcPr>
          <w:p>
            <w:pPr>
              <w:spacing w:after="100" w:before="100"/>
            </w:pPr>
            <w:r>
              <w:rPr>
                <w:b w:val="0"/>
                <w:sz w:val="20"/>
              </w:rPr>
              <w:t>B</w:t>
            </w:r>
          </w:p>
        </w:tc>
        <w:tc>
          <w:tcPr>
            <w:tcW w:type="dxa" w:w="2948"/>
            <w:tcBorders>
              <w:top w:val="single" w:sz="4" w:color="D9D9D9"/>
              <w:left w:val="single" w:sz="4" w:color="D9D9D9"/>
              <w:bottom w:val="single" w:sz="4" w:color="D9D9D9"/>
              <w:right w:val="single" w:sz="4" w:color="D9D9D9"/>
            </w:tcBorders>
          </w:tcPr>
          <w:p>
            <w:pPr>
              <w:spacing w:after="100" w:before="100"/>
            </w:pPr>
            <w:r>
              <w:rPr>
                <w:b w:val="0"/>
                <w:sz w:val="20"/>
              </w:rPr>
              <w:t>0</w:t>
            </w:r>
          </w:p>
        </w:tc>
        <w:tc>
          <w:tcPr>
            <w:tcW w:type="dxa" w:w="3118"/>
            <w:tcBorders>
              <w:top w:val="single" w:sz="4" w:color="D9D9D9"/>
              <w:left w:val="single" w:sz="4" w:color="D9D9D9"/>
              <w:bottom w:val="single" w:sz="4" w:color="D9D9D9"/>
              <w:right w:val="single" w:sz="4" w:color="D9D9D9"/>
            </w:tcBorders>
          </w:tcPr>
          <w:p>
            <w:pPr>
              <w:spacing w:after="100" w:before="100"/>
            </w:pPr>
            <w:r>
              <w:rPr>
                <w:b w:val="0"/>
                <w:sz w:val="20"/>
              </w:rPr>
              <w:t>0</w:t>
            </w:r>
          </w:p>
        </w:tc>
      </w:tr>
    </w:tbl>
    <w:p>
      <w:r>
        <w:t>La troisième partie répète A parmi les parties jouées avec les blancs. Elle ne répète pas l’ouverture de la deuxième partie, qui était B. La quatrième partie répète la couleur de la troisième, mais change de famille d’ouverture.</w:t>
      </w:r>
    </w:p>
    <w:p>
      <w:pPr>
        <w:pStyle w:val="Heading2"/>
      </w:pPr>
      <w:r>
        <w:t>Quatre populations analysées</w:t>
      </w:r>
    </w:p>
    <w:p>
      <w:r>
        <w:t>Le code examine toutes les transitions, les transitions avec la précédente partie de même couleur, les parties consécutives observées de couleur identique et les parties consécutives observées de couleur différente. Ces populations se recouvrent et n’ont pas les mêmes dénominateurs ; leurs taux ne se comparent pas comme quatre échantillons indépendants.</w:t>
      </w:r>
    </w:p>
    <w:p>
      <w:pPr>
        <w:pStyle w:val="Heading2"/>
      </w:pPr>
      <w:r>
        <w:t>Cas sans information</w:t>
      </w:r>
    </w:p>
    <w:p>
      <w:r>
        <w:t>La première partie d’un joueur n’a pas de précédent. La première partie d’une couleur n’a pas de précédent de même couleur. Si la famille actuelle ou précédente est inconnue, la répétition est manquante. Ces cas ne sont pas codés comme des changements et sont exclus uniquement des analyses qui nécessitent cette transition.</w:t>
      </w:r>
    </w:p>
    <w:p>
      <w:r>
        <w:t>La précédente partie est la précédente dans la fenêtre collectée. Les requêtes limitées par nombre de parties et par cadence peuvent laisser des parties intermédiaires non observées. Le nom de famille vient de Lichess et résume les choix des deux joueurs.</w:t>
      </w:r>
    </w:p>
    <w:p>
      <w:r>
        <w:br w:type="page"/>
      </w:r>
    </w:p>
    <w:p>
      <w:pPr>
        <w:pStyle w:val="Heading1"/>
      </w:pPr>
      <w:r>
        <w:t>Comprendre le code du test du chi carré</w:t>
      </w:r>
    </w:p>
    <w:p>
      <w:pPr>
        <w:pStyle w:val="Heading2"/>
      </w:pPr>
      <w:r>
        <w:t>Hypothèses et tableau de contingence</w:t>
      </w:r>
    </w:p>
    <w:p>
      <w:r>
        <w:t>Pour deux variables catégorielles A et B, H0 pose leur indépendance ; H1 pose une association. pandas.crosstab compte les observations de chaque combinaison. Les valeurs manquantes et les catégories sans observation sont retirées avant le calcul.</w:t>
      </w:r>
    </w:p>
    <w:p>
      <w:pPr>
        <w:spacing w:after="180"/>
      </w:pPr>
      <w:r>
        <w:rPr>
          <w:rFonts w:ascii="Consolas" w:hAnsi="Consolas"/>
          <w:sz w:val="18"/>
        </w:rPr>
        <w:t>observed = pd.crosstab(frame[a], frame[b])</w:t>
      </w:r>
      <w:r>
        <w:rPr>
          <w:rFonts w:ascii="Consolas" w:hAnsi="Consolas"/>
          <w:sz w:val="18"/>
        </w:rPr>
        <w:br/>
        <w:t>chi2, p, ddl, expected = chi2_contingency(</w:t>
      </w:r>
      <w:r>
        <w:rPr>
          <w:rFonts w:ascii="Consolas" w:hAnsi="Consolas"/>
          <w:sz w:val="18"/>
        </w:rPr>
        <w:br/>
        <w:t xml:space="preserve">    observed, correction=False</w:t>
      </w:r>
      <w:r>
        <w:rPr>
          <w:rFonts w:ascii="Consolas" w:hAnsi="Consolas"/>
          <w:sz w:val="18"/>
        </w:rPr>
        <w:br/>
        <w:t>)</w:t>
      </w:r>
    </w:p>
    <w:p>
      <w:r>
        <w:t>Le calcul de référence est dans chi2_details. Il renvoie quatre objets : un dictionnaire de diagnostics, le tableau observé, le tableau attendu et les résidus de Pearson. La correction de Yates est désactivée pour correspondre exactement au χ² de Pearson expliqué ici.</w:t>
      </w:r>
    </w:p>
    <w:p>
      <w:pPr>
        <w:pStyle w:val="Heading2"/>
      </w:pPr>
      <w:r>
        <w:t>Formules utiles</w:t>
      </w:r>
    </w:p>
    <w:p>
      <w:r>
        <w:t>Pour la case i,j, Eij = total de la ligne i × total de la colonne j / n. La statistique est χ² = somme de (Oij − Eij)² / Eij. Les degrés de liberté sont (nombre de lignes − 1) × (nombre de colonnes − 1). Un écart important entre observations et attentes augmente la statistique.</w:t>
      </w:r>
    </w:p>
    <w:p>
      <w:r>
        <w:t>Le V de Cramér vaut racine de χ² / [n × min(nombre de lignes − 1, nombre de colonnes − 1)]. Il mesure une intensité d’association sans direction. Il faut le lire avec les proportions du tableau et le contexte plutôt qu’avec un seuil universel.</w:t>
      </w:r>
    </w:p>
    <w:p>
      <w:pPr>
        <w:pStyle w:val="Heading2"/>
      </w:pPr>
      <w:r>
        <w:t>Diagnostics retournés</w:t>
      </w:r>
    </w:p>
    <w:tbl>
      <w:tblPr>
        <w:tblW w:type="auto" w:w="0"/>
        <w:tblLayout w:type="fixed"/>
        <w:tblLook w:firstColumn="1" w:firstRow="1" w:lastColumn="0" w:lastRow="0" w:noHBand="0" w:noVBand="1" w:val="04A0"/>
      </w:tblPr>
      <w:tblGrid>
        <w:gridCol w:w="2324"/>
        <w:gridCol w:w="7313"/>
      </w:tblGrid>
      <w:tr>
        <w:tc>
          <w:tcPr>
            <w:tcW w:type="dxa" w:w="2324"/>
            <w:tcBorders>
              <w:top w:val="single" w:sz="4" w:color="D9D9D9"/>
              <w:left w:val="single" w:sz="4" w:color="D9D9D9"/>
              <w:bottom w:val="single" w:sz="4" w:color="D9D9D9"/>
              <w:right w:val="single" w:sz="4" w:color="D9D9D9"/>
            </w:tcBorders>
            <w:shd w:fill="E8EDF2"/>
          </w:tcPr>
          <w:p>
            <w:pPr>
              <w:spacing w:after="100" w:before="100"/>
            </w:pPr>
            <w:r>
              <w:rPr>
                <w:b/>
                <w:sz w:val="20"/>
              </w:rPr>
              <w:t>Champ</w:t>
            </w:r>
          </w:p>
        </w:tc>
        <w:tc>
          <w:tcPr>
            <w:tcW w:type="dxa" w:w="7313"/>
            <w:tcBorders>
              <w:top w:val="single" w:sz="4" w:color="D9D9D9"/>
              <w:left w:val="single" w:sz="4" w:color="D9D9D9"/>
              <w:bottom w:val="single" w:sz="4" w:color="D9D9D9"/>
              <w:right w:val="single" w:sz="4" w:color="D9D9D9"/>
            </w:tcBorders>
            <w:shd w:fill="E8EDF2"/>
          </w:tcPr>
          <w:p>
            <w:pPr>
              <w:spacing w:after="100" w:before="100"/>
            </w:pPr>
            <w:r>
              <w:rPr>
                <w:b/>
                <w:sz w:val="20"/>
              </w:rPr>
              <w:t>Lecture</w:t>
            </w:r>
          </w:p>
        </w:tc>
      </w:tr>
      <w:tr>
        <w:tc>
          <w:tcPr>
            <w:tcW w:type="dxa" w:w="2324"/>
            <w:tcBorders>
              <w:top w:val="single" w:sz="4" w:color="D9D9D9"/>
              <w:left w:val="single" w:sz="4" w:color="D9D9D9"/>
              <w:bottom w:val="single" w:sz="4" w:color="D9D9D9"/>
              <w:right w:val="single" w:sz="4" w:color="D9D9D9"/>
            </w:tcBorders>
          </w:tcPr>
          <w:p>
            <w:pPr>
              <w:spacing w:after="100" w:before="100"/>
            </w:pPr>
            <w:r>
              <w:rPr>
                <w:b w:val="0"/>
                <w:sz w:val="20"/>
              </w:rPr>
              <w:t>n</w:t>
            </w:r>
          </w:p>
        </w:tc>
        <w:tc>
          <w:tcPr>
            <w:tcW w:type="dxa" w:w="7313"/>
            <w:tcBorders>
              <w:top w:val="single" w:sz="4" w:color="D9D9D9"/>
              <w:left w:val="single" w:sz="4" w:color="D9D9D9"/>
              <w:bottom w:val="single" w:sz="4" w:color="D9D9D9"/>
              <w:right w:val="single" w:sz="4" w:color="D9D9D9"/>
            </w:tcBorders>
          </w:tcPr>
          <w:p>
            <w:pPr>
              <w:spacing w:after="100" w:before="100"/>
            </w:pPr>
            <w:r>
              <w:rPr>
                <w:b w:val="0"/>
                <w:sz w:val="20"/>
              </w:rPr>
              <w:t>Nombre de lignes complètes contribuant au tableau.</w:t>
            </w:r>
          </w:p>
        </w:tc>
      </w:tr>
      <w:tr>
        <w:tc>
          <w:tcPr>
            <w:tcW w:type="dxa" w:w="2324"/>
            <w:tcBorders>
              <w:top w:val="single" w:sz="4" w:color="D9D9D9"/>
              <w:left w:val="single" w:sz="4" w:color="D9D9D9"/>
              <w:bottom w:val="single" w:sz="4" w:color="D9D9D9"/>
              <w:right w:val="single" w:sz="4" w:color="D9D9D9"/>
            </w:tcBorders>
          </w:tcPr>
          <w:p>
            <w:pPr>
              <w:spacing w:after="100" w:before="100"/>
            </w:pPr>
            <w:r>
              <w:rPr>
                <w:b w:val="0"/>
                <w:sz w:val="20"/>
              </w:rPr>
              <w:t>p et ddl</w:t>
            </w:r>
          </w:p>
        </w:tc>
        <w:tc>
          <w:tcPr>
            <w:tcW w:type="dxa" w:w="7313"/>
            <w:tcBorders>
              <w:top w:val="single" w:sz="4" w:color="D9D9D9"/>
              <w:left w:val="single" w:sz="4" w:color="D9D9D9"/>
              <w:bottom w:val="single" w:sz="4" w:color="D9D9D9"/>
              <w:right w:val="single" w:sz="4" w:color="D9D9D9"/>
            </w:tcBorders>
          </w:tcPr>
          <w:p>
            <w:pPr>
              <w:spacing w:after="100" w:before="100"/>
            </w:pPr>
            <w:r>
              <w:rPr>
                <w:b w:val="0"/>
                <w:sz w:val="20"/>
              </w:rPr>
              <w:t>Valeur p asymptotique et degrés de liberté.</w:t>
            </w:r>
          </w:p>
        </w:tc>
      </w:tr>
      <w:tr>
        <w:tc>
          <w:tcPr>
            <w:tcW w:type="dxa" w:w="2324"/>
            <w:tcBorders>
              <w:top w:val="single" w:sz="4" w:color="D9D9D9"/>
              <w:left w:val="single" w:sz="4" w:color="D9D9D9"/>
              <w:bottom w:val="single" w:sz="4" w:color="D9D9D9"/>
              <w:right w:val="single" w:sz="4" w:color="D9D9D9"/>
            </w:tcBorders>
          </w:tcPr>
          <w:p>
            <w:pPr>
              <w:spacing w:after="100" w:before="100"/>
            </w:pPr>
            <w:r>
              <w:rPr>
                <w:b w:val="0"/>
                <w:sz w:val="20"/>
              </w:rPr>
              <w:t>cramer_v</w:t>
            </w:r>
          </w:p>
        </w:tc>
        <w:tc>
          <w:tcPr>
            <w:tcW w:type="dxa" w:w="7313"/>
            <w:tcBorders>
              <w:top w:val="single" w:sz="4" w:color="D9D9D9"/>
              <w:left w:val="single" w:sz="4" w:color="D9D9D9"/>
              <w:bottom w:val="single" w:sz="4" w:color="D9D9D9"/>
              <w:right w:val="single" w:sz="4" w:color="D9D9D9"/>
            </w:tcBorders>
          </w:tcPr>
          <w:p>
            <w:pPr>
              <w:spacing w:after="100" w:before="100"/>
            </w:pPr>
            <w:r>
              <w:rPr>
                <w:b w:val="0"/>
                <w:sz w:val="20"/>
              </w:rPr>
              <w:t>Taille descriptive de l’association.</w:t>
            </w:r>
          </w:p>
        </w:tc>
      </w:tr>
      <w:tr>
        <w:tc>
          <w:tcPr>
            <w:tcW w:type="dxa" w:w="2324"/>
            <w:tcBorders>
              <w:top w:val="single" w:sz="4" w:color="D9D9D9"/>
              <w:left w:val="single" w:sz="4" w:color="D9D9D9"/>
              <w:bottom w:val="single" w:sz="4" w:color="D9D9D9"/>
              <w:right w:val="single" w:sz="4" w:color="D9D9D9"/>
            </w:tcBorders>
          </w:tcPr>
          <w:p>
            <w:pPr>
              <w:spacing w:after="100" w:before="100"/>
            </w:pPr>
            <w:r>
              <w:rPr>
                <w:b w:val="0"/>
                <w:sz w:val="20"/>
              </w:rPr>
              <w:t>min_expected</w:t>
            </w:r>
          </w:p>
        </w:tc>
        <w:tc>
          <w:tcPr>
            <w:tcW w:type="dxa" w:w="7313"/>
            <w:tcBorders>
              <w:top w:val="single" w:sz="4" w:color="D9D9D9"/>
              <w:left w:val="single" w:sz="4" w:color="D9D9D9"/>
              <w:bottom w:val="single" w:sz="4" w:color="D9D9D9"/>
              <w:right w:val="single" w:sz="4" w:color="D9D9D9"/>
            </w:tcBorders>
          </w:tcPr>
          <w:p>
            <w:pPr>
              <w:spacing w:after="100" w:before="100"/>
            </w:pPr>
            <w:r>
              <w:rPr>
                <w:b w:val="0"/>
                <w:sz w:val="20"/>
              </w:rPr>
              <w:t>Plus petit effectif attendu sous H0.</w:t>
            </w:r>
          </w:p>
        </w:tc>
      </w:tr>
      <w:tr>
        <w:tc>
          <w:tcPr>
            <w:tcW w:type="dxa" w:w="2324"/>
            <w:tcBorders>
              <w:top w:val="single" w:sz="4" w:color="D9D9D9"/>
              <w:left w:val="single" w:sz="4" w:color="D9D9D9"/>
              <w:bottom w:val="single" w:sz="4" w:color="D9D9D9"/>
              <w:right w:val="single" w:sz="4" w:color="D9D9D9"/>
            </w:tcBorders>
          </w:tcPr>
          <w:p>
            <w:pPr>
              <w:spacing w:after="100" w:before="100"/>
            </w:pPr>
            <w:r>
              <w:rPr>
                <w:b w:val="0"/>
                <w:sz w:val="20"/>
              </w:rPr>
              <w:t>valid</w:t>
            </w:r>
          </w:p>
        </w:tc>
        <w:tc>
          <w:tcPr>
            <w:tcW w:type="dxa" w:w="7313"/>
            <w:tcBorders>
              <w:top w:val="single" w:sz="4" w:color="D9D9D9"/>
              <w:left w:val="single" w:sz="4" w:color="D9D9D9"/>
              <w:bottom w:val="single" w:sz="4" w:color="D9D9D9"/>
              <w:right w:val="single" w:sz="4" w:color="D9D9D9"/>
            </w:tcBorders>
          </w:tcPr>
          <w:p>
            <w:pPr>
              <w:spacing w:after="100" w:before="100"/>
            </w:pPr>
            <w:r>
              <w:rPr>
                <w:b w:val="0"/>
                <w:sz w:val="20"/>
              </w:rPr>
              <w:t>Tous les effectifs attendus sont au moins égaux à 5 ; ne garantit pas l’indépendance.</w:t>
            </w:r>
          </w:p>
        </w:tc>
      </w:tr>
      <w:tr>
        <w:tc>
          <w:tcPr>
            <w:tcW w:type="dxa" w:w="2324"/>
            <w:tcBorders>
              <w:top w:val="single" w:sz="4" w:color="D9D9D9"/>
              <w:left w:val="single" w:sz="4" w:color="D9D9D9"/>
              <w:bottom w:val="single" w:sz="4" w:color="D9D9D9"/>
              <w:right w:val="single" w:sz="4" w:color="D9D9D9"/>
            </w:tcBorders>
          </w:tcPr>
          <w:p>
            <w:pPr>
              <w:spacing w:after="100" w:before="100"/>
            </w:pPr>
            <w:r>
              <w:rPr>
                <w:b w:val="0"/>
                <w:sz w:val="20"/>
              </w:rPr>
              <w:t>fisher_p</w:t>
            </w:r>
          </w:p>
        </w:tc>
        <w:tc>
          <w:tcPr>
            <w:tcW w:type="dxa" w:w="7313"/>
            <w:tcBorders>
              <w:top w:val="single" w:sz="4" w:color="D9D9D9"/>
              <w:left w:val="single" w:sz="4" w:color="D9D9D9"/>
              <w:bottom w:val="single" w:sz="4" w:color="D9D9D9"/>
              <w:right w:val="single" w:sz="4" w:color="D9D9D9"/>
            </w:tcBorders>
          </w:tcPr>
          <w:p>
            <w:pPr>
              <w:spacing w:after="100" w:before="100"/>
            </w:pPr>
            <w:r>
              <w:rPr>
                <w:b w:val="0"/>
                <w:sz w:val="20"/>
              </w:rPr>
              <w:t>Diagnostic exact supplémentaire pour un tableau 2×2 ; non corrigé pour multiplicité.</w:t>
            </w:r>
          </w:p>
        </w:tc>
      </w:tr>
    </w:tbl>
    <w:p>
      <w:r>
        <w:t>Si le tableau n’a pas au moins deux lignes et deux colonnes observées, aucun χ² n’est interprétable : la fonction retourne des diagnostics manquants. Une valeur p manquante ne signifie pas une absence d’association.</w:t>
      </w:r>
    </w:p>
    <w:p>
      <w:r>
        <w:br w:type="page"/>
      </w:r>
    </w:p>
    <w:p>
      <w:pPr>
        <w:pStyle w:val="Heading1"/>
      </w:pPr>
      <w:r>
        <w:t>Choisir et justifier les analyses</w:t>
      </w:r>
    </w:p>
    <w:tbl>
      <w:tblPr>
        <w:tblW w:type="auto" w:w="0"/>
        <w:tblLayout w:type="fixed"/>
        <w:tblLook w:firstColumn="1" w:firstRow="1" w:lastColumn="0" w:lastRow="0" w:noHBand="0" w:noVBand="1" w:val="04A0"/>
      </w:tblPr>
      <w:tblGrid>
        <w:gridCol w:w="3061"/>
        <w:gridCol w:w="6576"/>
      </w:tblGrid>
      <w:tr>
        <w:tc>
          <w:tcPr>
            <w:tcW w:type="dxa" w:w="3061"/>
            <w:tcBorders>
              <w:top w:val="single" w:sz="4" w:color="D9D9D9"/>
              <w:left w:val="single" w:sz="4" w:color="D9D9D9"/>
              <w:bottom w:val="single" w:sz="4" w:color="D9D9D9"/>
              <w:right w:val="single" w:sz="4" w:color="D9D9D9"/>
            </w:tcBorders>
            <w:shd w:fill="E8EDF2"/>
          </w:tcPr>
          <w:p>
            <w:pPr>
              <w:spacing w:after="100" w:before="100"/>
            </w:pPr>
            <w:r>
              <w:rPr>
                <w:b/>
                <w:sz w:val="20"/>
              </w:rPr>
              <w:t>Question</w:t>
            </w:r>
          </w:p>
        </w:tc>
        <w:tc>
          <w:tcPr>
            <w:tcW w:type="dxa" w:w="6576"/>
            <w:tcBorders>
              <w:top w:val="single" w:sz="4" w:color="D9D9D9"/>
              <w:left w:val="single" w:sz="4" w:color="D9D9D9"/>
              <w:bottom w:val="single" w:sz="4" w:color="D9D9D9"/>
              <w:right w:val="single" w:sz="4" w:color="D9D9D9"/>
            </w:tcBorders>
            <w:shd w:fill="E8EDF2"/>
          </w:tcPr>
          <w:p>
            <w:pPr>
              <w:spacing w:after="100" w:before="100"/>
            </w:pPr>
            <w:r>
              <w:rPr>
                <w:b/>
                <w:sz w:val="20"/>
              </w:rPr>
              <w:t>Variables et justification</w:t>
            </w:r>
          </w:p>
        </w:tc>
      </w:tr>
      <w:tr>
        <w:tc>
          <w:tcPr>
            <w:tcW w:type="dxa" w:w="3061"/>
            <w:tcBorders>
              <w:top w:val="single" w:sz="4" w:color="D9D9D9"/>
              <w:left w:val="single" w:sz="4" w:color="D9D9D9"/>
              <w:bottom w:val="single" w:sz="4" w:color="D9D9D9"/>
              <w:right w:val="single" w:sz="4" w:color="D9D9D9"/>
            </w:tcBorders>
          </w:tcPr>
          <w:p>
            <w:pPr>
              <w:spacing w:after="100" w:before="100"/>
            </w:pPr>
            <w:r>
              <w:rPr>
                <w:b w:val="0"/>
                <w:sz w:val="20"/>
              </w:rPr>
              <w:t>Après quel résultat répète t on</w:t>
            </w:r>
          </w:p>
        </w:tc>
        <w:tc>
          <w:tcPr>
            <w:tcW w:type="dxa" w:w="6576"/>
            <w:tcBorders>
              <w:top w:val="single" w:sz="4" w:color="D9D9D9"/>
              <w:left w:val="single" w:sz="4" w:color="D9D9D9"/>
              <w:bottom w:val="single" w:sz="4" w:color="D9D9D9"/>
              <w:right w:val="single" w:sz="4" w:color="D9D9D9"/>
            </w:tcBorders>
          </w:tcPr>
          <w:p>
            <w:pPr>
              <w:spacing w:after="100" w:before="100"/>
            </w:pPr>
            <w:r>
              <w:rPr>
                <w:b w:val="0"/>
                <w:sz w:val="20"/>
              </w:rPr>
              <w:t>Résultat précédent × répétition. Cherche une association avec le comportement suivant ; ne prouve pas une réaction psychologique.</w:t>
            </w:r>
          </w:p>
        </w:tc>
      </w:tr>
      <w:tr>
        <w:tc>
          <w:tcPr>
            <w:tcW w:type="dxa" w:w="3061"/>
            <w:tcBorders>
              <w:top w:val="single" w:sz="4" w:color="D9D9D9"/>
              <w:left w:val="single" w:sz="4" w:color="D9D9D9"/>
              <w:bottom w:val="single" w:sz="4" w:color="D9D9D9"/>
              <w:right w:val="single" w:sz="4" w:color="D9D9D9"/>
            </w:tcBorders>
          </w:tcPr>
          <w:p>
            <w:pPr>
              <w:spacing w:after="100" w:before="100"/>
            </w:pPr>
            <w:r>
              <w:rPr>
                <w:b w:val="0"/>
                <w:sz w:val="20"/>
              </w:rPr>
              <w:t>La répétition accompagne t elle la performance</w:t>
            </w:r>
          </w:p>
        </w:tc>
        <w:tc>
          <w:tcPr>
            <w:tcW w:type="dxa" w:w="6576"/>
            <w:tcBorders>
              <w:top w:val="single" w:sz="4" w:color="D9D9D9"/>
              <w:left w:val="single" w:sz="4" w:color="D9D9D9"/>
              <w:bottom w:val="single" w:sz="4" w:color="D9D9D9"/>
              <w:right w:val="single" w:sz="4" w:color="D9D9D9"/>
            </w:tcBorders>
          </w:tcPr>
          <w:p>
            <w:pPr>
              <w:spacing w:after="100" w:before="100"/>
            </w:pPr>
            <w:r>
              <w:rPr>
                <w:b w:val="0"/>
                <w:sz w:val="20"/>
              </w:rPr>
              <w:t>Répétition × résultat courant. Compare victoire, défaite et nul sans réduire le résultat à victoire ou non.</w:t>
            </w:r>
          </w:p>
        </w:tc>
      </w:tr>
      <w:tr>
        <w:tc>
          <w:tcPr>
            <w:tcW w:type="dxa" w:w="3061"/>
            <w:tcBorders>
              <w:top w:val="single" w:sz="4" w:color="D9D9D9"/>
              <w:left w:val="single" w:sz="4" w:color="D9D9D9"/>
              <w:bottom w:val="single" w:sz="4" w:color="D9D9D9"/>
              <w:right w:val="single" w:sz="4" w:color="D9D9D9"/>
            </w:tcBorders>
          </w:tcPr>
          <w:p>
            <w:pPr>
              <w:spacing w:after="100" w:before="100"/>
            </w:pPr>
            <w:r>
              <w:rPr>
                <w:b w:val="0"/>
                <w:sz w:val="20"/>
              </w:rPr>
              <w:t>La couleur se répète t elle avec le résultat</w:t>
            </w:r>
          </w:p>
        </w:tc>
        <w:tc>
          <w:tcPr>
            <w:tcW w:type="dxa" w:w="6576"/>
            <w:tcBorders>
              <w:top w:val="single" w:sz="4" w:color="D9D9D9"/>
              <w:left w:val="single" w:sz="4" w:color="D9D9D9"/>
              <w:bottom w:val="single" w:sz="4" w:color="D9D9D9"/>
              <w:right w:val="single" w:sz="4" w:color="D9D9D9"/>
            </w:tcBorders>
          </w:tcPr>
          <w:p>
            <w:pPr>
              <w:spacing w:after="100" w:before="100"/>
            </w:pPr>
            <w:r>
              <w:rPr>
                <w:b w:val="0"/>
                <w:sz w:val="20"/>
              </w:rPr>
              <w:t>same_color_consecutive × résultat courant. Sépare le rôle de la couleur et celui de la famille.</w:t>
            </w:r>
          </w:p>
        </w:tc>
      </w:tr>
      <w:tr>
        <w:tc>
          <w:tcPr>
            <w:tcW w:type="dxa" w:w="3061"/>
            <w:tcBorders>
              <w:top w:val="single" w:sz="4" w:color="D9D9D9"/>
              <w:left w:val="single" w:sz="4" w:color="D9D9D9"/>
              <w:bottom w:val="single" w:sz="4" w:color="D9D9D9"/>
              <w:right w:val="single" w:sz="4" w:color="D9D9D9"/>
            </w:tcBorders>
          </w:tcPr>
          <w:p>
            <w:pPr>
              <w:spacing w:after="100" w:before="100"/>
            </w:pPr>
            <w:r>
              <w:rPr>
                <w:b w:val="0"/>
                <w:sz w:val="20"/>
              </w:rPr>
              <w:t>Changer de couleur accompagne t il un changement de famille</w:t>
            </w:r>
          </w:p>
        </w:tc>
        <w:tc>
          <w:tcPr>
            <w:tcW w:type="dxa" w:w="6576"/>
            <w:tcBorders>
              <w:top w:val="single" w:sz="4" w:color="D9D9D9"/>
              <w:left w:val="single" w:sz="4" w:color="D9D9D9"/>
              <w:bottom w:val="single" w:sz="4" w:color="D9D9D9"/>
              <w:right w:val="single" w:sz="4" w:color="D9D9D9"/>
            </w:tcBorders>
          </w:tcPr>
          <w:p>
            <w:pPr>
              <w:spacing w:after="100" w:before="100"/>
            </w:pPr>
            <w:r>
              <w:rPr>
                <w:b w:val="0"/>
                <w:sz w:val="20"/>
              </w:rPr>
              <w:t>same_color_consecutive × repeat_all. Décrit le contexte dans lequel une famille est rejouée.</w:t>
            </w:r>
          </w:p>
        </w:tc>
      </w:tr>
    </w:tbl>
    <w:p>
      <w:pPr>
        <w:pStyle w:val="Heading2"/>
      </w:pPr>
      <w:r>
        <w:t>Stratifier sans surinterpréter</w:t>
      </w:r>
    </w:p>
    <w:p>
      <w:r>
        <w:t>Chaque définition de répétition est examinée par couleur actuelle, cadence et tranche Elo. Cela permet de voir si les associations globales restent descriptivement présentes dans des groupes comparables. Une petite valeur p dans un groupe et une grande dans un autre ne prouvent pas une différence entre groupes : un test d’interaction serait une autre question.</w:t>
      </w:r>
    </w:p>
    <w:p>
      <w:pPr>
        <w:pStyle w:val="Heading2"/>
      </w:pPr>
      <w:r>
        <w:t>Graphiques et analyses complémentaires</w:t>
      </w:r>
    </w:p>
    <w:p>
      <w:r>
        <w:t>Les graphiques montrent les taux de répétition selon la définition, les effectifs par famille et les scores moyens. Les matrices de transition décrivent les changements de résultats et de familles. La matrice de Spearman compare rating, opponent_rating, elo_diff, expérience antérieure et score.</w:t>
      </w:r>
    </w:p>
    <w:p>
      <w:r>
        <w:t>Ces variables peuvent être mécaniquement liées : elo_diff est calculé à partir des deux ratings. L’expérience antérieure n’est mesurée que dans la fenêtre collectée. Les graphiques doivent toujours être accompagnés des effectifs, notamment lorsque les familles rares donnent des scores extrêmes.</w:t>
      </w:r>
    </w:p>
    <w:p>
      <w:pPr>
        <w:pStyle w:val="Heading2"/>
      </w:pPr>
      <w:r>
        <w:t>Localiser chaque résultat</w:t>
      </w:r>
    </w:p>
    <w:p>
      <w:r>
        <w:t>run_repetition_tests produit tests_repetition_chi2.csv, taux_repetition.csv et bootstrap_joueurs.csv. Chaque test a ses tableaux table_NNN_observes.csv, table_NNN_attendus.csv et table_NNN_residus.csv. index_tables.csv associe NNN au nom complet du test. Les fichiers sont dans Resultats/repetition/ de l’expérience.</w:t>
      </w:r>
    </w:p>
    <w:p>
      <w:r>
        <w:t>La section 7 du nouveau notebook affiche un test explicite, puis sa table observée, ses attentes et ses résidus. Les sections suivantes affichent les comparaisons par définition et sous-population. Les fonctions copiées dans les cellules correspondent à celles du module lors de cette publication.</w:t>
      </w:r>
    </w:p>
    <w:p>
      <w:r>
        <w:br w:type="page"/>
      </w:r>
    </w:p>
    <w:p>
      <w:pPr>
        <w:pStyle w:val="Heading1"/>
      </w:pPr>
      <w:r>
        <w:t>Interpréter avec les bonnes limites</w:t>
      </w:r>
    </w:p>
    <w:p>
      <w:pPr>
        <w:pStyle w:val="Heading2"/>
      </w:pPr>
      <w:r>
        <w:t>Effectifs et multiplicité</w:t>
      </w:r>
    </w:p>
    <w:p>
      <w:r>
        <w:t>Le projet adopte la règle conservatrice selon laquelle toutes les cases attendues doivent contenir au moins 5 observations. Les tableaux insuffisants restent affichés mais ne reçoivent pas de valeur p corrigée par Holm. Le diagnostic valid concerne uniquement les effectifs.</w:t>
      </w:r>
    </w:p>
    <w:p>
      <w:r>
        <w:t>La correction de Holm porte sur l’ensemble des χ² éligibles de la batterie de répétition de cette exécution. Elle contrôle le risque familial si les valeurs p d’entrée sont valides, même avec des tests dépendants. Elle ne corrige ni la dépendance entre observations ni un biais de sélection. Les analyses générales exportées séparément forment une autre famille ; leurs valeurs p ne doivent pas être mélangées avec p_holm.</w:t>
      </w:r>
    </w:p>
    <w:p>
      <w:pPr>
        <w:pStyle w:val="Heading2"/>
      </w:pPr>
      <w:r>
        <w:t>Les parties ne sont pas indépendantes</w:t>
      </w:r>
    </w:p>
    <w:p>
      <w:r>
        <w:t>Un joueur revient plusieurs fois. Deux transitions peuvent partager une même partie et deux joueurs collectés peuvent être adversaires. Le χ² standard traite pourtant les observations comme indépendantes. Les valeurs p du panel complet sont donc exploratoires et ne constituent pas une preuve confirmatoire.</w:t>
      </w:r>
    </w:p>
    <w:p>
      <w:r>
        <w:t>independent_transition_sample conserve au plus une transition par joueur et évite les identifiants de parties partagés entre transitions. Il ne garantit pas l’indépendance des joueurs : adversaires et environnements communs peuvent encore compter. Une analyse de sensibilité pauvre en observations ne permet pas de conclure à l’absence d’association.</w:t>
      </w:r>
    </w:p>
    <w:p>
      <w:pPr>
        <w:pStyle w:val="Heading2"/>
      </w:pPr>
      <w:r>
        <w:t>Ce que mesure le bootstrap</w:t>
      </w:r>
    </w:p>
    <w:p>
      <w:r>
        <w:t>player_bootstrap calcule, pour chaque joueur ayant répétition et changement, le score moyen en répétition moins le score moyen en changement. Il moyenne ces contrastes avec un poids égal par joueur, puis rééchantillonne les joueurs avec remise pour former un intervalle descriptif à 95 %. Avec moins de deux joueurs éligibles, l’intervalle reste manquant.</w:t>
      </w:r>
    </w:p>
    <w:p>
      <w:r>
        <w:t>Ce contraste concerne les joueurs éligibles, pas toutes les parties. Il ne traite pas complètement la dépendance entre adversaires et ne contrôle pas les écarts d’Elo, la couleur ou la cadence. Un intervalle excluant zéro ne suffit donc pas à conclure à une causalité.</w:t>
      </w:r>
    </w:p>
    <w:p>
      <w:pPr>
        <w:pStyle w:val="Heading2"/>
      </w:pPr>
      <w:r>
        <w:t>Comment rédiger une conclusion</w:t>
      </w:r>
    </w:p>
    <w:p>
      <w:r>
        <w:t>Indiquer la définition, la période, la population, les effectifs, le χ², les degrés de liberté, la valeur p et sa correction, le V de Cramér et le diagnostic d’attentes. Dire « associé à » ou « différence descriptive ». Si le tableau est trop petit, écrire que l’information est insuffisante.</w:t>
      </w:r>
    </w:p>
    <w:p>
      <w:r>
        <w:br w:type="page"/>
      </w:r>
    </w:p>
    <w:p>
      <w:pPr>
        <w:pStyle w:val="Heading1"/>
      </w:pPr>
      <w:r>
        <w:t>Exécuter conserver et retrouver les fonctions</w:t>
      </w:r>
    </w:p>
    <w:p>
      <w:pPr>
        <w:pStyle w:val="Heading2"/>
      </w:pPr>
      <w:r>
        <w:t>La chaîne de traitement</w:t>
      </w:r>
    </w:p>
    <w:p>
      <w:r>
        <w:t>discover_stratified découvre les joueurs ; collect_games récupère les parties ; build_openings extrait les ouvertures présentes dans les réponses API ; prepare nettoie et construit les historiques ; analyze lance les analyses générales et la batterie de répétition. L’envoi S3 est optionnel et intervient après le nettoyage.</w:t>
      </w:r>
    </w:p>
    <w:p>
      <w:pPr>
        <w:spacing w:after="180"/>
      </w:pPr>
      <w:r>
        <w:rPr>
          <w:rFonts w:ascii="Consolas" w:hAnsi="Consolas"/>
          <w:sz w:val="18"/>
        </w:rPr>
        <w:t>python -m pip install -r requirements.txt</w:t>
      </w:r>
      <w:r>
        <w:rPr>
          <w:rFonts w:ascii="Consolas" w:hAnsi="Consolas"/>
          <w:sz w:val="18"/>
        </w:rPr>
        <w:br/>
        <w:t>python -m Pipeline_ouvertures --users-per-seed 1 \</w:t>
      </w:r>
      <w:r>
        <w:rPr>
          <w:rFonts w:ascii="Consolas" w:hAnsi="Consolas"/>
          <w:sz w:val="18"/>
        </w:rPr>
        <w:br/>
        <w:t xml:space="preserve">    --games-per-format 5</w:t>
      </w:r>
    </w:p>
    <w:p>
      <w:r>
        <w:t>Pour réanalyser un fichier sans nouvelle collecte, utiliser --skip-collect et --raw-file suivi du chemin du fichier games_enrichies_raw.parquet. Une nouvelle expérience est créée même lors d’une réanalyse.</w:t>
      </w:r>
    </w:p>
    <w:p>
      <w:pPr>
        <w:pStyle w:val="Heading2"/>
      </w:pPr>
      <w:r>
        <w:t>Conserver les expériences</w:t>
      </w:r>
    </w:p>
    <w:p>
      <w:r>
        <w:t>config_projet.py gère les chemins. create_run crée Collectes/&lt;horodatage_identifiant&gt;/ avec Data/ et Resultats/. Il ne supprime pas les anciennes bases ou sous-dossiers. Relancer la cellule de nouvelle expérience crée un autre identifiant. Relancer seulement une cellule d’analyse peut mettre à jour ses sorties dans l’expérience courante ; le fichier brut reste conservé.</w:t>
      </w:r>
    </w:p>
    <w:p>
      <w:r>
        <w:t>Sur SSP Cloud, les objets sont rangés sous diffusion/projet_ouvertures/&lt;identifiant_experience&gt;/. Les secrets restent dans les variables d’environnement ou dans le .env privé. Le jeton Lichess s’appelle LICHESS_TOKEN. Aucun secret ne doit figurer dans les sorties du notebook.</w:t>
      </w:r>
    </w:p>
    <w:p>
      <w:pPr>
        <w:pStyle w:val="Heading2"/>
      </w:pPr>
      <w:r>
        <w:t>Installer boto3 au bon endroit</w:t>
      </w:r>
    </w:p>
    <w:p>
      <w:r>
        <w:t>boto3 est une dépendance dans requirements.txt. La première cellule du notebook installe ce fichier dans le noyau courant. Installer boto3 sur un ordinateur ne l’installe pas sur un serveur Colab ou SSP Cloud : chaque environnement doit avoir ses dépendances. Aucun module métier ne lance pip à l’import.</w:t>
      </w:r>
    </w:p>
    <w:p>
      <w:pPr>
        <w:pStyle w:val="Heading2"/>
      </w:pPr>
      <w:r>
        <w:t>Nouvelle organisation du dépôt</w:t>
      </w:r>
    </w:p>
    <w:p>
      <w:r>
        <w:t>Le notebook reste à la racine pour garder un lien Colab simple. analyses/ contient le moteur et les tests statistiques ; tests/ contient les tests logiciels ; docs/ contient ce guide, les instructions de configuration et l’ancien PDF dans archives/. Analyse_ouvertures.py à la racine reste une passerelle de compatibilité pour les anciens imports.</w:t>
      </w:r>
    </w:p>
    <w:p>
      <w:r>
        <w:br w:type="page"/>
      </w:r>
    </w:p>
    <w:p>
      <w:pPr>
        <w:pStyle w:val="Heading1"/>
      </w:pPr>
      <w:r>
        <w:t>Vérifier le travail et préparer le rendu</w:t>
      </w:r>
    </w:p>
    <w:p>
      <w:pPr>
        <w:pStyle w:val="Heading2"/>
      </w:pPr>
      <w:r>
        <w:t>Tests statistiques et tests logiciels</w:t>
      </w:r>
    </w:p>
    <w:p>
      <w:r>
        <w:t>Les tests statistiques répondent aux questions d’association avec les données collectées. Les tests logiciels vérifient que les fonctions calculent ce qu’elles annoncent. Les jeux utilisés pour cette seconde tâche sont simulés ; leurs chiffres ne constituent pas des résultats empiriques sur Lichess.</w:t>
      </w:r>
    </w:p>
    <w:p>
      <w:pPr>
        <w:spacing w:after="180"/>
      </w:pPr>
      <w:r>
        <w:rPr>
          <w:rFonts w:ascii="Consolas" w:hAnsi="Consolas"/>
          <w:sz w:val="18"/>
        </w:rPr>
        <w:t>python -m unittest discover -s tests -v</w:t>
      </w:r>
    </w:p>
    <w:p>
      <w:r>
        <w:t>Les tests couvrent le tri chronologique, les premières observations manquantes, les historiques distincts par joueur et couleur, les ouvertures inconnues, le calcul du χ² et du V sur une table connue, les tableaux constants et vides, Fisher en 2×2, la correction de Holm, les quatre scénarios, le filtrage des transitions, la reproductibilité du bootstrap et les exports sans suppression.</w:t>
      </w:r>
    </w:p>
    <w:p>
      <w:pPr>
        <w:pStyle w:val="Heading2"/>
      </w:pPr>
      <w:r>
        <w:t>Vérification du notebook</w:t>
      </w:r>
    </w:p>
    <w:p>
      <w:r>
        <w:t>Les fonctions statistiques sont visibles dans les cellules. Les cellules d’analyse doivent pouvoir être exécutées sur un panel de test sans requête réseau. Les appels à l’API et à SSP Cloud nécessitent un environnement réseau et les autorisations correspondantes ; un test hors ligne ne valide pas ces accès réels.</w:t>
      </w:r>
    </w:p>
    <w:p>
      <w:pPr>
        <w:pStyle w:val="Heading2"/>
      </w:pPr>
      <w:r>
        <w:t>Avant de rendre le projet</w:t>
      </w:r>
    </w:p>
    <w:p>
      <w:r>
        <w:t>Conserver les explications utiles pour défendre chaque choix et retirer les paragraphes pédagogiques superflus. Garder les définitions de répétition, la période de collecte, les effectifs et les diagnostics. Ne présenter que les tests correspondant à des questions annoncées. Un tableau non significatif ou non exploitable fait partie des résultats et ne doit pas être masqué.</w:t>
      </w:r>
    </w:p>
    <w:p>
      <w:pPr>
        <w:pStyle w:val="Heading2"/>
      </w:pPr>
      <w:r>
        <w:t>Références des fonctions utilisées</w:t>
      </w:r>
    </w:p>
    <w:p>
      <w:r>
        <w:t>SciPy — chi2_contingency :</w:t>
        <w:br/>
        <w:t>https://docs.scipy.org/doc/scipy/reference/generated/scipy.stats.chi2_contingency.html</w:t>
      </w:r>
    </w:p>
    <w:p>
      <w:r>
        <w:t>SciPy — fisher_exact :</w:t>
        <w:br/>
        <w:t>https://docs.scipy.org/doc/scipy/reference/generated/scipy.stats.fisher_exact.html</w:t>
      </w:r>
    </w:p>
    <w:p>
      <w:r>
        <w:t>Statsmodels — multipletests et correction de Holm :</w:t>
        <w:br/>
        <w:t>https://www.statsmodels.org/stable/generated/statsmodels.stats.multitest.multipletests.html</w:t>
      </w:r>
    </w:p>
    <w:p>
      <w:r>
        <w:t>Code de référence du projet :</w:t>
        <w:br/>
        <w:t>https://github.com/Hadrienfonrojet/ANALYSE-MARCHE-/tree/main/analyses</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Comprendre les analyses du projet Lichess</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