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2"/>
          <w:szCs w:val="32"/>
        </w:rPr>
        <w:t xml:space="preserve">FINAL PROJECT GRADING RUBRIC</w:t>
      </w:r>
    </w:p>
    <w:p>
      <w:pPr>
        <w:spacing w:after="40"/>
        <w:jc w:val="center"/>
      </w:pPr>
      <w:r>
        <w:rPr>
          <w:rFonts w:ascii="Arial" w:cs="Arial" w:eastAsia="Arial" w:hAnsi="Arial"/>
          <w:sz w:val="21"/>
          <w:szCs w:val="21"/>
        </w:rPr>
        <w:t xml:space="preserve">System Design &amp; Governance Document, Acceptable Use Policy, BYOD Policy, and User Manual</w:t>
      </w:r>
    </w:p>
    <w:p>
      <w:pPr>
        <w:spacing w:after="200"/>
        <w:jc w:val="center"/>
      </w:pPr>
      <w:r>
        <w:rPr>
          <w:rFonts w:ascii="Arial" w:cs="Arial" w:eastAsia="Arial" w:hAnsi="Arial"/>
          <w:b/>
          <w:bCs/>
          <w:sz w:val="20"/>
          <w:szCs w:val="20"/>
        </w:rPr>
        <w:t xml:space="preserve">Managing IT Resources  |  Total: 50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973"/>
        <w:gridCol w:w="1900"/>
        <w:gridCol w:w="2973"/>
      </w:tblGrid>
      <w:tr>
        <w:trPr>
          <w:trHeight w:val="420" w:hRule="atLeas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before="0"/>
            </w:pPr>
            <w:r>
              <w:rPr>
                <w:rFonts w:ascii="Arial" w:cs="Arial" w:eastAsia="Arial" w:hAnsi="Arial"/>
                <w:b/>
                <w:bCs/>
                <w:sz w:val="19"/>
                <w:szCs w:val="19"/>
              </w:rPr>
              <w:t xml:space="preserve">Team / System Name</w:t>
            </w:r>
          </w:p>
        </w:tc>
        <w:tc>
          <w:tcPr>
            <w:tcW w:type="dxa" w:w="2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Kodigo (retail POS and inventory system)</w:t>
            </w: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before="0"/>
            </w:pPr>
            <w:r>
              <w:rPr>
                <w:rFonts w:ascii="Arial" w:cs="Arial" w:eastAsia="Arial" w:hAnsi="Arial"/>
                <w:b/>
                <w:bCs/>
                <w:sz w:val="19"/>
                <w:szCs w:val="19"/>
              </w:rPr>
              <w:t xml:space="preserve">Section</w:t>
            </w:r>
          </w:p>
        </w:tc>
        <w:tc>
          <w:tcPr>
            <w:tcW w:type="dxa" w:w="2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Not stated in submission</w:t>
            </w:r>
          </w:p>
        </w:tc>
      </w:tr>
      <w:tr>
        <w:trPr>
          <w:trHeight w:val="420" w:hRule="atLeas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before="0"/>
            </w:pPr>
            <w:r>
              <w:rPr>
                <w:rFonts w:ascii="Arial" w:cs="Arial" w:eastAsia="Arial" w:hAnsi="Arial"/>
                <w:b/>
                <w:bCs/>
                <w:sz w:val="19"/>
                <w:szCs w:val="19"/>
              </w:rPr>
              <w:t xml:space="preserve">Client / Organization</w:t>
            </w:r>
          </w:p>
        </w:tc>
        <w:tc>
          <w:tcPr>
            <w:tcW w:type="dxa" w:w="2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Not named (sari-sari stores / small retail branches)</w:t>
            </w: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before="0"/>
            </w:pPr>
            <w:r>
              <w:rPr>
                <w:rFonts w:ascii="Arial" w:cs="Arial" w:eastAsia="Arial" w:hAnsi="Arial"/>
                <w:b/>
                <w:bCs/>
                <w:sz w:val="19"/>
                <w:szCs w:val="19"/>
              </w:rPr>
              <w:t xml:space="preserve">Date Evaluated</w:t>
            </w:r>
          </w:p>
        </w:tc>
        <w:tc>
          <w:tcPr>
            <w:tcW w:type="dxa" w:w="2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October 6, 2026</w:t>
            </w:r>
          </w:p>
        </w:tc>
      </w:tr>
      <w:tr>
        <w:trPr>
          <w:trHeight w:val="700" w:hRule="atLeas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before="0"/>
            </w:pPr>
            <w:r>
              <w:rPr>
                <w:rFonts w:ascii="Arial" w:cs="Arial" w:eastAsia="Arial" w:hAnsi="Arial"/>
                <w:b/>
                <w:bCs/>
                <w:sz w:val="19"/>
                <w:szCs w:val="19"/>
              </w:rPr>
              <w:t xml:space="preserve">Team Members</w:t>
            </w:r>
          </w:p>
        </w:tc>
        <w:tc>
          <w:tcPr>
            <w:tcW w:type="dxa" w:w="7846"/>
            <w:gridSpan w:val="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Vergara, Evon Christian P. (only name listed in the submission)</w:t>
            </w:r>
          </w:p>
        </w:tc>
      </w:tr>
      <w:tr>
        <w:trPr>
          <w:trHeight w:val="420" w:hRule="atLeas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before="0"/>
            </w:pPr>
            <w:r>
              <w:rPr>
                <w:rFonts w:ascii="Arial" w:cs="Arial" w:eastAsia="Arial" w:hAnsi="Arial"/>
                <w:b/>
                <w:bCs/>
                <w:sz w:val="19"/>
                <w:szCs w:val="19"/>
              </w:rPr>
              <w:t xml:space="preserve">Evaluator</w:t>
            </w:r>
          </w:p>
        </w:tc>
        <w:tc>
          <w:tcPr>
            <w:tcW w:type="dxa" w:w="2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Wilchin Dipolog</w:t>
            </w:r>
          </w:p>
        </w:tc>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40" w:before="0"/>
            </w:pPr>
            <w:r>
              <w:rPr>
                <w:rFonts w:ascii="Arial" w:cs="Arial" w:eastAsia="Arial" w:hAnsi="Arial"/>
                <w:b/>
                <w:bCs/>
                <w:sz w:val="19"/>
                <w:szCs w:val="19"/>
              </w:rPr>
              <w:t xml:space="preserve">Signature</w:t>
            </w:r>
          </w:p>
        </w:tc>
        <w:tc>
          <w:tcPr>
            <w:tcW w:type="dxa" w:w="297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
            </w:r>
          </w:p>
        </w:tc>
      </w:tr>
    </w:tbl>
    <w:p>
      <w:pPr>
        <w:pStyle w:val="Heading1"/>
        <w:spacing w:after="120" w:before="240"/>
      </w:pPr>
      <w:r>
        <w:rPr>
          <w:rFonts w:ascii="Arial" w:cs="Arial" w:eastAsia="Arial" w:hAnsi="Arial"/>
        </w:rPr>
        <w:t xml:space="preserve">How to Score</w:t>
      </w:r>
    </w:p>
    <w:p>
      <w:pPr>
        <w:spacing w:after="120"/>
      </w:pPr>
      <w:r>
        <w:rPr>
          <w:rFonts w:ascii="Arial" w:cs="Arial" w:eastAsia="Arial" w:hAnsi="Arial"/>
          <w:sz w:val="20"/>
          <w:szCs w:val="20"/>
        </w:rPr>
        <w:t xml:space="preserve">For each criterion, tick the indicators the submission meets. Choose the performance level based on how many indicators are met and how specific the content is to the team's system. Then write the matching score from the Points Lookup table in the Score column. Quarter points are allowed only as shown in the lookup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6946"/>
      </w:tblGrid>
      <w:tr>
        <w:trPr>
          <w:tblHeader/>
        </w:trPr>
        <w:tc>
          <w:tcPr>
            <w:tcW w:type="dxa" w:w="170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Level</w:t>
            </w:r>
          </w:p>
        </w:tc>
        <w:tc>
          <w:tcPr>
            <w:tcW w:type="dxa" w:w="110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 of Max</w:t>
            </w:r>
          </w:p>
        </w:tc>
        <w:tc>
          <w:tcPr>
            <w:tcW w:type="dxa" w:w="6946"/>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Decision Rule</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Excellent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100%</w:t>
            </w:r>
          </w:p>
        </w:tc>
        <w:tc>
          <w:tcPr>
            <w:tcW w:type="dxa" w:w="69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All indicators are met, the content is specific to the team's system, and it is consistent with the other documents.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Proficient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75%</w:t>
            </w:r>
          </w:p>
        </w:tc>
        <w:tc>
          <w:tcPr>
            <w:tcW w:type="dxa" w:w="69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Most indicators (about three-quarters) are met, or all are met but some content is generic or has minor gaps.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Developing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50%</w:t>
            </w:r>
          </w:p>
        </w:tc>
        <w:tc>
          <w:tcPr>
            <w:tcW w:type="dxa" w:w="69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About half of the indicators are met, or the content is vague, mostly template text, or largely copied from a sample.</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Beginning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25%</w:t>
            </w:r>
          </w:p>
        </w:tc>
        <w:tc>
          <w:tcPr>
            <w:tcW w:type="dxa" w:w="69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Fewer than half of the indicators are met; the section exists but has very little real content.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Missing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w:t>
            </w:r>
          </w:p>
        </w:tc>
        <w:tc>
          <w:tcPr>
            <w:tcW w:type="dxa" w:w="69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The section is absent or still contains only template placeholders.</w:t>
            </w:r>
          </w:p>
        </w:tc>
      </w:tr>
    </w:tbl>
    <w:p>
      <w:pPr>
        <w:pStyle w:val="Heading2"/>
        <w:spacing w:after="100" w:before="200"/>
      </w:pPr>
      <w:r>
        <w:rPr>
          <w:rFonts w:ascii="Arial" w:cs="Arial" w:eastAsia="Arial" w:hAnsi="Arial"/>
        </w:rPr>
        <w:t xml:space="preserve">Points Lookup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560"/>
        <w:gridCol w:w="1560"/>
        <w:gridCol w:w="1560"/>
        <w:gridCol w:w="1560"/>
        <w:gridCol w:w="1560"/>
      </w:tblGrid>
      <w:tr>
        <w:trPr>
          <w:tblHeader/>
        </w:trPr>
        <w:tc>
          <w:tcPr>
            <w:tcW w:type="dxa" w:w="1946"/>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Criterion Max</w:t>
            </w:r>
          </w:p>
        </w:tc>
        <w:tc>
          <w:tcPr>
            <w:tcW w:type="dxa" w:w="156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Excellent</w:t>
            </w:r>
          </w:p>
        </w:tc>
        <w:tc>
          <w:tcPr>
            <w:tcW w:type="dxa" w:w="156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Proficient</w:t>
            </w:r>
          </w:p>
        </w:tc>
        <w:tc>
          <w:tcPr>
            <w:tcW w:type="dxa" w:w="156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Developing</w:t>
            </w:r>
          </w:p>
        </w:tc>
        <w:tc>
          <w:tcPr>
            <w:tcW w:type="dxa" w:w="156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Beginning</w:t>
            </w:r>
          </w:p>
        </w:tc>
        <w:tc>
          <w:tcPr>
            <w:tcW w:type="dxa" w:w="156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Missing</w:t>
            </w:r>
          </w:p>
        </w:tc>
      </w:tr>
      <w:tr>
        <w:tc>
          <w:tcPr>
            <w:tcW w:type="dxa" w:w="194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 pt</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1</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0.75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0.25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w:t>
            </w:r>
          </w:p>
        </w:tc>
      </w:tr>
      <w:tr>
        <w:tc>
          <w:tcPr>
            <w:tcW w:type="dxa" w:w="194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 pts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2</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1.5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1</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w:t>
            </w:r>
          </w:p>
        </w:tc>
      </w:tr>
      <w:tr>
        <w:tc>
          <w:tcPr>
            <w:tcW w:type="dxa" w:w="194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3 pts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3</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2.25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1.5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0.75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w:t>
            </w:r>
          </w:p>
        </w:tc>
      </w:tr>
      <w:tr>
        <w:tc>
          <w:tcPr>
            <w:tcW w:type="dxa" w:w="194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5 pts</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3.75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2.5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1.25</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sz w:val="19"/>
                <w:szCs w:val="19"/>
              </w:rPr>
              <w:t xml:space="preserve">0</w:t>
            </w:r>
          </w:p>
        </w:tc>
      </w:tr>
    </w:tbl>
    <w:p>
      <w:pPr>
        <w:pStyle w:val="Heading2"/>
        <w:spacing w:after="100" w:before="200"/>
      </w:pPr>
      <w:r>
        <w:rPr>
          <w:rFonts w:ascii="Arial" w:cs="Arial" w:eastAsia="Arial" w:hAnsi="Arial"/>
        </w:rPr>
        <w:t xml:space="preserve">Required Attachments Check (not scored separately)</w:t>
      </w:r>
    </w:p>
    <w:p>
      <w:pPr>
        <w:spacing w:after="120"/>
      </w:pPr>
      <w:r>
        <w:rPr>
          <w:rFonts w:ascii="Arial" w:cs="Arial" w:eastAsia="Arial" w:hAnsi="Arial"/>
          <w:sz w:val="20"/>
          <w:szCs w:val="20"/>
        </w:rPr>
        <w:t xml:space="preserve">Confirm these items before scoring. A missing item lowers the score of the criterion shown in parentheses.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22"/>
                <w:szCs w:val="22"/>
              </w:rPr>
              <w:t xml:space="preserve">☒</w:t>
            </w:r>
          </w:p>
        </w:tc>
        <w:tc>
          <w:tcPr>
            <w:tcW w:type="dxa" w:w="91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Business Flow image in §3.3 (A2)</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22"/>
                <w:szCs w:val="22"/>
              </w:rPr>
              <w:t xml:space="preserve">☐</w:t>
            </w:r>
          </w:p>
        </w:tc>
        <w:tc>
          <w:tcPr>
            <w:tcW w:type="dxa" w:w="91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AUP file linked in §4.2.9 (A6)</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22"/>
                <w:szCs w:val="22"/>
              </w:rPr>
              <w:t xml:space="preserve">☐</w:t>
            </w:r>
          </w:p>
        </w:tc>
        <w:tc>
          <w:tcPr>
            <w:tcW w:type="dxa" w:w="91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BYOD file linked in §4.2.9, or an approved justification if BYOD does not apply (A6)</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22"/>
                <w:szCs w:val="22"/>
              </w:rPr>
              <w:t xml:space="preserve">☐</w:t>
            </w:r>
          </w:p>
        </w:tc>
        <w:tc>
          <w:tcPr>
            <w:tcW w:type="dxa" w:w="91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Data Classification Table in §4.2.9 (A6)</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22"/>
                <w:szCs w:val="22"/>
              </w:rPr>
              <w:t xml:space="preserve">☐</w:t>
            </w:r>
          </w:p>
        </w:tc>
        <w:tc>
          <w:tcPr>
            <w:tcW w:type="dxa" w:w="91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User Manual linked in §4.2.11 (A6)</w:t>
            </w:r>
          </w:p>
        </w:tc>
      </w:tr>
      <w:t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22"/>
                <w:szCs w:val="22"/>
              </w:rPr>
              <w:t xml:space="preserve">☒</w:t>
            </w:r>
          </w:p>
        </w:tc>
        <w:tc>
          <w:tcPr>
            <w:tcW w:type="dxa" w:w="91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ITIL process image in §4.2.12 (A6)</w:t>
            </w:r>
          </w:p>
        </w:tc>
      </w:tr>
    </w:tbl>
    <w:p>
      <w:pPr>
        <w:pStyle w:val="Heading2"/>
        <w:spacing w:after="100" w:before="200"/>
      </w:pPr>
      <w:r>
        <w:rPr>
          <w:rFonts w:ascii="Arial" w:cs="Arial" w:eastAsia="Arial" w:hAnsi="Arial"/>
        </w:rPr>
        <w:t xml:space="preserve">If BYOD Does Not Apply</w:t>
      </w:r>
    </w:p>
    <w:p>
      <w:pPr>
        <w:spacing w:after="120"/>
      </w:pPr>
      <w:r>
        <w:rPr>
          <w:rFonts w:ascii="Arial" w:cs="Arial" w:eastAsia="Arial" w:hAnsi="Arial"/>
          <w:sz w:val="20"/>
          <w:szCs w:val="20"/>
        </w:rPr>
        <w:t xml:space="preserve">If you accept that a BYOD policy does not apply (for example, the system is used only on organization-issued devices), the team submits a one-page justification instead. Score the justification under C1 (scope and reasoning) and C6 (consistency with the AUP and main document) only, for a maximum of 2 points. The maximum total then becomes 45, and the final score is computed as (Total ÷ 45) × 50.</w:t>
      </w:r>
    </w:p>
    <w:p>
      <w:pPr>
        <w:pStyle w:val="Heading1"/>
        <w:keepNext/>
        <w:spacing w:after="120" w:before="240"/>
      </w:pPr>
      <w:r>
        <w:rPr>
          <w:rFonts w:ascii="Arial" w:cs="Arial" w:eastAsia="Arial" w:hAnsi="Arial"/>
        </w:rPr>
        <w:t xml:space="preserve">A. System Design &amp; Governance Document (25 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5350"/>
        <w:gridCol w:w="750"/>
        <w:gridCol w:w="850"/>
        <w:gridCol w:w="2146"/>
      </w:tblGrid>
      <w:tr>
        <w:trPr>
          <w:tblHeader/>
        </w:trPr>
        <w:tc>
          <w:tcPr>
            <w:tcW w:type="dxa" w:w="6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w:t>
            </w:r>
          </w:p>
        </w:tc>
        <w:tc>
          <w:tcPr>
            <w:tcW w:type="dxa" w:w="53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Criterion &amp; Indicators</w:t>
            </w:r>
          </w:p>
        </w:tc>
        <w:tc>
          <w:tcPr>
            <w:tcW w:type="dxa" w:w="7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Max</w:t>
            </w:r>
          </w:p>
        </w:tc>
        <w:tc>
          <w:tcPr>
            <w:tcW w:type="dxa" w:w="8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Score</w:t>
            </w:r>
          </w:p>
        </w:tc>
        <w:tc>
          <w:tcPr>
            <w:tcW w:type="dxa" w:w="2146"/>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Remarks</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A1</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Project &amp; System Overview (§1, §2.1–2.3)</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Summary states purpose, background/context, and a plain-language system description</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Client organization is described and the POC table is complete (name, email, phone)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End users are grouped by role, one paragraph per group</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Objectives are specific outcomes, not general goals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Success criteria give a target completion date and measurable indicators</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0.75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client or POC table.</w:t>
            </w:r>
          </w:p>
          <w:p>
            <w:pPr>
              <w:spacing w:after="20" w:before="0"/>
              <w:ind w:left="130" w:hanging="130"/>
            </w:pPr>
            <w:r>
              <w:rPr>
                <w:rFonts w:ascii="Arial" w:cs="Arial" w:eastAsia="Arial" w:hAnsi="Arial"/>
                <w:sz w:val="16"/>
                <w:szCs w:val="16"/>
              </w:rPr>
              <w:t xml:space="preserve">- No objectives; no target date.</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A2</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System General Information (§3.1, §3.3–3.7)</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Architecture paragraph explains the major layers and how they connect</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Each core component (cloud, database, language, framework, other) states its purpose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Business flow diagram is attached, with one explanatory paragraph per process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Permission matrix is completed for PRODUCTION, UAT, and TESTING using actual group names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Database metadata link, environment links (System, API, Database), and service accounts are filled in, or marked N/A with a reason</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Flow explained in one paragraph; no decisions.</w:t>
            </w:r>
          </w:p>
          <w:p>
            <w:pPr>
              <w:spacing w:after="20" w:before="0"/>
              <w:ind w:left="130" w:hanging="130"/>
            </w:pPr>
            <w:r>
              <w:rPr>
                <w:rFonts w:ascii="Arial" w:cs="Arial" w:eastAsia="Arial" w:hAnsi="Arial"/>
                <w:sz w:val="16"/>
                <w:szCs w:val="16"/>
              </w:rPr>
              <w:t xml:space="preserve">- One application matrix; no PROD/UAT/TEST or group names.</w:t>
            </w:r>
          </w:p>
          <w:p>
            <w:pPr>
              <w:spacing w:after="20" w:before="0"/>
              <w:ind w:left="130" w:hanging="130"/>
            </w:pPr>
            <w:r>
              <w:rPr>
                <w:rFonts w:ascii="Arial" w:cs="Arial" w:eastAsia="Arial" w:hAnsi="Arial"/>
                <w:sz w:val="16"/>
                <w:szCs w:val="16"/>
              </w:rPr>
              <w:t xml:space="preserve">- No DB metadata link; env links and service accounts are OWNER INPUT.</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A3</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User Feedback &amp; UX Considerations (§3.2)</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Pre-launch methods are identified and classified as explicit/implicit and qualitative/quantitative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2–4 key findings, each labeled Bug Report, Usability Issue, Feature Request, or Positive Feedback</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A prioritization framework (MoSCoW or Impact vs. Effort) is applied and the top items are justified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Each resulting design change is traced to a decision in §3.1 or §4.1</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Post-launch feedback channels, review frequency, and the user communication plan are stated</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0.75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pre-launch feedback or prioritization.</w:t>
            </w:r>
          </w:p>
          <w:p>
            <w:pPr>
              <w:spacing w:after="20" w:before="0"/>
              <w:ind w:left="130" w:hanging="130"/>
            </w:pPr>
            <w:r>
              <w:rPr>
                <w:rFonts w:ascii="Arial" w:cs="Arial" w:eastAsia="Arial" w:hAnsi="Arial"/>
                <w:sz w:val="16"/>
                <w:szCs w:val="16"/>
              </w:rPr>
              <w:t xml:space="preserve">- Post-launch channel is OWNER INPUT.</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A4</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Functional Requirements (§4.1)</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Every major feature has its own paragraph describing what it does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Features trace back to the client needs stated in §1–2</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User tech specs are concrete (OS, processor/RAM, browser, internet)</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user tech specs (OS, browser versions, hardware).</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A5</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Technical Governance Standards (§4.2 intro, §4.2.1–4.2.7)</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§4.2 intro explains why governance is needed and what it controls and standardizes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Roles (4.2.1) map to the PROD permission matrix, state accountability, and name who responds when problems arise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Naming convention (4.2.2) specifies casing per element, prefixes/suffixes, abbreviation rules, and exceptions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Coding standards (4.2.3) name principles, a style guide, formatting, commenting, error handling, and enforcement tools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Environment variables (4.2.4) cover naming, storage location, what must not be hardcoded, and .env / .env.example handling</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Folder structure (4.2.5) states the organizing principle and describes the top-level folders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Taxonomy/metadata (4.2.6) covers DB schema, API, code documentation tags, versioning, and config/feature metadata</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Deployment standards (4.2.7) cover environments, pipeline, branching, approvals, and rollback</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5</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Naming is one line; no coding standards.</w:t>
            </w:r>
          </w:p>
          <w:p>
            <w:pPr>
              <w:spacing w:after="20" w:before="0"/>
              <w:ind w:left="130" w:hanging="130"/>
            </w:pPr>
            <w:r>
              <w:rPr>
                <w:rFonts w:ascii="Arial" w:cs="Arial" w:eastAsia="Arial" w:hAnsi="Arial"/>
                <w:sz w:val="16"/>
                <w:szCs w:val="16"/>
              </w:rPr>
              <w:t xml:space="preserve">- No folder tree or taxonomy standards.</w:t>
            </w:r>
          </w:p>
          <w:p>
            <w:pPr>
              <w:spacing w:after="20" w:before="0"/>
              <w:ind w:left="130" w:hanging="130"/>
            </w:pPr>
            <w:r>
              <w:rPr>
                <w:rFonts w:ascii="Arial" w:cs="Arial" w:eastAsia="Arial" w:hAnsi="Arial"/>
                <w:sz w:val="16"/>
                <w:szCs w:val="16"/>
              </w:rPr>
              <w:t xml:space="preserve">- No branching model.</w:t>
            </w:r>
          </w:p>
          <w:p>
            <w:pPr>
              <w:spacing w:after="20" w:before="0"/>
              <w:ind w:left="130" w:hanging="130"/>
            </w:pPr>
            <w:r>
              <w:rPr>
                <w:rFonts w:ascii="Arial" w:cs="Arial" w:eastAsia="Arial" w:hAnsi="Arial"/>
                <w:sz w:val="16"/>
                <w:szCs w:val="16"/>
              </w:rPr>
              <w:t xml:space="preserve">- 'Store Team Lead' not a defined role.</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A6</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Operational Governance (§4.2.8–4.2.12)</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Access management (4.2.8): tied to the permission matrix, with request/approval process, who grants and revokes, review frequency, and removal process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Security &amp; compliance (4.2.9) cites the Data Privacy Act of 2012 (RA 10173) and other applicable standards or policies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AUP and BYOD are linked in 4.2.9, and the links open</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Data Classification Table is included in 4.2.9</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Data protection, authentication (e.g., MFA/SSO), vulnerability management, and non-compliance consequences are defined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Monitoring (4.2.10) states what is monitored, tools, audit frequency, reviewer, and response to anomalies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Training &amp; support (4.2.11): onboarding, User Manual linked, refreshers, support channels, response times, and self-service resources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Escalation path (4.2.12): ITIL process image, tiers, severity levels, response times per tier, and channels tied to §4.2.1 roles</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5</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1.25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AUP, BYOD, manual not linked; no DCT.</w:t>
            </w:r>
          </w:p>
          <w:p>
            <w:pPr>
              <w:spacing w:after="20" w:before="0"/>
              <w:ind w:left="130" w:hanging="130"/>
            </w:pPr>
            <w:r>
              <w:rPr>
                <w:rFonts w:ascii="Arial" w:cs="Arial" w:eastAsia="Arial" w:hAnsi="Arial"/>
                <w:sz w:val="16"/>
                <w:szCs w:val="16"/>
              </w:rPr>
              <w:t xml:space="preserve">- No vulnerability or 72-hour breach procedure.</w:t>
            </w:r>
          </w:p>
          <w:p>
            <w:pPr>
              <w:spacing w:after="20" w:before="0"/>
              <w:ind w:left="130" w:hanging="130"/>
            </w:pPr>
            <w:r>
              <w:rPr>
                <w:rFonts w:ascii="Arial" w:cs="Arial" w:eastAsia="Arial" w:hAnsi="Arial"/>
                <w:sz w:val="16"/>
                <w:szCs w:val="16"/>
              </w:rPr>
              <w:t xml:space="preserve">- No monitoring frequency or support channel.</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A7</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Implementation &amp; Proposal Summary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Timeline table lists phases, durations or target dates, and a S.M.A.R.T. milestone per phase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Budget table breaks down cost by category and lists team resources with time commitment</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Financial justification connects cost to value or savings (ROI)</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Risk table lists at least four realistic risks with likelihood, impact, and a specific mitigation</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Call to action restates the problem and solution, makes a specific request with a date, and states the next step</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0.75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dates, costs, financial justification or call to action.</w:t>
            </w:r>
          </w:p>
          <w:p>
            <w:pPr>
              <w:spacing w:after="20" w:before="0"/>
              <w:ind w:left="130" w:hanging="130"/>
            </w:pPr>
            <w:r>
              <w:rPr>
                <w:rFonts w:ascii="Arial" w:cs="Arial" w:eastAsia="Arial" w:hAnsi="Arial"/>
                <w:sz w:val="16"/>
                <w:szCs w:val="16"/>
              </w:rPr>
              <w:t xml:space="preserve">- Risk table has no likelihood/impact.</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A8</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Document Quality &amp; Completeness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All red guidance text and placeholders are removed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Cover page, team names, version, and revision history are completed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Table of contents is updated and page numbers are correct</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Writing and formatting are professional and consistent</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0.25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- 24 OWNER INPUT fields.</w:t>
            </w:r>
          </w:p>
          <w:p>
            <w:pPr>
              <w:spacing w:after="20" w:before="0"/>
              <w:ind w:left="130" w:hanging="130"/>
            </w:pPr>
            <w:r>
              <w:rPr>
                <w:rFonts w:ascii="Arial" w:cs="Arial" w:eastAsia="Arial" w:hAnsi="Arial"/>
                <w:sz w:val="16"/>
                <w:szCs w:val="16"/>
              </w:rPr>
              <w:t xml:space="preserve">- No revision history or approval.</w:t>
            </w:r>
          </w:p>
          <w:p>
            <w:pPr>
              <w:spacing w:after="20" w:before="0"/>
              <w:ind w:left="130" w:hanging="130"/>
            </w:pPr>
            <w:r>
              <w:rPr>
                <w:rFonts w:ascii="Arial" w:cs="Arial" w:eastAsia="Arial" w:hAnsi="Arial"/>
                <w:sz w:val="16"/>
                <w:szCs w:val="16"/>
              </w:rPr>
              <w:t xml:space="preserve">- Self-scored rubric result left in.</w:t>
            </w:r>
          </w:p>
        </w:tc>
      </w:tr>
      <w:tr>
        <w:tc>
          <w:tcPr>
            <w:tcW w:type="dxa" w:w="6000"/>
            <w:gridSpan w:val="2"/>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right"/>
            </w:pPr>
            <w:r>
              <w:rPr>
                <w:rFonts w:ascii="Arial" w:cs="Arial" w:eastAsia="Arial" w:hAnsi="Arial"/>
                <w:b/>
                <w:bCs/>
                <w:sz w:val="19"/>
                <w:szCs w:val="19"/>
              </w:rPr>
              <w:t xml:space="preserve">Subtotal – System Design &amp; Governance Document</w:t>
            </w:r>
          </w:p>
        </w:tc>
        <w:tc>
          <w:tcPr>
            <w:tcW w:type="dxa" w:w="7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25</w:t>
            </w:r>
          </w:p>
        </w:tc>
        <w:tc>
          <w:tcPr>
            <w:tcW w:type="dxa" w:w="8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9.25</w:t>
            </w:r>
          </w:p>
        </w:tc>
        <w:tc>
          <w:tcPr>
            <w:tcW w:type="dxa" w:w="2146"/>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pPr>
            <w:r>
              <w:rPr>
                <w:rFonts w:ascii="Arial" w:cs="Arial" w:eastAsia="Arial" w:hAnsi="Arial"/>
                <w:sz w:val="19"/>
                <w:szCs w:val="19"/>
              </w:rPr>
              <w:t xml:space="preserve"/>
            </w:r>
          </w:p>
        </w:tc>
      </w:tr>
    </w:tbl>
    <w:p>
      <w:pPr>
        <w:pStyle w:val="Heading1"/>
        <w:keepNext/>
        <w:pageBreakBefore/>
        <w:spacing w:after="120" w:before="0"/>
      </w:pPr>
      <w:r>
        <w:rPr>
          <w:rFonts w:ascii="Arial" w:cs="Arial" w:eastAsia="Arial" w:hAnsi="Arial"/>
        </w:rPr>
        <w:t xml:space="preserve">B. Acceptable Use Policy (AUP) (8 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5350"/>
        <w:gridCol w:w="750"/>
        <w:gridCol w:w="850"/>
        <w:gridCol w:w="2146"/>
      </w:tblGrid>
      <w:tr>
        <w:trPr>
          <w:tblHeader/>
        </w:trPr>
        <w:tc>
          <w:tcPr>
            <w:tcW w:type="dxa" w:w="6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w:t>
            </w:r>
          </w:p>
        </w:tc>
        <w:tc>
          <w:tcPr>
            <w:tcW w:type="dxa" w:w="53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Criterion &amp; Indicators</w:t>
            </w:r>
          </w:p>
        </w:tc>
        <w:tc>
          <w:tcPr>
            <w:tcW w:type="dxa" w:w="7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Max</w:t>
            </w:r>
          </w:p>
        </w:tc>
        <w:tc>
          <w:tcPr>
            <w:tcW w:type="dxa" w:w="8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Score</w:t>
            </w:r>
          </w:p>
        </w:tc>
        <w:tc>
          <w:tcPr>
            <w:tcW w:type="dxa" w:w="2146"/>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Remarks</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B1</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Document Control &amp; Structure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Header block: document name, date, department, and page numbering</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Effectivity section and revision history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Prepared / Reviewed / Endorsed / Approved block with names and positions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Contact information for policy questions</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organization/department, effective date or revision history.</w:t>
            </w:r>
          </w:p>
          <w:p>
            <w:pPr>
              <w:spacing w:after="20" w:before="0"/>
              <w:ind w:left="130" w:hanging="130"/>
            </w:pPr>
            <w:r>
              <w:rPr>
                <w:rFonts w:ascii="Arial" w:cs="Arial" w:eastAsia="Arial" w:hAnsi="Arial"/>
                <w:sz w:val="16"/>
                <w:szCs w:val="16"/>
              </w:rPr>
              <w:t xml:space="preserve">- 'No separate approval required'.</w:t>
            </w:r>
          </w:p>
          <w:p>
            <w:pPr>
              <w:spacing w:after="20" w:before="0"/>
              <w:ind w:left="130" w:hanging="130"/>
            </w:pPr>
            <w:r>
              <w:rPr>
                <w:rFonts w:ascii="Arial" w:cs="Arial" w:eastAsia="Arial" w:hAnsi="Arial"/>
                <w:sz w:val="16"/>
                <w:szCs w:val="16"/>
              </w:rPr>
              <w:t xml:space="preserve">- No contact for policy questions.</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B2</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Objective &amp; Coverage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Objective is clearly stated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Coverage names the specific users of the team's system</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B3</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Policy Statements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General use of IT assets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Data confidentiality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Software installation and licensing</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Internet and email use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Passwords and account security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Each statement is written as an enforceable rule (must/shall), not a suggestion</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2.25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Licensing not covered.</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B4</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Annexes &amp; Enforcement</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Password standards annex (length, complexity, expiration)</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Blocked or prohibited content annex</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Consequences for violations are stated</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0.25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password or blocked content annex.</w:t>
            </w:r>
          </w:p>
          <w:p>
            <w:pPr>
              <w:spacing w:after="20" w:before="0"/>
              <w:ind w:left="130" w:hanging="130"/>
            </w:pPr>
            <w:r>
              <w:rPr>
                <w:rFonts w:ascii="Arial" w:cs="Arial" w:eastAsia="Arial" w:hAnsi="Arial"/>
                <w:sz w:val="16"/>
                <w:szCs w:val="16"/>
              </w:rPr>
              <w:t xml:space="preserve">- Outcomes not mapped to severity.</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B5</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Alignment &amp; Originality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Tailored to the team's organization and system, not a word-for-word copy of a sample policy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Rules agree with the permission matrix and §4.2.9 of the main document</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0.75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Consistent with main doc, but authority and contacts are OWNER INPUT.</w:t>
            </w:r>
          </w:p>
        </w:tc>
      </w:tr>
      <w:tr>
        <w:tc>
          <w:tcPr>
            <w:tcW w:type="dxa" w:w="6000"/>
            <w:gridSpan w:val="2"/>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right"/>
            </w:pPr>
            <w:r>
              <w:rPr>
                <w:rFonts w:ascii="Arial" w:cs="Arial" w:eastAsia="Arial" w:hAnsi="Arial"/>
                <w:b/>
                <w:bCs/>
                <w:sz w:val="19"/>
                <w:szCs w:val="19"/>
              </w:rPr>
              <w:t xml:space="preserve">Subtotal – Acceptable Use Policy (AUP)</w:t>
            </w:r>
          </w:p>
        </w:tc>
        <w:tc>
          <w:tcPr>
            <w:tcW w:type="dxa" w:w="7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8</w:t>
            </w:r>
          </w:p>
        </w:tc>
        <w:tc>
          <w:tcPr>
            <w:tcW w:type="dxa" w:w="8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4.75</w:t>
            </w:r>
          </w:p>
        </w:tc>
        <w:tc>
          <w:tcPr>
            <w:tcW w:type="dxa" w:w="2146"/>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pPr>
            <w:r>
              <w:rPr>
                <w:rFonts w:ascii="Arial" w:cs="Arial" w:eastAsia="Arial" w:hAnsi="Arial"/>
                <w:sz w:val="19"/>
                <w:szCs w:val="19"/>
              </w:rPr>
              <w:t xml:space="preserve"/>
            </w:r>
          </w:p>
        </w:tc>
      </w:tr>
    </w:tbl>
    <w:p>
      <w:pPr>
        <w:pStyle w:val="Heading1"/>
        <w:keepNext/>
        <w:spacing w:after="120" w:before="240"/>
      </w:pPr>
      <w:r>
        <w:rPr>
          <w:rFonts w:ascii="Arial" w:cs="Arial" w:eastAsia="Arial" w:hAnsi="Arial"/>
        </w:rPr>
        <w:t xml:space="preserve">C. Bring-Your-Own-Device (BYOD) Policy (7 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5350"/>
        <w:gridCol w:w="750"/>
        <w:gridCol w:w="850"/>
        <w:gridCol w:w="2146"/>
      </w:tblGrid>
      <w:tr>
        <w:trPr>
          <w:tblHeader/>
        </w:trPr>
        <w:tc>
          <w:tcPr>
            <w:tcW w:type="dxa" w:w="6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w:t>
            </w:r>
          </w:p>
        </w:tc>
        <w:tc>
          <w:tcPr>
            <w:tcW w:type="dxa" w:w="53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Criterion &amp; Indicators</w:t>
            </w:r>
          </w:p>
        </w:tc>
        <w:tc>
          <w:tcPr>
            <w:tcW w:type="dxa" w:w="7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Max</w:t>
            </w:r>
          </w:p>
        </w:tc>
        <w:tc>
          <w:tcPr>
            <w:tcW w:type="dxa" w:w="8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Score</w:t>
            </w:r>
          </w:p>
        </w:tc>
        <w:tc>
          <w:tcPr>
            <w:tcW w:type="dxa" w:w="2146"/>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Remarks</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C1</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Introduction, Scope &amp; Definitions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Introduction, purpose, scope, and applicability are stated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Definitions include corporate, personal, and public data categories that match the Data Classification Table</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corporate/personal/public data definitions.</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C2</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Roles &amp; Responsibilities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Roles (IT support, security, approvers, users) are defined and match §4.2.1 of the main document</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roles section; roles scattered but consistent with main doc.</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C3</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Guidelines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Acceptable, personal, and prohibited use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Device registration process and the information required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Device security requirements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Special-access approval for critical systems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Data privacy and storage rules</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special-access approval for admin work on personal devices.</w:t>
            </w:r>
          </w:p>
          <w:p>
            <w:pPr>
              <w:spacing w:after="20" w:before="0"/>
              <w:ind w:left="130" w:hanging="130"/>
            </w:pPr>
            <w:r>
              <w:rPr>
                <w:rFonts w:ascii="Arial" w:cs="Arial" w:eastAsia="Arial" w:hAnsi="Arial"/>
                <w:sz w:val="16"/>
                <w:szCs w:val="16"/>
              </w:rPr>
              <w:t xml:space="preserve">- Supported OS/browsers are OWNER INPUT.</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C4</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Incident &amp; Device Lifecycle Handling</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Lost or stolen device reporting: who to contact, urgent channel, and formal follow-up</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Device change and access revocation on separation</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Scope of IT support (what is and is not covered)</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0.75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Lost-device channels are OWNER INPUT.</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C5</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Enforcement &amp; Maintenance</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Minor and major violations with their consequences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Who enforces the policy, the review cycle, and adoption/effectivity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Document control block (header, revision history, approvals)</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0.25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minor/major violations, named enforcer, effective date or approval.</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C6</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Consistency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No conflicts with the AUP (e.g., password rules, blocked content, approvers)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No conflicts with the main document (roles, data classification, escalation)</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sz w:val="19"/>
                <w:szCs w:val="19"/>
              </w:rPr>
              <w:t xml:space="preserve"/>
            </w:r>
          </w:p>
        </w:tc>
      </w:tr>
      <w:tr>
        <w:tc>
          <w:tcPr>
            <w:tcW w:type="dxa" w:w="6000"/>
            <w:gridSpan w:val="2"/>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right"/>
            </w:pPr>
            <w:r>
              <w:rPr>
                <w:rFonts w:ascii="Arial" w:cs="Arial" w:eastAsia="Arial" w:hAnsi="Arial"/>
                <w:b/>
                <w:bCs/>
                <w:sz w:val="19"/>
                <w:szCs w:val="19"/>
              </w:rPr>
              <w:t xml:space="preserve">Subtotal – Bring-Your-Own-Device (BYOD) Policy</w:t>
            </w:r>
          </w:p>
        </w:tc>
        <w:tc>
          <w:tcPr>
            <w:tcW w:type="dxa" w:w="7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7</w:t>
            </w:r>
          </w:p>
        </w:tc>
        <w:tc>
          <w:tcPr>
            <w:tcW w:type="dxa" w:w="8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4.5</w:t>
            </w:r>
          </w:p>
        </w:tc>
        <w:tc>
          <w:tcPr>
            <w:tcW w:type="dxa" w:w="2146"/>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pPr>
            <w:r>
              <w:rPr>
                <w:rFonts w:ascii="Arial" w:cs="Arial" w:eastAsia="Arial" w:hAnsi="Arial"/>
                <w:sz w:val="19"/>
                <w:szCs w:val="19"/>
              </w:rPr>
              <w:t xml:space="preserve"/>
            </w:r>
          </w:p>
        </w:tc>
      </w:tr>
    </w:tbl>
    <w:p>
      <w:pPr>
        <w:pStyle w:val="Heading1"/>
        <w:keepNext/>
        <w:pageBreakBefore/>
        <w:spacing w:after="120" w:before="0"/>
      </w:pPr>
      <w:r>
        <w:rPr>
          <w:rFonts w:ascii="Arial" w:cs="Arial" w:eastAsia="Arial" w:hAnsi="Arial"/>
        </w:rPr>
        <w:t xml:space="preserve">D. User Manual (10 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5350"/>
        <w:gridCol w:w="750"/>
        <w:gridCol w:w="850"/>
        <w:gridCol w:w="2146"/>
      </w:tblGrid>
      <w:tr>
        <w:trPr>
          <w:tblHeader/>
        </w:trPr>
        <w:tc>
          <w:tcPr>
            <w:tcW w:type="dxa" w:w="6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w:t>
            </w:r>
          </w:p>
        </w:tc>
        <w:tc>
          <w:tcPr>
            <w:tcW w:type="dxa" w:w="53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Criterion &amp; Indicators</w:t>
            </w:r>
          </w:p>
        </w:tc>
        <w:tc>
          <w:tcPr>
            <w:tcW w:type="dxa" w:w="7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Max</w:t>
            </w:r>
          </w:p>
        </w:tc>
        <w:tc>
          <w:tcPr>
            <w:tcW w:type="dxa" w:w="85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Score</w:t>
            </w:r>
          </w:p>
        </w:tc>
        <w:tc>
          <w:tcPr>
            <w:tcW w:type="dxa" w:w="2146"/>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Remarks</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D1</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Structure &amp; Introduction</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Cover, version number, and table of contents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Purpose and intended audience are stated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System requirements match the §4.1 tech specs</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system requirements section.</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D2</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Getting Started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How to get an account or register</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Login steps, including MFA if used</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Password reset/change steps that follow the AUP password rules</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account/owner registration steps.</w:t>
            </w:r>
          </w:p>
          <w:p>
            <w:pPr>
              <w:spacing w:after="20" w:before="0"/>
              <w:ind w:left="130" w:hanging="130"/>
            </w:pPr>
            <w:r>
              <w:rPr>
                <w:rFonts w:ascii="Arial" w:cs="Arial" w:eastAsia="Arial" w:hAnsi="Arial"/>
                <w:sz w:val="16"/>
                <w:szCs w:val="16"/>
              </w:rPr>
              <w:t xml:space="preserve">- Reset is one line; password rules not stated.</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D3</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Feature Walkthroughs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Step-by-step instructions for every feature listed in §4.1</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Organized by user role, consistent with the permission matrix</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Annotated screenshots for key steps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Expected result shown after each task</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Organized by module, not role.</w:t>
            </w:r>
          </w:p>
          <w:p>
            <w:pPr>
              <w:spacing w:after="20" w:before="0"/>
              <w:ind w:left="130" w:hanging="130"/>
            </w:pPr>
            <w:r>
              <w:rPr>
                <w:rFonts w:ascii="Arial" w:cs="Arial" w:eastAsia="Arial" w:hAnsi="Arial"/>
                <w:sz w:val="16"/>
                <w:szCs w:val="16"/>
              </w:rPr>
              <w:t xml:space="preserve">- Screenshots at the end, no callouts, test data.</w:t>
            </w:r>
          </w:p>
          <w:p>
            <w:pPr>
              <w:spacing w:after="20" w:before="0"/>
              <w:ind w:left="130" w:hanging="130"/>
            </w:pPr>
            <w:r>
              <w:rPr>
                <w:rFonts w:ascii="Arial" w:cs="Arial" w:eastAsia="Arial" w:hAnsi="Arial"/>
                <w:sz w:val="16"/>
                <w:szCs w:val="16"/>
              </w:rPr>
              <w:t xml:space="preserve">- Returns/voids and invite codes lack steps.</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D4</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Troubleshooting &amp; Support</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Common errors with their fixes</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FAQ section</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Support contacts and escalation steps match §4.2.11–4.2.12</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No FAQ.</w:t>
            </w:r>
          </w:p>
          <w:p>
            <w:pPr>
              <w:spacing w:after="20" w:before="0"/>
              <w:ind w:left="130" w:hanging="130"/>
            </w:pPr>
            <w:r>
              <w:rPr>
                <w:rFonts w:ascii="Arial" w:cs="Arial" w:eastAsia="Arial" w:hAnsi="Arial"/>
                <w:sz w:val="16"/>
                <w:szCs w:val="16"/>
              </w:rPr>
              <w:t xml:space="preserve">- Support contact is OWNER INPUT; tiers not explained.</w:t>
            </w:r>
          </w:p>
        </w:tc>
      </w:tr>
      <w:tr>
        <w:trPr>
          <w:cantSplit/>
        </w:trPr>
        <w:tc>
          <w:tcPr>
            <w:tcW w:type="dxa" w:w="6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D5</w:t>
            </w:r>
          </w:p>
        </w:tc>
        <w:tc>
          <w:tcPr>
            <w:tcW w:type="dxa" w:w="53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60" w:before="0"/>
            </w:pPr>
            <w:r>
              <w:rPr>
                <w:rFonts w:ascii="Arial" w:cs="Arial" w:eastAsia="Arial" w:hAnsi="Arial"/>
                <w:b/>
                <w:bCs/>
                <w:sz w:val="20"/>
                <w:szCs w:val="20"/>
              </w:rPr>
              <w:t xml:space="preserve">Clarity &amp; Usability</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Plain language that a non-technical user can follow</w:t>
            </w:r>
          </w:p>
          <w:p>
            <w:pPr>
              <w:tabs>
                <w:tab w:val="left" w:pos="300"/>
              </w:tabs>
              <w:spacing w:after="30"/>
              <w:ind w:left="300" w:hanging="300"/>
            </w:pPr>
            <w:r>
              <w:rPr>
                <w:rFonts w:ascii="Arial" w:cs="Arial" w:eastAsia="Arial" w:hAnsi="Arial"/>
                <w:sz w:val="19"/>
                <w:szCs w:val="19"/>
              </w:rPr>
              <w:t xml:space="preserve">☐	</w:t>
            </w:r>
            <w:r>
              <w:rPr>
                <w:rFonts w:ascii="Arial" w:cs="Arial" w:eastAsia="Arial" w:hAnsi="Arial"/>
                <w:sz w:val="18"/>
                <w:szCs w:val="18"/>
              </w:rPr>
              <w:t xml:space="preserve">Consistent terminology and clean formatting</w:t>
            </w:r>
          </w:p>
        </w:tc>
        <w:tc>
          <w:tcPr>
            <w:tcW w:type="dxa" w:w="75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0.25</w:t>
            </w:r>
          </w:p>
        </w:tc>
        <w:tc>
          <w:tcPr>
            <w:tcW w:type="dxa" w:w="21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ind w:left="130" w:hanging="130"/>
            </w:pPr>
            <w:r>
              <w:rPr>
                <w:rFonts w:ascii="Arial" w:cs="Arial" w:eastAsia="Arial" w:hAnsi="Arial"/>
                <w:sz w:val="16"/>
                <w:szCs w:val="16"/>
              </w:rPr>
              <w:t xml:space="preserve">- Jargon (IndexedDB, RPC/function names, localhost).</w:t>
            </w:r>
          </w:p>
          <w:p>
            <w:pPr>
              <w:spacing w:after="20" w:before="0"/>
              <w:ind w:left="130" w:hanging="130"/>
            </w:pPr>
            <w:r>
              <w:rPr>
                <w:rFonts w:ascii="Arial" w:cs="Arial" w:eastAsia="Arial" w:hAnsi="Arial"/>
                <w:sz w:val="16"/>
                <w:szCs w:val="16"/>
              </w:rPr>
              <w:t xml:space="preserve">- Duplicate 'Table 1'; placeholders.</w:t>
            </w:r>
          </w:p>
        </w:tc>
      </w:tr>
      <w:tr>
        <w:tc>
          <w:tcPr>
            <w:tcW w:type="dxa" w:w="6000"/>
            <w:gridSpan w:val="2"/>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right"/>
            </w:pPr>
            <w:r>
              <w:rPr>
                <w:rFonts w:ascii="Arial" w:cs="Arial" w:eastAsia="Arial" w:hAnsi="Arial"/>
                <w:b/>
                <w:bCs/>
                <w:sz w:val="19"/>
                <w:szCs w:val="19"/>
              </w:rPr>
              <w:t xml:space="preserve">Subtotal – User Manual</w:t>
            </w:r>
          </w:p>
        </w:tc>
        <w:tc>
          <w:tcPr>
            <w:tcW w:type="dxa" w:w="7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10</w:t>
            </w:r>
          </w:p>
        </w:tc>
        <w:tc>
          <w:tcPr>
            <w:tcW w:type="dxa" w:w="85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4.75</w:t>
            </w:r>
          </w:p>
        </w:tc>
        <w:tc>
          <w:tcPr>
            <w:tcW w:type="dxa" w:w="2146"/>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pPr>
            <w:r>
              <w:rPr>
                <w:rFonts w:ascii="Arial" w:cs="Arial" w:eastAsia="Arial" w:hAnsi="Arial"/>
                <w:sz w:val="19"/>
                <w:szCs w:val="19"/>
              </w:rPr>
              <w:t xml:space="preserve"/>
            </w:r>
          </w:p>
        </w:tc>
      </w:tr>
    </w:tbl>
    <w:p>
      <w:pPr>
        <w:pStyle w:val="Heading1"/>
        <w:pageBreakBefore/>
        <w:spacing w:after="120" w:before="0"/>
      </w:pPr>
      <w:r>
        <w:rPr>
          <w:rFonts w:ascii="Arial" w:cs="Arial" w:eastAsia="Arial" w:hAnsi="Arial"/>
        </w:rPr>
        <w:t xml:space="preserve">Score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746"/>
        <w:gridCol w:w="2000"/>
        <w:gridCol w:w="2000"/>
      </w:tblGrid>
      <w:tr>
        <w:trPr>
          <w:tblHeader/>
        </w:trPr>
        <w:tc>
          <w:tcPr>
            <w:tcW w:type="dxa" w:w="5746"/>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pPr>
            <w:r>
              <w:rPr>
                <w:rFonts w:ascii="Arial" w:cs="Arial" w:eastAsia="Arial" w:hAnsi="Arial"/>
                <w:b/>
                <w:bCs/>
                <w:color w:val="FFFFFF"/>
                <w:sz w:val="19"/>
                <w:szCs w:val="19"/>
              </w:rPr>
              <w:t xml:space="preserve">Component</w:t>
            </w:r>
          </w:p>
        </w:tc>
        <w:tc>
          <w:tcPr>
            <w:tcW w:type="dxa" w:w="200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Max Points</w:t>
            </w:r>
          </w:p>
        </w:tc>
        <w:tc>
          <w:tcPr>
            <w:tcW w:type="dxa" w:w="2000"/>
            <w:tcBorders>
              <w:top w:val="single" w:color="808080" w:sz="4"/>
              <w:left w:val="single" w:color="808080" w:sz="4"/>
              <w:bottom w:val="single" w:color="808080" w:sz="4"/>
              <w:right w:val="single" w:color="808080" w:sz="4"/>
            </w:tcBorders>
            <w:shd w:fill="1F3864" w:color="auto" w:val="clear"/>
            <w:tcMar>
              <w:top w:type="dxa" w:w="60"/>
              <w:left w:type="dxa" w:w="100"/>
              <w:bottom w:type="dxa" w:w="60"/>
              <w:right w:type="dxa" w:w="100"/>
            </w:tcMar>
            <w:vAlign w:val="center"/>
          </w:tcPr>
          <w:p>
            <w:pPr>
              <w:spacing w:after="40" w:before="0"/>
              <w:jc w:val="center"/>
            </w:pPr>
            <w:r>
              <w:rPr>
                <w:rFonts w:ascii="Arial" w:cs="Arial" w:eastAsia="Arial" w:hAnsi="Arial"/>
                <w:b/>
                <w:bCs/>
                <w:color w:val="FFFFFF"/>
                <w:sz w:val="19"/>
                <w:szCs w:val="19"/>
              </w:rPr>
              <w:t xml:space="preserve">Score</w:t>
            </w:r>
          </w:p>
        </w:tc>
      </w:tr>
      <w:tr>
        <w:trPr>
          <w:trHeight w:val="440" w:hRule="atLeast"/>
        </w:trPr>
        <w:tc>
          <w:tcPr>
            <w:tcW w:type="dxa" w:w="5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A. System Design &amp; Governance Document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19"/>
                <w:szCs w:val="19"/>
              </w:rPr>
              <w:t xml:space="preserve">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9.25</w:t>
            </w:r>
          </w:p>
        </w:tc>
      </w:tr>
      <w:tr>
        <w:trPr>
          <w:trHeight w:val="440" w:hRule="atLeast"/>
        </w:trPr>
        <w:tc>
          <w:tcPr>
            <w:tcW w:type="dxa" w:w="5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B. Acceptable Use Policy (AUP)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19"/>
                <w:szCs w:val="19"/>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4.75</w:t>
            </w:r>
          </w:p>
        </w:tc>
      </w:tr>
      <w:tr>
        <w:trPr>
          <w:trHeight w:val="440" w:hRule="atLeast"/>
        </w:trPr>
        <w:tc>
          <w:tcPr>
            <w:tcW w:type="dxa" w:w="5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C. Bring-Your-Own-Device (BYOD) Policy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19"/>
                <w:szCs w:val="19"/>
              </w:rPr>
              <w:t xml:space="preserve">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4.5</w:t>
            </w:r>
          </w:p>
        </w:tc>
      </w:tr>
      <w:tr>
        <w:trPr>
          <w:trHeight w:val="440" w:hRule="atLeast"/>
        </w:trPr>
        <w:tc>
          <w:tcPr>
            <w:tcW w:type="dxa" w:w="5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pPr>
            <w:r>
              <w:rPr>
                <w:rFonts w:ascii="Arial" w:cs="Arial" w:eastAsia="Arial" w:hAnsi="Arial"/>
                <w:sz w:val="19"/>
                <w:szCs w:val="19"/>
              </w:rPr>
              <w:t xml:space="preserve">D. User Manual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19"/>
                <w:szCs w:val="19"/>
              </w:rPr>
              <w:t xml:space="preserve">10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4.75</w:t>
            </w:r>
          </w:p>
        </w:tc>
      </w:tr>
      <w:tr>
        <w:trPr>
          <w:trHeight w:val="480" w:hRule="atLeast"/>
        </w:trPr>
        <w:tc>
          <w:tcPr>
            <w:tcW w:type="dxa" w:w="5746"/>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center"/>
          </w:tcPr>
          <w:p>
            <w:pPr>
              <w:spacing w:after="40" w:before="0"/>
              <w:jc w:val="right"/>
            </w:pPr>
            <w:r>
              <w:rPr>
                <w:rFonts w:ascii="Arial" w:cs="Arial" w:eastAsia="Arial" w:hAnsi="Arial"/>
                <w:b/>
                <w:bCs/>
                <w:sz w:val="19"/>
                <w:szCs w:val="19"/>
              </w:rPr>
              <w:t xml:space="preserve">TOTAL</w:t>
            </w:r>
          </w:p>
        </w:tc>
        <w:tc>
          <w:tcPr>
            <w:tcW w:type="dxa" w:w="200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center"/>
          </w:tcPr>
          <w:p>
            <w:pPr>
              <w:spacing w:after="40" w:before="0"/>
              <w:jc w:val="center"/>
            </w:pPr>
            <w:r>
              <w:rPr>
                <w:rFonts w:ascii="Arial" w:cs="Arial" w:eastAsia="Arial" w:hAnsi="Arial"/>
                <w:b/>
                <w:bCs/>
                <w:sz w:val="19"/>
                <w:szCs w:val="19"/>
              </w:rPr>
              <w:t xml:space="preserve">50</w:t>
            </w:r>
          </w:p>
        </w:tc>
        <w:tc>
          <w:tcPr>
            <w:tcW w:type="dxa" w:w="2000"/>
            <w:tcBorders>
              <w:top w:val="single" w:color="808080" w:sz="4"/>
              <w:left w:val="single" w:color="808080" w:sz="4"/>
              <w:bottom w:val="single" w:color="808080" w:sz="4"/>
              <w:right w:val="single" w:color="808080" w:sz="4"/>
            </w:tcBorders>
            <w:shd w:fill="DCE3F0" w:color="auto" w:val="clear"/>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23.25</w:t>
            </w:r>
          </w:p>
        </w:tc>
      </w:tr>
      <w:tr>
        <w:trPr>
          <w:trHeight w:val="480" w:hRule="atLeast"/>
        </w:trPr>
        <w:tc>
          <w:tcPr>
            <w:tcW w:type="dxa" w:w="57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right"/>
            </w:pPr>
            <w:r>
              <w:rPr>
                <w:rFonts w:ascii="Arial" w:cs="Arial" w:eastAsia="Arial" w:hAnsi="Arial"/>
                <w:i/>
                <w:iCs/>
                <w:sz w:val="19"/>
                <w:szCs w:val="19"/>
              </w:rPr>
              <w:t xml:space="preserve">Adjusted score if BYOD waived: (Total ÷ 45) × 50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0"/>
              <w:jc w:val="center"/>
            </w:pPr>
            <w:r>
              <w:rPr>
                <w:rFonts w:ascii="Arial" w:cs="Arial" w:eastAsia="Arial" w:hAnsi="Arial"/>
                <w:sz w:val="19"/>
                <w:szCs w:val="19"/>
              </w:rPr>
              <w:t xml:space="preserve">50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jc w:val="center"/>
            </w:pPr>
            <w:r>
              <w:rPr>
                <w:rFonts w:ascii="Arial" w:cs="Arial" w:eastAsia="Arial" w:hAnsi="Arial"/>
                <w:b/>
                <w:bCs/>
                <w:sz w:val="19"/>
                <w:szCs w:val="19"/>
              </w:rPr>
              <w:t xml:space="preserve">N/A (BYOD submitted)</w:t>
            </w:r>
          </w:p>
        </w:tc>
      </w:tr>
    </w:tbl>
    <w:p>
      <w:pPr>
        <w:pStyle w:val="Heading2"/>
        <w:spacing w:after="100" w:before="200"/>
      </w:pPr>
      <w:r>
        <w:rPr>
          <w:rFonts w:ascii="Arial" w:cs="Arial" w:eastAsia="Arial" w:hAnsi="Arial"/>
        </w:rPr>
        <w:t xml:space="preserve">Evaluator Comments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Strengths:</w:t>
            </w:r>
          </w:p>
          <w:p>
            <w:pPr>
              <w:spacing w:after="40" w:before="0"/>
              <w:ind w:left="130" w:hanging="130"/>
            </w:pPr>
            <w:r>
              <w:rPr>
                <w:rFonts w:ascii="Arial" w:cs="Arial" w:eastAsia="Arial" w:hAnsi="Arial"/>
                <w:sz w:val="18"/>
                <w:szCs w:val="18"/>
              </w:rPr>
              <w:t xml:space="preserve">- Technical design is specific: architecture, functional requirements, data model, store-scoped access and offline handling.</w:t>
            </w:r>
          </w:p>
          <w:p>
            <w:pPr>
              <w:spacing w:after="40" w:before="0"/>
              <w:ind w:left="130" w:hanging="130"/>
            </w:pPr>
            <w:r>
              <w:rPr>
                <w:rFonts w:ascii="Arial" w:cs="Arial" w:eastAsia="Arial" w:hAnsi="Arial"/>
                <w:sz w:val="18"/>
                <w:szCs w:val="18"/>
              </w:rPr>
              <w:t xml:space="preserve">- The AUP and BYOD policies are detailed and consistent with each other, with acknowledgment forms.</w:t>
            </w:r>
          </w:p>
          <w:p>
            <w:pPr>
              <w:spacing w:after="40" w:before="0"/>
              <w:ind w:left="130" w:hanging="130"/>
            </w:pPr>
            <w:r>
              <w:rPr>
                <w:rFonts w:ascii="Arial" w:cs="Arial" w:eastAsia="Arial" w:hAnsi="Arial"/>
                <w:sz w:val="18"/>
                <w:szCs w:val="18"/>
              </w:rPr>
              <w:t xml:space="preserve">- The manual has step-by-step procedures and a practical troubleshooting table.</w:t>
            </w:r>
          </w:p>
        </w:tc>
      </w:tr>
      <w:tr>
        <w:trPr>
          <w:trHeight w:val="1500" w:hRule="atLeast"/>
        </w:trPr>
        <w:tc>
          <w:tcPr>
            <w:tcW w:type="dxa" w:w="97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Areas for Improvement:</w:t>
            </w:r>
          </w:p>
          <w:p>
            <w:pPr>
              <w:spacing w:after="40" w:before="0"/>
              <w:ind w:left="130" w:hanging="130"/>
            </w:pPr>
            <w:r>
              <w:rPr>
                <w:rFonts w:ascii="Arial" w:cs="Arial" w:eastAsia="Arial" w:hAnsi="Arial"/>
                <w:sz w:val="18"/>
                <w:szCs w:val="18"/>
              </w:rPr>
              <w:t xml:space="preserve">- The main document does not follow the required template; several required sections are missing (objectives, user feedback, environments, governance standards, implementation plan).</w:t>
            </w:r>
          </w:p>
          <w:p>
            <w:pPr>
              <w:spacing w:after="40" w:before="0"/>
              <w:ind w:left="130" w:hanging="130"/>
            </w:pPr>
            <w:r>
              <w:rPr>
                <w:rFonts w:ascii="Arial" w:cs="Arial" w:eastAsia="Arial" w:hAnsi="Arial"/>
                <w:sz w:val="18"/>
                <w:szCs w:val="18"/>
              </w:rPr>
              <w:t xml:space="preserve">- About 30 'OWNER INPUT' placeholders remain across the four documents.</w:t>
            </w:r>
          </w:p>
          <w:p>
            <w:pPr>
              <w:spacing w:after="40" w:before="0"/>
              <w:ind w:left="130" w:hanging="130"/>
            </w:pPr>
            <w:r>
              <w:rPr>
                <w:rFonts w:ascii="Arial" w:cs="Arial" w:eastAsia="Arial" w:hAnsi="Arial"/>
                <w:sz w:val="18"/>
                <w:szCs w:val="18"/>
              </w:rPr>
              <w:t xml:space="preserve">- No client, POC, team list, revision history or approvals.</w:t>
            </w:r>
          </w:p>
          <w:p>
            <w:pPr>
              <w:spacing w:after="40" w:before="0"/>
              <w:ind w:left="130" w:hanging="130"/>
            </w:pPr>
            <w:r>
              <w:rPr>
                <w:rFonts w:ascii="Arial" w:cs="Arial" w:eastAsia="Arial" w:hAnsi="Arial"/>
                <w:sz w:val="18"/>
                <w:szCs w:val="18"/>
              </w:rPr>
              <w:t xml:space="preserve">- The manual uses developer terms and places screenshots away from the steps.</w:t>
            </w:r>
          </w:p>
        </w:tc>
      </w:tr>
      <w:tr>
        <w:trPr>
          <w:trHeight w:val="1500" w:hRule="atLeast"/>
        </w:trPr>
        <w:tc>
          <w:tcPr>
            <w:tcW w:type="dxa" w:w="97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0"/>
            </w:pPr>
            <w:r>
              <w:rPr>
                <w:rFonts w:ascii="Arial" w:cs="Arial" w:eastAsia="Arial" w:hAnsi="Arial"/>
                <w:b/>
                <w:bCs/>
                <w:sz w:val="19"/>
                <w:szCs w:val="19"/>
              </w:rPr>
              <w:t xml:space="preserve">Required Revisions (if any):</w:t>
            </w:r>
          </w:p>
          <w:p>
            <w:pPr>
              <w:spacing w:after="40" w:before="0"/>
              <w:ind w:left="130" w:hanging="130"/>
            </w:pPr>
            <w:r>
              <w:rPr>
                <w:rFonts w:ascii="Arial" w:cs="Arial" w:eastAsia="Arial" w:hAnsi="Arial"/>
                <w:sz w:val="18"/>
                <w:szCs w:val="18"/>
              </w:rPr>
              <w:t xml:space="preserve">- Restructure the main document to the template and fill every section.</w:t>
            </w:r>
          </w:p>
          <w:p>
            <w:pPr>
              <w:spacing w:after="40" w:before="0"/>
              <w:ind w:left="130" w:hanging="130"/>
            </w:pPr>
            <w:r>
              <w:rPr>
                <w:rFonts w:ascii="Arial" w:cs="Arial" w:eastAsia="Arial" w:hAnsi="Arial"/>
                <w:sz w:val="18"/>
                <w:szCs w:val="18"/>
              </w:rPr>
              <w:t xml:space="preserve">- Replace all OWNER INPUT fields with actual values or N/A with a reason.</w:t>
            </w:r>
          </w:p>
          <w:p>
            <w:pPr>
              <w:spacing w:after="40" w:before="0"/>
              <w:ind w:left="130" w:hanging="130"/>
            </w:pPr>
            <w:r>
              <w:rPr>
                <w:rFonts w:ascii="Arial" w:cs="Arial" w:eastAsia="Arial" w:hAnsi="Arial"/>
                <w:sz w:val="18"/>
                <w:szCs w:val="18"/>
              </w:rPr>
              <w:t xml:space="preserve">- Add PROD/UAT/TEST matrices, a Data Classification Table, and links to the AUP, BYOD and manual.</w:t>
            </w:r>
          </w:p>
          <w:p>
            <w:pPr>
              <w:spacing w:after="40" w:before="0"/>
              <w:ind w:left="130" w:hanging="130"/>
            </w:pPr>
            <w:r>
              <w:rPr>
                <w:rFonts w:ascii="Arial" w:cs="Arial" w:eastAsia="Arial" w:hAnsi="Arial"/>
                <w:sz w:val="18"/>
                <w:szCs w:val="18"/>
              </w:rPr>
              <w:t xml:space="preserve">- Add a timeline with dates, a budget, a financial justification and a dated call to action.</w:t>
            </w:r>
          </w:p>
          <w:p>
            <w:pPr>
              <w:spacing w:after="40" w:before="0"/>
              <w:ind w:left="130" w:hanging="130"/>
            </w:pPr>
            <w:r>
              <w:rPr>
                <w:rFonts w:ascii="Arial" w:cs="Arial" w:eastAsia="Arial" w:hAnsi="Arial"/>
                <w:sz w:val="18"/>
                <w:szCs w:val="18"/>
              </w:rPr>
              <w:t xml:space="preserve">- Remove the self-scored rubric result and the rubric traceability section.</w:t>
            </w:r>
          </w:p>
        </w:tc>
      </w:tr>
    </w:tbl>
    <w:p>
      <w:pPr>
        <w:spacing w:before="240" w:after="0"/>
      </w:pPr>
      <w:r>
        <w:rPr>
          <w:rFonts w:ascii="Arial" w:cs="Arial" w:eastAsia="Arial" w:hAnsi="Arial"/>
          <w:sz w:val="19"/>
          <w:szCs w:val="19"/>
        </w:rPr>
        <w:t xml:space="preserve">Wilchin Dipolog                                                                       October 6, 2026</w:t>
      </w:r>
    </w:p>
    <w:p>
      <w:pPr>
        <w:spacing w:after="0" w:before="480"/>
      </w:pPr>
      <w:r>
        <w:rPr>
          <w:rFonts w:ascii="Arial" w:cs="Arial" w:eastAsia="Arial" w:hAnsi="Arial"/>
          <w:sz w:val="20"/>
          <w:szCs w:val="20"/>
        </w:rPr>
        <w:t xml:space="preserve">______________________________________          ____________________</w:t>
      </w:r>
    </w:p>
    <w:p>
      <w:pPr>
        <w:spacing w:after="0"/>
      </w:pPr>
      <w:r>
        <w:rPr>
          <w:rFonts w:ascii="Arial" w:cs="Arial" w:eastAsia="Arial" w:hAnsi="Arial"/>
          <w:sz w:val="18"/>
          <w:szCs w:val="18"/>
        </w:rPr>
        <w:t xml:space="preserve">Evaluator Name &amp; Signature                                                         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Managing IT Resources – Final Project Rubric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Arial" w:cs="Arial" w:eastAsia="Arial" w:hAnsi="Arial"/>
      <w:color w:val="808080"/>
      <w:sz w:val="16"/>
      <w:szCs w:val="16"/>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2026-09-28T06:18:00.008Z</dcterms:created>
  <dcterms:modified xsi:type="dcterms:W3CDTF">2026-09-28T06:18:00.008Z</dcterms:modified>
</cp:coreProperties>
</file>

<file path=docProps/custom.xml><?xml version="1.0" encoding="utf-8"?>
<Properties xmlns="http://schemas.openxmlformats.org/officeDocument/2006/custom-properties" xmlns:vt="http://schemas.openxmlformats.org/officeDocument/2006/docPropsVTypes"/>
</file>