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160"/>
        <w:jc w:val="center"/>
      </w:pPr>
      <w:r>
        <w:rPr>
          <w:rFonts w:ascii="Aptos Display" w:hAnsi="Aptos Display"/>
          <w:b/>
          <w:color w:val="17365D"/>
          <w:sz w:val="24"/>
        </w:rPr>
        <w:t>KODIGO</w:t>
      </w:r>
    </w:p>
    <w:p>
      <w:pPr>
        <w:pStyle w:val="Title"/>
        <w:spacing w:after="200"/>
        <w:jc w:val="center"/>
      </w:pPr>
      <w:r>
        <w:rPr>
          <w:rFonts w:ascii="Aptos Display" w:hAnsi="Aptos Display"/>
          <w:b/>
          <w:color w:val="000000"/>
          <w:sz w:val="52"/>
        </w:rPr>
        <w:t>Kodigo Acceptable Use Policy</w:t>
      </w:r>
    </w:p>
    <w:p>
      <w:pPr>
        <w:spacing w:after="480"/>
        <w:jc w:val="center"/>
      </w:pPr>
      <w:r>
        <w:rPr>
          <w:rFonts w:ascii="Aptos" w:hAnsi="Aptos"/>
          <w:color w:val="5B6573"/>
          <w:sz w:val="24"/>
        </w:rPr>
        <w:t>Rules for authorized, secure, and accountable use of Kodigo</w:t>
      </w:r>
    </w:p>
    <w:p>
      <w:pPr>
        <w:keepNext/>
        <w:spacing w:before="100" w:after="80"/>
      </w:pPr>
      <w:r>
        <w:rPr>
          <w:rFonts w:ascii="Aptos" w:hAnsi="Aptos"/>
          <w:b/>
          <w:color w:val="000000"/>
          <w:sz w:val="18"/>
        </w:rPr>
        <w:t>Table 1. Document Control</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376"/>
        <w:gridCol w:w="7661"/>
      </w:tblGrid>
      <w:tr>
        <w:trPr>
          <w:tblHeader w:val="true"/>
          <w:cantSplit/>
        </w:trPr>
        <w:tc>
          <w:tcPr>
            <w:tcW w:type="dxa" w:w="2376"/>
            <w:vAlign w:val="center"/>
            <w:shd w:fill="17365D"/>
            <w:tcMar>
              <w:top w:w="90" w:type="dxa"/>
              <w:start w:w="105" w:type="dxa"/>
              <w:bottom w:w="90" w:type="dxa"/>
              <w:end w:w="105" w:type="dxa"/>
            </w:tcMar>
          </w:tcPr>
          <w:p>
            <w:pPr>
              <w:keepNext/>
              <w:spacing w:after="0"/>
            </w:pPr>
            <w:r/>
            <w:r>
              <w:rPr>
                <w:rFonts w:ascii="Aptos" w:hAnsi="Aptos"/>
                <w:b/>
                <w:color w:val="FFFFFF"/>
                <w:sz w:val="17"/>
              </w:rPr>
              <w:t>Control</w:t>
            </w:r>
          </w:p>
        </w:tc>
        <w:tc>
          <w:tcPr>
            <w:tcW w:type="dxa" w:w="7661"/>
            <w:vAlign w:val="center"/>
            <w:shd w:fill="17365D"/>
            <w:tcMar>
              <w:top w:w="90" w:type="dxa"/>
              <w:start w:w="105" w:type="dxa"/>
              <w:bottom w:w="90" w:type="dxa"/>
              <w:end w:w="105" w:type="dxa"/>
            </w:tcMar>
          </w:tcPr>
          <w:p>
            <w:pPr>
              <w:keepNext/>
              <w:spacing w:after="0"/>
            </w:pPr>
            <w:r/>
            <w:r>
              <w:rPr>
                <w:rFonts w:ascii="Aptos" w:hAnsi="Aptos"/>
                <w:b/>
                <w:color w:val="FFFFFF"/>
                <w:sz w:val="17"/>
              </w:rPr>
              <w:t>Value</w:t>
            </w:r>
          </w:p>
        </w:tc>
      </w:tr>
      <w:tr>
        <w:trPr>
          <w:cantSplit/>
        </w:trPr>
        <w:tc>
          <w:tcPr>
            <w:tcW w:type="dxa" w:w="2376"/>
            <w:vAlign w:val="center"/>
            <w:tcMar>
              <w:top w:w="90" w:type="dxa"/>
              <w:start w:w="105" w:type="dxa"/>
              <w:bottom w:w="90" w:type="dxa"/>
              <w:end w:w="105" w:type="dxa"/>
            </w:tcMar>
            <w:shd w:fill="FFFFFF"/>
          </w:tcPr>
          <w:p>
            <w:pPr>
              <w:spacing w:after="0" w:line="245" w:lineRule="auto"/>
            </w:pPr>
            <w:r/>
            <w:r>
              <w:rPr>
                <w:rFonts w:ascii="Aptos" w:hAnsi="Aptos"/>
                <w:color w:val="20252B"/>
                <w:sz w:val="17"/>
              </w:rPr>
              <w:t>Version and date</w:t>
            </w:r>
          </w:p>
        </w:tc>
        <w:tc>
          <w:tcPr>
            <w:tcW w:type="dxa" w:w="7661"/>
            <w:vAlign w:val="center"/>
            <w:tcMar>
              <w:top w:w="90" w:type="dxa"/>
              <w:start w:w="105" w:type="dxa"/>
              <w:bottom w:w="90" w:type="dxa"/>
              <w:end w:w="105" w:type="dxa"/>
            </w:tcMar>
            <w:shd w:fill="FFFFFF"/>
          </w:tcPr>
          <w:p>
            <w:pPr>
              <w:spacing w:after="0" w:line="245" w:lineRule="auto"/>
            </w:pPr>
            <w:r/>
            <w:r>
              <w:rPr>
                <w:rFonts w:ascii="Aptos" w:hAnsi="Aptos"/>
                <w:color w:val="20252B"/>
                <w:sz w:val="17"/>
              </w:rPr>
              <w:t>Version 1.3 | 5 October 2026</w:t>
            </w:r>
          </w:p>
        </w:tc>
      </w:tr>
      <w:tr>
        <w:trPr>
          <w:cantSplit/>
        </w:trPr>
        <w:tc>
          <w:tcPr>
            <w:tcW w:type="dxa" w:w="2376"/>
            <w:vAlign w:val="center"/>
            <w:tcMar>
              <w:top w:w="90" w:type="dxa"/>
              <w:start w:w="105" w:type="dxa"/>
              <w:bottom w:w="90" w:type="dxa"/>
              <w:end w:w="105" w:type="dxa"/>
            </w:tcMar>
            <w:shd w:fill="F2F6FA"/>
          </w:tcPr>
          <w:p>
            <w:pPr>
              <w:spacing w:after="0" w:line="245" w:lineRule="auto"/>
            </w:pPr>
            <w:r/>
            <w:r>
              <w:rPr>
                <w:rFonts w:ascii="Aptos" w:hAnsi="Aptos"/>
                <w:color w:val="20252B"/>
                <w:sz w:val="17"/>
              </w:rPr>
              <w:t>Status</w:t>
            </w:r>
          </w:p>
        </w:tc>
        <w:tc>
          <w:tcPr>
            <w:tcW w:type="dxa" w:w="7661"/>
            <w:vAlign w:val="center"/>
            <w:tcMar>
              <w:top w:w="90" w:type="dxa"/>
              <w:start w:w="105" w:type="dxa"/>
              <w:bottom w:w="90" w:type="dxa"/>
              <w:end w:w="105" w:type="dxa"/>
            </w:tcMar>
            <w:shd w:fill="F2F6FA"/>
          </w:tcPr>
          <w:p>
            <w:pPr>
              <w:spacing w:after="0" w:line="245" w:lineRule="auto"/>
            </w:pPr>
            <w:r/>
            <w:r>
              <w:rPr>
                <w:rFonts w:ascii="Aptos" w:hAnsi="Aptos"/>
                <w:color w:val="20252B"/>
                <w:sz w:val="17"/>
              </w:rPr>
              <w:t xml:space="preserve">Final owner-issued edition. </w:t>
            </w:r>
            <w:commentRangeStart w:id="0"/>
            <w:r>
              <w:rPr>
                <w:rFonts w:ascii="Aptos" w:hAnsi="Aptos"/>
                <w:color w:val="20252B"/>
                <w:sz w:val="17"/>
                <w:highlight w:val="yellow"/>
              </w:rPr>
              <w:t xml:space="preserve">Peer-review rubric audit complete: 19/25 (Good).</w:t>
            </w:r>
            <w:commentRangeEnd w:id="0"/>
            <w:r>
              <w:rPr>
                <w:rStyle w:val="CommentReference"/>
              </w:rPr>
              <w:commentReference w:id="0"/>
            </w:r>
          </w:p>
        </w:tc>
      </w:tr>
      <w:tr>
        <w:trPr>
          <w:cantSplit/>
        </w:trPr>
        <w:tc>
          <w:tcPr>
            <w:tcW w:type="dxa" w:w="2376"/>
            <w:vAlign w:val="center"/>
            <w:tcMar>
              <w:top w:w="90" w:type="dxa"/>
              <w:start w:w="105" w:type="dxa"/>
              <w:bottom w:w="90" w:type="dxa"/>
              <w:end w:w="105" w:type="dxa"/>
            </w:tcMar>
            <w:shd w:fill="FFFFFF"/>
          </w:tcPr>
          <w:p>
            <w:pPr>
              <w:spacing w:after="0" w:line="245" w:lineRule="auto"/>
            </w:pPr>
            <w:r/>
            <w:r>
              <w:rPr>
                <w:rFonts w:ascii="Aptos" w:hAnsi="Aptos"/>
                <w:color w:val="20252B"/>
                <w:sz w:val="17"/>
              </w:rPr>
              <w:t>Document owner</w:t>
            </w:r>
          </w:p>
        </w:tc>
        <w:tc>
          <w:tcPr>
            <w:tcW w:type="dxa" w:w="7661"/>
            <w:vAlign w:val="center"/>
            <w:tcMar>
              <w:top w:w="90" w:type="dxa"/>
              <w:start w:w="105" w:type="dxa"/>
              <w:bottom w:w="90" w:type="dxa"/>
              <w:end w:w="105" w:type="dxa"/>
            </w:tcMar>
            <w:shd w:fill="FFFFFF"/>
          </w:tcPr>
          <w:p>
            <w:pPr>
              <w:spacing w:after="0" w:line="245" w:lineRule="auto"/>
            </w:pPr>
            <w:r/>
            <w:r>
              <w:rPr>
                <w:rFonts w:ascii="Aptos" w:hAnsi="Aptos"/>
                <w:color w:val="20252B"/>
                <w:sz w:val="17"/>
              </w:rPr>
              <w:t>Evon Christian P Vergara</w:t>
            </w:r>
          </w:p>
        </w:tc>
      </w:tr>
      <w:tr>
        <w:trPr>
          <w:cantSplit/>
        </w:trPr>
        <w:tc>
          <w:tcPr>
            <w:tcW w:type="dxa" w:w="2376"/>
            <w:vAlign w:val="center"/>
            <w:tcMar>
              <w:top w:w="90" w:type="dxa"/>
              <w:start w:w="105" w:type="dxa"/>
              <w:bottom w:w="90" w:type="dxa"/>
              <w:end w:w="105" w:type="dxa"/>
            </w:tcMar>
            <w:shd w:fill="F2F6FA"/>
          </w:tcPr>
          <w:p>
            <w:pPr>
              <w:spacing w:after="0" w:line="245" w:lineRule="auto"/>
            </w:pPr>
            <w:r/>
            <w:r>
              <w:rPr>
                <w:rFonts w:ascii="Aptos" w:hAnsi="Aptos"/>
                <w:color w:val="20252B"/>
                <w:sz w:val="17"/>
              </w:rPr>
              <w:t>Approval status</w:t>
            </w:r>
          </w:p>
        </w:tc>
        <w:tc>
          <w:tcPr>
            <w:tcW w:type="dxa" w:w="7661"/>
            <w:vAlign w:val="center"/>
            <w:tcMar>
              <w:top w:w="90" w:type="dxa"/>
              <w:start w:w="105" w:type="dxa"/>
              <w:bottom w:w="90" w:type="dxa"/>
              <w:end w:w="105" w:type="dxa"/>
            </w:tcMar>
            <w:shd w:fill="F2F6FA"/>
          </w:tcPr>
          <w:p>
            <w:pPr>
              <w:spacing w:after="0" w:line="245" w:lineRule="auto"/>
            </w:pPr>
            <w:r/>
            <w:commentRangeStart w:id="1"/>
            <w:r>
              <w:rPr>
                <w:rFonts w:ascii="Aptos" w:hAnsi="Aptos"/>
                <w:color w:val="20252B"/>
                <w:sz w:val="17"/>
                <w:highlight w:val="yellow"/>
              </w:rPr>
              <w:t xml:space="preserve">No separate approval required for this final document issue.</w:t>
            </w:r>
            <w:commentRangeEnd w:id="1"/>
            <w:r>
              <w:rPr>
                <w:rStyle w:val="CommentReference"/>
              </w:rPr>
              <w:commentReference w:id="1"/>
            </w:r>
          </w:p>
        </w:tc>
      </w:tr>
      <w:tr>
        <w:trPr>
          <w:cantSplit/>
        </w:trPr>
        <w:tc>
          <w:tcPr>
            <w:tcW w:type="dxa" w:w="2376"/>
            <w:vAlign w:val="center"/>
            <w:tcMar>
              <w:top w:w="90" w:type="dxa"/>
              <w:start w:w="105" w:type="dxa"/>
              <w:bottom w:w="90" w:type="dxa"/>
              <w:end w:w="105" w:type="dxa"/>
            </w:tcMar>
            <w:shd w:fill="FFFFFF"/>
          </w:tcPr>
          <w:p>
            <w:pPr>
              <w:spacing w:after="0" w:line="245" w:lineRule="auto"/>
            </w:pPr>
            <w:r/>
            <w:r>
              <w:rPr>
                <w:rFonts w:ascii="Aptos" w:hAnsi="Aptos"/>
                <w:color w:val="20252B"/>
                <w:sz w:val="17"/>
              </w:rPr>
              <w:t>Review cycle</w:t>
            </w:r>
          </w:p>
        </w:tc>
        <w:tc>
          <w:tcPr>
            <w:tcW w:type="dxa" w:w="7661"/>
            <w:vAlign w:val="center"/>
            <w:tcMar>
              <w:top w:w="90" w:type="dxa"/>
              <w:start w:w="105" w:type="dxa"/>
              <w:bottom w:w="90" w:type="dxa"/>
              <w:end w:w="105" w:type="dxa"/>
            </w:tcMar>
            <w:shd w:fill="FFFFFF"/>
          </w:tcPr>
          <w:p>
            <w:pPr>
              <w:spacing w:after="0" w:line="245" w:lineRule="auto"/>
            </w:pPr>
            <w:r/>
            <w:r>
              <w:rPr>
                <w:rFonts w:ascii="Aptos" w:hAnsi="Aptos"/>
                <w:color w:val="20252B"/>
                <w:sz w:val="17"/>
              </w:rPr>
              <w:t>Review at least annually and after material system, role, privacy, or workflow changes.</w:t>
            </w:r>
          </w:p>
        </w:tc>
      </w:tr>
      <w:tr>
        <w:trPr>
          <w:cantSplit/>
        </w:trPr>
        <w:tc>
          <w:tcPr>
            <w:tcW w:type="dxa" w:w="2376"/>
            <w:vAlign w:val="center"/>
            <w:tcMar>
              <w:top w:w="90" w:type="dxa"/>
              <w:start w:w="105" w:type="dxa"/>
              <w:bottom w:w="90" w:type="dxa"/>
              <w:end w:w="105" w:type="dxa"/>
            </w:tcMar>
            <w:shd w:fill="F2F6FA"/>
          </w:tcPr>
          <w:p>
            <w:pPr>
              <w:spacing w:after="0" w:line="245" w:lineRule="auto"/>
            </w:pPr>
            <w:r/>
            <w:r>
              <w:rPr>
                <w:rFonts w:ascii="Aptos" w:hAnsi="Aptos"/>
                <w:color w:val="20252B"/>
                <w:sz w:val="17"/>
              </w:rPr>
              <w:t>Evidence basis</w:t>
            </w:r>
          </w:p>
        </w:tc>
        <w:tc>
          <w:tcPr>
            <w:tcW w:type="dxa" w:w="7661"/>
            <w:vAlign w:val="center"/>
            <w:tcMar>
              <w:top w:w="90" w:type="dxa"/>
              <w:start w:w="105" w:type="dxa"/>
              <w:bottom w:w="90" w:type="dxa"/>
              <w:end w:w="105" w:type="dxa"/>
            </w:tcMar>
            <w:shd w:fill="F2F6FA"/>
          </w:tcPr>
          <w:p>
            <w:pPr>
              <w:spacing w:after="0" w:line="245" w:lineRule="auto"/>
            </w:pPr>
            <w:r/>
            <w:r>
              <w:rPr>
                <w:rFonts w:ascii="Aptos" w:hAnsi="Aptos"/>
                <w:color w:val="20252B"/>
                <w:sz w:val="17"/>
              </w:rPr>
              <w:t>Repository implementation and supporting project documents reviewed on 5 October 2026. Live deployment facts are not claimed unless evidenced.</w:t>
            </w:r>
          </w:p>
        </w:tc>
      </w:tr>
    </w:tbl>
    <w:p>
      <w:pPr>
        <w:spacing w:after="40"/>
      </w:pPr>
    </w:p>
    <w:p>
      <w:pPr>
        <w:spacing w:before="360"/>
        <w:jc w:val="center"/>
      </w:pPr>
      <w:r>
        <w:rPr>
          <w:rFonts w:ascii="Aptos" w:hAnsi="Aptos"/>
          <w:i/>
          <w:color w:val="5B6573"/>
          <w:sz w:val="18"/>
        </w:rPr>
        <w:t>Final owner-issued edition following the supplied peer-review rubric audit. Deployment-specific input fields are operational details, not document-approval gates.</w:t>
      </w:r>
    </w:p>
    <w:p>
      <w:r>
        <w:br w:type="page"/>
      </w:r>
    </w:p>
    <w:p>
      <w:pPr>
        <w:pStyle w:val="Heading1"/>
      </w:pPr>
      <w:r>
        <w:t>1. Purpose and policy statement</w:t>
      </w:r>
    </w:p>
    <w:p>
      <w:r>
        <w:rPr>
          <w:rFonts w:ascii="Aptos" w:hAnsi="Aptos"/>
          <w:i w:val="0"/>
          <w:color w:val="20252B"/>
          <w:sz w:val="20"/>
        </w:rPr>
        <w:t>This policy defines how authorized people may use Kodigo accounts, store data, reports, devices, networks, and connected equipment. It protects the confidentiality, accuracy, availability, and traceability of retail operations. Access is a work privilege limited to an approved role and assigned store.</w:t>
      </w:r>
    </w:p>
    <w:p>
      <w:pPr>
        <w:pStyle w:val="Heading1"/>
      </w:pPr>
      <w:r>
        <w:t>2. Scope and definitions</w:t>
      </w:r>
    </w:p>
    <w:p>
      <w:r>
        <w:rPr>
          <w:rFonts w:ascii="Aptos" w:hAnsi="Aptos"/>
          <w:i w:val="0"/>
          <w:color w:val="20252B"/>
          <w:sz w:val="20"/>
        </w:rPr>
        <w:t>The policy applies to owners, administrators, cashiers, inventory staff, developers, technical support, reviewers, contractors, and other approved people who access Kodigo or its information in development, test, staging, production, exports, logs, or backups.</w:t>
      </w:r>
    </w:p>
    <w:p>
      <w:r>
        <w:rPr>
          <w:rFonts w:ascii="Aptos" w:hAnsi="Aptos"/>
          <w:i w:val="0"/>
          <w:color w:val="20252B"/>
          <w:sz w:val="20"/>
        </w:rPr>
        <w:t>An assigned store is a branch linked to the user through an approved store membership. A restricted record is a credential, security record, payment reference, backup, or export that needs named, limited access. An incident is an event that may harm service availability, record accuracy, account security, or personal information.</w:t>
      </w:r>
    </w:p>
    <w:p>
      <w:pPr>
        <w:pStyle w:val="Heading1"/>
      </w:pPr>
      <w:r>
        <w:t>3. Roles and duties</w:t>
      </w:r>
    </w:p>
    <w:p>
      <w:pPr>
        <w:keepNext/>
        <w:spacing w:before="100" w:after="80"/>
      </w:pPr>
      <w:r>
        <w:rPr>
          <w:rFonts w:ascii="Aptos" w:hAnsi="Aptos"/>
          <w:b/>
          <w:color w:val="000000"/>
          <w:sz w:val="18"/>
        </w:rPr>
        <w:t>Table 2. AUP responsibility assignments</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232"/>
        <w:gridCol w:w="7805"/>
      </w:tblGrid>
      <w:tr>
        <w:trPr>
          <w:tblHeader w:val="true"/>
          <w:cantSplit/>
        </w:trPr>
        <w:tc>
          <w:tcPr>
            <w:tcW w:type="dxa" w:w="2232"/>
            <w:vAlign w:val="center"/>
            <w:shd w:fill="17365D"/>
            <w:tcMar>
              <w:top w:w="90" w:type="dxa"/>
              <w:start w:w="105" w:type="dxa"/>
              <w:bottom w:w="90" w:type="dxa"/>
              <w:end w:w="105" w:type="dxa"/>
            </w:tcMar>
          </w:tcPr>
          <w:p>
            <w:pPr>
              <w:keepNext/>
              <w:spacing w:after="0"/>
            </w:pPr>
            <w:r/>
            <w:r>
              <w:rPr>
                <w:rFonts w:ascii="Aptos" w:hAnsi="Aptos"/>
                <w:b/>
                <w:color w:val="FFFFFF"/>
                <w:sz w:val="17"/>
              </w:rPr>
              <w:t>Role</w:t>
            </w:r>
          </w:p>
        </w:tc>
        <w:tc>
          <w:tcPr>
            <w:tcW w:type="dxa" w:w="7805"/>
            <w:vAlign w:val="center"/>
            <w:shd w:fill="17365D"/>
            <w:tcMar>
              <w:top w:w="90" w:type="dxa"/>
              <w:start w:w="105" w:type="dxa"/>
              <w:bottom w:w="90" w:type="dxa"/>
              <w:end w:w="105" w:type="dxa"/>
            </w:tcMar>
          </w:tcPr>
          <w:p>
            <w:pPr>
              <w:keepNext/>
              <w:spacing w:after="0"/>
            </w:pPr>
            <w:r/>
            <w:r>
              <w:rPr>
                <w:rFonts w:ascii="Aptos" w:hAnsi="Aptos"/>
                <w:b/>
                <w:color w:val="FFFFFF"/>
                <w:sz w:val="17"/>
              </w:rPr>
              <w:t>Required responsibility</w:t>
            </w:r>
          </w:p>
        </w:tc>
      </w:tr>
      <w:tr>
        <w:trPr>
          <w:cantSplit/>
        </w:trPr>
        <w:tc>
          <w:tcPr>
            <w:tcW w:type="dxa" w:w="2232"/>
            <w:vAlign w:val="center"/>
            <w:tcMar>
              <w:top w:w="90" w:type="dxa"/>
              <w:start w:w="105" w:type="dxa"/>
              <w:bottom w:w="90" w:type="dxa"/>
              <w:end w:w="105" w:type="dxa"/>
            </w:tcMar>
            <w:shd w:fill="FFFFFF"/>
          </w:tcPr>
          <w:p>
            <w:pPr>
              <w:spacing w:after="0" w:line="245" w:lineRule="auto"/>
            </w:pPr>
            <w:r/>
            <w:r>
              <w:rPr>
                <w:rFonts w:ascii="Aptos" w:hAnsi="Aptos"/>
                <w:color w:val="20252B"/>
                <w:sz w:val="17"/>
              </w:rPr>
              <w:t>Every user</w:t>
            </w:r>
          </w:p>
        </w:tc>
        <w:tc>
          <w:tcPr>
            <w:tcW w:type="dxa" w:w="7805"/>
            <w:vAlign w:val="center"/>
            <w:tcMar>
              <w:top w:w="90" w:type="dxa"/>
              <w:start w:w="105" w:type="dxa"/>
              <w:bottom w:w="90" w:type="dxa"/>
              <w:end w:w="105" w:type="dxa"/>
            </w:tcMar>
            <w:shd w:fill="FFFFFF"/>
          </w:tcPr>
          <w:p>
            <w:pPr>
              <w:spacing w:after="0" w:line="245" w:lineRule="auto"/>
            </w:pPr>
            <w:r/>
            <w:r>
              <w:rPr>
                <w:rFonts w:ascii="Aptos" w:hAnsi="Aptos"/>
                <w:color w:val="20252B"/>
                <w:sz w:val="17"/>
              </w:rPr>
              <w:t>Use an individual account, follow store and role limits, protect records, complete required training, and report issues promptly.</w:t>
            </w:r>
          </w:p>
        </w:tc>
      </w:tr>
      <w:tr>
        <w:trPr>
          <w:cantSplit/>
        </w:trPr>
        <w:tc>
          <w:tcPr>
            <w:tcW w:type="dxa" w:w="2232"/>
            <w:vAlign w:val="center"/>
            <w:tcMar>
              <w:top w:w="90" w:type="dxa"/>
              <w:start w:w="105" w:type="dxa"/>
              <w:bottom w:w="90" w:type="dxa"/>
              <w:end w:w="105" w:type="dxa"/>
            </w:tcMar>
            <w:shd w:fill="F2F6FA"/>
          </w:tcPr>
          <w:p>
            <w:pPr>
              <w:spacing w:after="0" w:line="245" w:lineRule="auto"/>
            </w:pPr>
            <w:r/>
            <w:r>
              <w:rPr>
                <w:rFonts w:ascii="Aptos" w:hAnsi="Aptos"/>
                <w:color w:val="20252B"/>
                <w:sz w:val="17"/>
              </w:rPr>
              <w:t>Admin / store owner</w:t>
            </w:r>
          </w:p>
        </w:tc>
        <w:tc>
          <w:tcPr>
            <w:tcW w:type="dxa" w:w="7805"/>
            <w:vAlign w:val="center"/>
            <w:tcMar>
              <w:top w:w="90" w:type="dxa"/>
              <w:start w:w="105" w:type="dxa"/>
              <w:bottom w:w="90" w:type="dxa"/>
              <w:end w:w="105" w:type="dxa"/>
            </w:tcMar>
            <w:shd w:fill="F2F6FA"/>
          </w:tcPr>
          <w:p>
            <w:pPr>
              <w:spacing w:after="0" w:line="245" w:lineRule="auto"/>
            </w:pPr>
            <w:r/>
            <w:r>
              <w:rPr>
                <w:rFonts w:ascii="Aptos" w:hAnsi="Aptos"/>
                <w:color w:val="20252B"/>
                <w:sz w:val="17"/>
              </w:rPr>
              <w:t>Approve operational access, maintain accurate store assignments, review local activity, and support orderly offboarding.</w:t>
            </w:r>
          </w:p>
        </w:tc>
      </w:tr>
      <w:tr>
        <w:trPr>
          <w:cantSplit/>
        </w:trPr>
        <w:tc>
          <w:tcPr>
            <w:tcW w:type="dxa" w:w="2232"/>
            <w:vAlign w:val="center"/>
            <w:tcMar>
              <w:top w:w="90" w:type="dxa"/>
              <w:start w:w="105" w:type="dxa"/>
              <w:bottom w:w="90" w:type="dxa"/>
              <w:end w:w="105" w:type="dxa"/>
            </w:tcMar>
            <w:shd w:fill="FFFFFF"/>
          </w:tcPr>
          <w:p>
            <w:pPr>
              <w:spacing w:after="0" w:line="245" w:lineRule="auto"/>
            </w:pPr>
            <w:r/>
            <w:r>
              <w:rPr>
                <w:rFonts w:ascii="Aptos" w:hAnsi="Aptos"/>
                <w:color w:val="20252B"/>
                <w:sz w:val="17"/>
              </w:rPr>
              <w:t>System Administrator</w:t>
            </w:r>
          </w:p>
        </w:tc>
        <w:tc>
          <w:tcPr>
            <w:tcW w:type="dxa" w:w="7805"/>
            <w:vAlign w:val="center"/>
            <w:tcMar>
              <w:top w:w="90" w:type="dxa"/>
              <w:start w:w="105" w:type="dxa"/>
              <w:bottom w:w="90" w:type="dxa"/>
              <w:end w:w="105" w:type="dxa"/>
            </w:tcMar>
            <w:shd w:fill="FFFFFF"/>
          </w:tcPr>
          <w:p>
            <w:pPr>
              <w:spacing w:after="0" w:line="245" w:lineRule="auto"/>
            </w:pPr>
            <w:r/>
            <w:r>
              <w:rPr>
                <w:rFonts w:ascii="Aptos" w:hAnsi="Aptos"/>
                <w:color w:val="20252B"/>
                <w:sz w:val="17"/>
              </w:rPr>
              <w:t>Maintain technical services, protect privileged access, preserve logs, and investigate authorized incidents.</w:t>
            </w:r>
          </w:p>
        </w:tc>
      </w:tr>
      <w:tr>
        <w:trPr>
          <w:cantSplit/>
        </w:trPr>
        <w:tc>
          <w:tcPr>
            <w:tcW w:type="dxa" w:w="2232"/>
            <w:vAlign w:val="center"/>
            <w:tcMar>
              <w:top w:w="90" w:type="dxa"/>
              <w:start w:w="105" w:type="dxa"/>
              <w:bottom w:w="90" w:type="dxa"/>
              <w:end w:w="105" w:type="dxa"/>
            </w:tcMar>
            <w:shd w:fill="F2F6FA"/>
          </w:tcPr>
          <w:p>
            <w:pPr>
              <w:spacing w:after="0" w:line="245" w:lineRule="auto"/>
            </w:pPr>
            <w:r/>
            <w:r>
              <w:rPr>
                <w:rFonts w:ascii="Aptos" w:hAnsi="Aptos"/>
                <w:color w:val="20252B"/>
                <w:sz w:val="17"/>
              </w:rPr>
              <w:t>IT Manager / policy owner</w:t>
            </w:r>
          </w:p>
        </w:tc>
        <w:tc>
          <w:tcPr>
            <w:tcW w:type="dxa" w:w="7805"/>
            <w:vAlign w:val="center"/>
            <w:tcMar>
              <w:top w:w="90" w:type="dxa"/>
              <w:start w:w="105" w:type="dxa"/>
              <w:bottom w:w="90" w:type="dxa"/>
              <w:end w:w="105" w:type="dxa"/>
            </w:tcMar>
            <w:shd w:fill="F2F6FA"/>
          </w:tcPr>
          <w:p>
            <w:pPr>
              <w:spacing w:after="0" w:line="245" w:lineRule="auto"/>
            </w:pPr>
            <w:r/>
            <w:r>
              <w:rPr>
                <w:rFonts w:ascii="Aptos" w:hAnsi="Aptos"/>
                <w:color w:val="20252B"/>
                <w:sz w:val="17"/>
              </w:rPr>
              <w:t xml:space="preserve">Approve policy exceptions and enforcement decisions. </w:t>
            </w:r>
            <w:commentRangeStart w:id="2"/>
            <w:r>
              <w:rPr>
                <w:rFonts w:ascii="Aptos" w:hAnsi="Aptos"/>
                <w:color w:val="20252B"/>
                <w:sz w:val="17"/>
                <w:highlight w:val="yellow"/>
              </w:rPr>
              <w:t xml:space="preserve">OWNER INPUT: name the person or office that holds this authority.</w:t>
            </w:r>
            <w:commentRangeEnd w:id="2"/>
            <w:r>
              <w:rPr>
                <w:rStyle w:val="CommentReference"/>
              </w:rPr>
              <w:commentReference w:id="2"/>
            </w:r>
          </w:p>
        </w:tc>
      </w:tr>
      <w:tr>
        <w:trPr>
          <w:cantSplit/>
        </w:trPr>
        <w:tc>
          <w:tcPr>
            <w:tcW w:type="dxa" w:w="2232"/>
            <w:vAlign w:val="center"/>
            <w:tcMar>
              <w:top w:w="90" w:type="dxa"/>
              <w:start w:w="105" w:type="dxa"/>
              <w:bottom w:w="90" w:type="dxa"/>
              <w:end w:w="105" w:type="dxa"/>
            </w:tcMar>
            <w:shd w:fill="FFFFFF"/>
          </w:tcPr>
          <w:p>
            <w:pPr>
              <w:spacing w:after="0" w:line="245" w:lineRule="auto"/>
            </w:pPr>
            <w:r/>
            <w:r>
              <w:rPr>
                <w:rFonts w:ascii="Aptos" w:hAnsi="Aptos"/>
                <w:color w:val="20252B"/>
                <w:sz w:val="17"/>
              </w:rPr>
              <w:t>Privacy Contact</w:t>
            </w:r>
          </w:p>
        </w:tc>
        <w:tc>
          <w:tcPr>
            <w:tcW w:type="dxa" w:w="7805"/>
            <w:vAlign w:val="center"/>
            <w:tcMar>
              <w:top w:w="90" w:type="dxa"/>
              <w:start w:w="105" w:type="dxa"/>
              <w:bottom w:w="90" w:type="dxa"/>
              <w:end w:w="105" w:type="dxa"/>
            </w:tcMar>
            <w:shd w:fill="FFFFFF"/>
          </w:tcPr>
          <w:p>
            <w:pPr>
              <w:spacing w:after="0" w:line="245" w:lineRule="auto"/>
            </w:pPr>
            <w:r/>
            <w:r>
              <w:rPr>
                <w:rFonts w:ascii="Aptos" w:hAnsi="Aptos"/>
                <w:color w:val="20252B"/>
                <w:sz w:val="17"/>
              </w:rPr>
              <w:t>Coordinate privacy requests and privacy incident decisions. OWNER INPUT: identify the organization Privacy Contact or DPO.</w:t>
            </w:r>
          </w:p>
        </w:tc>
      </w:tr>
    </w:tbl>
    <w:p>
      <w:pPr>
        <w:spacing w:after="40"/>
      </w:pPr>
    </w:p>
    <w:p>
      <w:pPr>
        <w:pStyle w:val="Heading1"/>
      </w:pPr>
      <w:r>
        <w:t>4. Authorized use</w:t>
      </w:r>
    </w:p>
    <w:p>
      <w:pPr>
        <w:keepNext/>
        <w:spacing w:before="100" w:after="80"/>
      </w:pPr>
      <w:r>
        <w:rPr>
          <w:rFonts w:ascii="Aptos" w:hAnsi="Aptos"/>
          <w:b/>
          <w:color w:val="000000"/>
          <w:sz w:val="18"/>
        </w:rPr>
        <w:t>Table 3. Permitted activity and obligation</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3384"/>
        <w:gridCol w:w="2376"/>
        <w:gridCol w:w="4277"/>
      </w:tblGrid>
      <w:tr>
        <w:trPr>
          <w:tblHeader w:val="true"/>
          <w:cantSplit/>
        </w:trPr>
        <w:tc>
          <w:tcPr>
            <w:tcW w:type="dxa" w:w="3384"/>
            <w:vAlign w:val="center"/>
            <w:shd w:fill="17365D"/>
            <w:tcMar>
              <w:top w:w="90" w:type="dxa"/>
              <w:start w:w="105" w:type="dxa"/>
              <w:bottom w:w="90" w:type="dxa"/>
              <w:end w:w="105" w:type="dxa"/>
            </w:tcMar>
          </w:tcPr>
          <w:p>
            <w:pPr>
              <w:keepNext/>
              <w:spacing w:after="0"/>
            </w:pPr>
            <w:r/>
            <w:r>
              <w:rPr>
                <w:rFonts w:ascii="Aptos" w:hAnsi="Aptos"/>
                <w:b/>
                <w:color w:val="FFFFFF"/>
                <w:sz w:val="17"/>
              </w:rPr>
              <w:t>Required behavior</w:t>
            </w:r>
          </w:p>
        </w:tc>
        <w:tc>
          <w:tcPr>
            <w:tcW w:type="dxa" w:w="2376"/>
            <w:vAlign w:val="center"/>
            <w:shd w:fill="17365D"/>
            <w:tcMar>
              <w:top w:w="90" w:type="dxa"/>
              <w:start w:w="105" w:type="dxa"/>
              <w:bottom w:w="90" w:type="dxa"/>
              <w:end w:w="105" w:type="dxa"/>
            </w:tcMar>
          </w:tcPr>
          <w:p>
            <w:pPr>
              <w:keepNext/>
              <w:spacing w:after="0"/>
            </w:pPr>
            <w:r/>
            <w:r>
              <w:rPr>
                <w:rFonts w:ascii="Aptos" w:hAnsi="Aptos"/>
                <w:b/>
                <w:color w:val="FFFFFF"/>
                <w:sz w:val="17"/>
              </w:rPr>
              <w:t>Control obligation</w:t>
            </w:r>
          </w:p>
        </w:tc>
        <w:tc>
          <w:tcPr>
            <w:tcW w:type="dxa" w:w="4277"/>
            <w:vAlign w:val="center"/>
            <w:shd w:fill="17365D"/>
            <w:tcMar>
              <w:top w:w="90" w:type="dxa"/>
              <w:start w:w="105" w:type="dxa"/>
              <w:bottom w:w="90" w:type="dxa"/>
              <w:end w:w="105" w:type="dxa"/>
            </w:tcMar>
          </w:tcPr>
          <w:p>
            <w:pPr>
              <w:keepNext/>
              <w:spacing w:after="0"/>
            </w:pPr>
            <w:r/>
            <w:r>
              <w:rPr>
                <w:rFonts w:ascii="Aptos" w:hAnsi="Aptos"/>
                <w:b/>
                <w:color w:val="FFFFFF"/>
                <w:sz w:val="17"/>
              </w:rPr>
              <w:t>Example</w:t>
            </w:r>
          </w:p>
        </w:tc>
      </w:tr>
      <w:tr>
        <w:trPr>
          <w:cantSplit/>
        </w:trPr>
        <w:tc>
          <w:tcPr>
            <w:tcW w:type="dxa" w:w="3384"/>
            <w:vAlign w:val="center"/>
            <w:tcMar>
              <w:top w:w="90" w:type="dxa"/>
              <w:start w:w="105" w:type="dxa"/>
              <w:bottom w:w="90" w:type="dxa"/>
              <w:end w:w="105" w:type="dxa"/>
            </w:tcMar>
            <w:shd w:fill="FFFFFF"/>
          </w:tcPr>
          <w:p>
            <w:pPr>
              <w:spacing w:after="0" w:line="245" w:lineRule="auto"/>
            </w:pPr>
            <w:r/>
            <w:r>
              <w:rPr>
                <w:rFonts w:ascii="Aptos" w:hAnsi="Aptos"/>
                <w:color w:val="20252B"/>
                <w:sz w:val="17"/>
              </w:rPr>
              <w:t>Perform assigned sales, inventory, procurement, reporting, administration, support, or review tasks.</w:t>
            </w:r>
          </w:p>
        </w:tc>
        <w:tc>
          <w:tcPr>
            <w:tcW w:type="dxa" w:w="2376"/>
            <w:vAlign w:val="center"/>
            <w:tcMar>
              <w:top w:w="90" w:type="dxa"/>
              <w:start w:w="105" w:type="dxa"/>
              <w:bottom w:w="90" w:type="dxa"/>
              <w:end w:w="105" w:type="dxa"/>
            </w:tcMar>
            <w:shd w:fill="FFFFFF"/>
          </w:tcPr>
          <w:p>
            <w:pPr>
              <w:spacing w:after="0" w:line="245" w:lineRule="auto"/>
            </w:pPr>
            <w:r/>
            <w:r>
              <w:rPr>
                <w:rFonts w:ascii="Aptos" w:hAnsi="Aptos"/>
                <w:color w:val="20252B"/>
                <w:sz w:val="17"/>
              </w:rPr>
              <w:t>Approved business use; least privilege.</w:t>
            </w:r>
          </w:p>
        </w:tc>
        <w:tc>
          <w:tcPr>
            <w:tcW w:type="dxa" w:w="4277"/>
            <w:vAlign w:val="center"/>
            <w:tcMar>
              <w:top w:w="90" w:type="dxa"/>
              <w:start w:w="105" w:type="dxa"/>
              <w:bottom w:w="90" w:type="dxa"/>
              <w:end w:w="105" w:type="dxa"/>
            </w:tcMar>
            <w:shd w:fill="FFFFFF"/>
          </w:tcPr>
          <w:p>
            <w:pPr>
              <w:spacing w:after="0" w:line="245" w:lineRule="auto"/>
            </w:pPr>
            <w:r/>
            <w:r>
              <w:rPr>
                <w:rFonts w:ascii="Aptos" w:hAnsi="Aptos"/>
                <w:color w:val="20252B"/>
                <w:sz w:val="17"/>
              </w:rPr>
              <w:t>A Cashier records a sale only in the assigned active store.</w:t>
            </w:r>
          </w:p>
        </w:tc>
      </w:tr>
      <w:tr>
        <w:trPr>
          <w:cantSplit/>
        </w:trPr>
        <w:tc>
          <w:tcPr>
            <w:tcW w:type="dxa" w:w="3384"/>
            <w:vAlign w:val="center"/>
            <w:tcMar>
              <w:top w:w="90" w:type="dxa"/>
              <w:start w:w="105" w:type="dxa"/>
              <w:bottom w:w="90" w:type="dxa"/>
              <w:end w:w="105" w:type="dxa"/>
            </w:tcMar>
            <w:shd w:fill="F2F6FA"/>
          </w:tcPr>
          <w:p>
            <w:pPr>
              <w:spacing w:after="0" w:line="245" w:lineRule="auto"/>
            </w:pPr>
            <w:r/>
            <w:commentRangeStart w:id="3"/>
            <w:r>
              <w:rPr>
                <w:rFonts w:ascii="Aptos" w:hAnsi="Aptos"/>
                <w:color w:val="20252B"/>
                <w:sz w:val="17"/>
                <w:highlight w:val="yellow"/>
              </w:rPr>
              <w:t xml:space="preserve">Use only personal named credentials and approved authentication methods.</w:t>
            </w:r>
            <w:commentRangeEnd w:id="3"/>
            <w:r>
              <w:rPr>
                <w:rStyle w:val="CommentReference"/>
              </w:rPr>
              <w:commentReference w:id="3"/>
            </w:r>
          </w:p>
        </w:tc>
        <w:tc>
          <w:tcPr>
            <w:tcW w:type="dxa" w:w="2376"/>
            <w:vAlign w:val="center"/>
            <w:tcMar>
              <w:top w:w="90" w:type="dxa"/>
              <w:start w:w="105" w:type="dxa"/>
              <w:bottom w:w="90" w:type="dxa"/>
              <w:end w:w="105" w:type="dxa"/>
            </w:tcMar>
            <w:shd w:fill="F2F6FA"/>
          </w:tcPr>
          <w:p>
            <w:pPr>
              <w:spacing w:after="0" w:line="245" w:lineRule="auto"/>
            </w:pPr>
            <w:r/>
            <w:r>
              <w:rPr>
                <w:rFonts w:ascii="Aptos" w:hAnsi="Aptos"/>
                <w:color w:val="20252B"/>
                <w:sz w:val="17"/>
              </w:rPr>
              <w:t>Accountability and credential protection.</w:t>
            </w:r>
          </w:p>
        </w:tc>
        <w:tc>
          <w:tcPr>
            <w:tcW w:type="dxa" w:w="4277"/>
            <w:vAlign w:val="center"/>
            <w:tcMar>
              <w:top w:w="90" w:type="dxa"/>
              <w:start w:w="105" w:type="dxa"/>
              <w:bottom w:w="90" w:type="dxa"/>
              <w:end w:w="105" w:type="dxa"/>
            </w:tcMar>
            <w:shd w:fill="F2F6FA"/>
          </w:tcPr>
          <w:p>
            <w:pPr>
              <w:spacing w:after="0" w:line="245" w:lineRule="auto"/>
            </w:pPr>
            <w:r/>
            <w:r>
              <w:rPr>
                <w:rFonts w:ascii="Aptos" w:hAnsi="Aptos"/>
                <w:color w:val="20252B"/>
                <w:sz w:val="17"/>
              </w:rPr>
              <w:t>Keep password, one-time code, reset link, and session private.</w:t>
            </w:r>
          </w:p>
        </w:tc>
      </w:tr>
      <w:tr>
        <w:trPr>
          <w:cantSplit/>
        </w:trPr>
        <w:tc>
          <w:tcPr>
            <w:tcW w:type="dxa" w:w="3384"/>
            <w:vAlign w:val="center"/>
            <w:tcMar>
              <w:top w:w="90" w:type="dxa"/>
              <w:start w:w="105" w:type="dxa"/>
              <w:bottom w:w="90" w:type="dxa"/>
              <w:end w:w="105" w:type="dxa"/>
            </w:tcMar>
            <w:shd w:fill="FFFFFF"/>
          </w:tcPr>
          <w:p>
            <w:pPr>
              <w:spacing w:after="0" w:line="245" w:lineRule="auto"/>
            </w:pPr>
            <w:r/>
            <w:r>
              <w:rPr>
                <w:rFonts w:ascii="Aptos" w:hAnsi="Aptos"/>
                <w:color w:val="20252B"/>
                <w:sz w:val="17"/>
              </w:rPr>
              <w:t>Use approved browsers, networks, scanners, printers, and cash drawers.</w:t>
            </w:r>
          </w:p>
        </w:tc>
        <w:tc>
          <w:tcPr>
            <w:tcW w:type="dxa" w:w="2376"/>
            <w:vAlign w:val="center"/>
            <w:tcMar>
              <w:top w:w="90" w:type="dxa"/>
              <w:start w:w="105" w:type="dxa"/>
              <w:bottom w:w="90" w:type="dxa"/>
              <w:end w:w="105" w:type="dxa"/>
            </w:tcMar>
            <w:shd w:fill="FFFFFF"/>
          </w:tcPr>
          <w:p>
            <w:pPr>
              <w:spacing w:after="0" w:line="245" w:lineRule="auto"/>
            </w:pPr>
            <w:r/>
            <w:r>
              <w:rPr>
                <w:rFonts w:ascii="Aptos" w:hAnsi="Aptos"/>
                <w:color w:val="20252B"/>
                <w:sz w:val="17"/>
              </w:rPr>
              <w:t>Endpoint and availability control.</w:t>
            </w:r>
          </w:p>
        </w:tc>
        <w:tc>
          <w:tcPr>
            <w:tcW w:type="dxa" w:w="4277"/>
            <w:vAlign w:val="center"/>
            <w:tcMar>
              <w:top w:w="90" w:type="dxa"/>
              <w:start w:w="105" w:type="dxa"/>
              <w:bottom w:w="90" w:type="dxa"/>
              <w:end w:w="105" w:type="dxa"/>
            </w:tcMar>
            <w:shd w:fill="FFFFFF"/>
          </w:tcPr>
          <w:p>
            <w:pPr>
              <w:spacing w:after="0" w:line="245" w:lineRule="auto"/>
            </w:pPr>
            <w:r/>
            <w:r>
              <w:rPr>
                <w:rFonts w:ascii="Aptos" w:hAnsi="Aptos"/>
                <w:color w:val="20252B"/>
                <w:sz w:val="17"/>
              </w:rPr>
              <w:t>Use a compatible scanner that sends barcode input as keyboard text.</w:t>
            </w:r>
          </w:p>
        </w:tc>
      </w:tr>
      <w:tr>
        <w:trPr>
          <w:cantSplit/>
        </w:trPr>
        <w:tc>
          <w:tcPr>
            <w:tcW w:type="dxa" w:w="3384"/>
            <w:vAlign w:val="center"/>
            <w:tcMar>
              <w:top w:w="90" w:type="dxa"/>
              <w:start w:w="105" w:type="dxa"/>
              <w:bottom w:w="90" w:type="dxa"/>
              <w:end w:w="105" w:type="dxa"/>
            </w:tcMar>
            <w:shd w:fill="F2F6FA"/>
          </w:tcPr>
          <w:p>
            <w:pPr>
              <w:spacing w:after="0" w:line="245" w:lineRule="auto"/>
            </w:pPr>
            <w:r/>
            <w:r>
              <w:rPr>
                <w:rFonts w:ascii="Aptos" w:hAnsi="Aptos"/>
                <w:color w:val="20252B"/>
                <w:sz w:val="17"/>
              </w:rPr>
              <w:t>Create a report or export only for an approved work purpose and keep it in an approved location.</w:t>
            </w:r>
          </w:p>
        </w:tc>
        <w:tc>
          <w:tcPr>
            <w:tcW w:type="dxa" w:w="2376"/>
            <w:vAlign w:val="center"/>
            <w:tcMar>
              <w:top w:w="90" w:type="dxa"/>
              <w:start w:w="105" w:type="dxa"/>
              <w:bottom w:w="90" w:type="dxa"/>
              <w:end w:w="105" w:type="dxa"/>
            </w:tcMar>
            <w:shd w:fill="F2F6FA"/>
          </w:tcPr>
          <w:p>
            <w:pPr>
              <w:spacing w:after="0" w:line="245" w:lineRule="auto"/>
            </w:pPr>
            <w:r/>
            <w:r>
              <w:rPr>
                <w:rFonts w:ascii="Aptos" w:hAnsi="Aptos"/>
                <w:color w:val="20252B"/>
                <w:sz w:val="17"/>
              </w:rPr>
              <w:t>Data minimization and controlled disclosure.</w:t>
            </w:r>
          </w:p>
        </w:tc>
        <w:tc>
          <w:tcPr>
            <w:tcW w:type="dxa" w:w="4277"/>
            <w:vAlign w:val="center"/>
            <w:tcMar>
              <w:top w:w="90" w:type="dxa"/>
              <w:start w:w="105" w:type="dxa"/>
              <w:bottom w:w="90" w:type="dxa"/>
              <w:end w:w="105" w:type="dxa"/>
            </w:tcMar>
            <w:shd w:fill="F2F6FA"/>
          </w:tcPr>
          <w:p>
            <w:pPr>
              <w:spacing w:after="0" w:line="245" w:lineRule="auto"/>
            </w:pPr>
            <w:r/>
            <w:r>
              <w:rPr>
                <w:rFonts w:ascii="Aptos" w:hAnsi="Aptos"/>
                <w:color w:val="20252B"/>
                <w:sz w:val="17"/>
              </w:rPr>
              <w:t>Save a stock report in an organization-managed folder with limited access.</w:t>
            </w:r>
          </w:p>
        </w:tc>
      </w:tr>
      <w:tr>
        <w:trPr>
          <w:cantSplit/>
        </w:trPr>
        <w:tc>
          <w:tcPr>
            <w:tcW w:type="dxa" w:w="3384"/>
            <w:vAlign w:val="center"/>
            <w:tcMar>
              <w:top w:w="90" w:type="dxa"/>
              <w:start w:w="105" w:type="dxa"/>
              <w:bottom w:w="90" w:type="dxa"/>
              <w:end w:w="105" w:type="dxa"/>
            </w:tcMar>
            <w:shd w:fill="FFFFFF"/>
          </w:tcPr>
          <w:p>
            <w:pPr>
              <w:spacing w:after="0" w:line="245" w:lineRule="auto"/>
            </w:pPr>
            <w:r/>
            <w:r>
              <w:rPr>
                <w:rFonts w:ascii="Aptos" w:hAnsi="Aptos"/>
                <w:color w:val="20252B"/>
                <w:sz w:val="17"/>
              </w:rPr>
              <w:t>Use a test environment and test data for training and validation where available.</w:t>
            </w:r>
          </w:p>
        </w:tc>
        <w:tc>
          <w:tcPr>
            <w:tcW w:type="dxa" w:w="2376"/>
            <w:vAlign w:val="center"/>
            <w:tcMar>
              <w:top w:w="90" w:type="dxa"/>
              <w:start w:w="105" w:type="dxa"/>
              <w:bottom w:w="90" w:type="dxa"/>
              <w:end w:w="105" w:type="dxa"/>
            </w:tcMar>
            <w:shd w:fill="FFFFFF"/>
          </w:tcPr>
          <w:p>
            <w:pPr>
              <w:spacing w:after="0" w:line="245" w:lineRule="auto"/>
            </w:pPr>
            <w:r/>
            <w:r>
              <w:rPr>
                <w:rFonts w:ascii="Aptos" w:hAnsi="Aptos"/>
                <w:color w:val="20252B"/>
                <w:sz w:val="17"/>
              </w:rPr>
              <w:t>Environment separation.</w:t>
            </w:r>
          </w:p>
        </w:tc>
        <w:tc>
          <w:tcPr>
            <w:tcW w:type="dxa" w:w="4277"/>
            <w:vAlign w:val="center"/>
            <w:tcMar>
              <w:top w:w="90" w:type="dxa"/>
              <w:start w:w="105" w:type="dxa"/>
              <w:bottom w:w="90" w:type="dxa"/>
              <w:end w:w="105" w:type="dxa"/>
            </w:tcMar>
            <w:shd w:fill="FFFFFF"/>
          </w:tcPr>
          <w:p>
            <w:pPr>
              <w:spacing w:after="0" w:line="245" w:lineRule="auto"/>
            </w:pPr>
            <w:r/>
            <w:r>
              <w:rPr>
                <w:rFonts w:ascii="Aptos" w:hAnsi="Aptos"/>
                <w:color w:val="20252B"/>
                <w:sz w:val="17"/>
              </w:rPr>
              <w:t>Validate a release in staging before production approval.</w:t>
            </w:r>
          </w:p>
        </w:tc>
      </w:tr>
      <w:tr>
        <w:trPr>
          <w:cantSplit/>
        </w:trPr>
        <w:tc>
          <w:tcPr>
            <w:tcW w:type="dxa" w:w="3384"/>
            <w:vAlign w:val="center"/>
            <w:tcMar>
              <w:top w:w="90" w:type="dxa"/>
              <w:start w:w="105" w:type="dxa"/>
              <w:bottom w:w="90" w:type="dxa"/>
              <w:end w:w="105" w:type="dxa"/>
            </w:tcMar>
            <w:shd w:fill="F2F6FA"/>
          </w:tcPr>
          <w:p>
            <w:pPr>
              <w:spacing w:after="0" w:line="245" w:lineRule="auto"/>
            </w:pPr>
            <w:r/>
            <w:r>
              <w:rPr>
                <w:rFonts w:ascii="Aptos" w:hAnsi="Aptos"/>
                <w:color w:val="20252B"/>
                <w:sz w:val="17"/>
              </w:rPr>
              <w:t>Correct an error through an approved adjustment, return, void, or new audit event.</w:t>
            </w:r>
          </w:p>
        </w:tc>
        <w:tc>
          <w:tcPr>
            <w:tcW w:type="dxa" w:w="2376"/>
            <w:vAlign w:val="center"/>
            <w:tcMar>
              <w:top w:w="90" w:type="dxa"/>
              <w:start w:w="105" w:type="dxa"/>
              <w:bottom w:w="90" w:type="dxa"/>
              <w:end w:w="105" w:type="dxa"/>
            </w:tcMar>
            <w:shd w:fill="F2F6FA"/>
          </w:tcPr>
          <w:p>
            <w:pPr>
              <w:spacing w:after="0" w:line="245" w:lineRule="auto"/>
            </w:pPr>
            <w:r/>
            <w:r>
              <w:rPr>
                <w:rFonts w:ascii="Aptos" w:hAnsi="Aptos"/>
                <w:color w:val="20252B"/>
                <w:sz w:val="17"/>
              </w:rPr>
              <w:t>Integrity and auditability.</w:t>
            </w:r>
          </w:p>
        </w:tc>
        <w:tc>
          <w:tcPr>
            <w:tcW w:type="dxa" w:w="4277"/>
            <w:vAlign w:val="center"/>
            <w:tcMar>
              <w:top w:w="90" w:type="dxa"/>
              <w:start w:w="105" w:type="dxa"/>
              <w:bottom w:w="90" w:type="dxa"/>
              <w:end w:w="105" w:type="dxa"/>
            </w:tcMar>
            <w:shd w:fill="F2F6FA"/>
          </w:tcPr>
          <w:p>
            <w:pPr>
              <w:spacing w:after="0" w:line="245" w:lineRule="auto"/>
            </w:pPr>
            <w:r/>
            <w:r>
              <w:rPr>
                <w:rFonts w:ascii="Aptos" w:hAnsi="Aptos"/>
                <w:color w:val="20252B"/>
                <w:sz w:val="17"/>
              </w:rPr>
              <w:t>Record the reason for a stock adjustment instead of silently changing a prior sale.</w:t>
            </w:r>
          </w:p>
        </w:tc>
      </w:tr>
    </w:tbl>
    <w:p>
      <w:pPr>
        <w:spacing w:after="40"/>
      </w:pPr>
    </w:p>
    <w:p>
      <w:pPr>
        <w:pStyle w:val="Heading1"/>
      </w:pPr>
      <w:r>
        <w:t>5. Prohibited activity</w:t>
      </w:r>
    </w:p>
    <w:p>
      <w:pPr>
        <w:keepNext/>
        <w:spacing w:before="100" w:after="80"/>
      </w:pPr>
      <w:commentRangeStart w:id="4"/>
      <w:r>
        <w:rPr>
          <w:rFonts w:ascii="Aptos" w:hAnsi="Aptos"/>
          <w:b/>
          <w:color w:val="000000"/>
          <w:sz w:val="18"/>
          <w:highlight w:val="yellow"/>
        </w:rPr>
        <w:t xml:space="preserve">Table 4. Prohibited use and required control</w:t>
      </w:r>
      <w:commentRangeEnd w:id="4"/>
      <w:r>
        <w:rPr>
          <w:rStyle w:val="CommentReference"/>
        </w:rPr>
        <w:commentReference w:id="4"/>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3672"/>
        <w:gridCol w:w="2232"/>
        <w:gridCol w:w="4133"/>
      </w:tblGrid>
      <w:tr>
        <w:trPr>
          <w:tblHeader w:val="true"/>
          <w:cantSplit/>
        </w:trPr>
        <w:tc>
          <w:tcPr>
            <w:tcW w:type="dxa" w:w="3672"/>
            <w:vAlign w:val="center"/>
            <w:shd w:fill="17365D"/>
            <w:tcMar>
              <w:top w:w="90" w:type="dxa"/>
              <w:start w:w="105" w:type="dxa"/>
              <w:bottom w:w="90" w:type="dxa"/>
              <w:end w:w="105" w:type="dxa"/>
            </w:tcMar>
          </w:tcPr>
          <w:p>
            <w:pPr>
              <w:keepNext/>
              <w:spacing w:after="0"/>
            </w:pPr>
            <w:r/>
            <w:r>
              <w:rPr>
                <w:rFonts w:ascii="Aptos" w:hAnsi="Aptos"/>
                <w:b/>
                <w:color w:val="FFFFFF"/>
                <w:sz w:val="17"/>
              </w:rPr>
              <w:t>Prohibited behavior</w:t>
            </w:r>
          </w:p>
        </w:tc>
        <w:tc>
          <w:tcPr>
            <w:tcW w:type="dxa" w:w="2232"/>
            <w:vAlign w:val="center"/>
            <w:shd w:fill="17365D"/>
            <w:tcMar>
              <w:top w:w="90" w:type="dxa"/>
              <w:start w:w="105" w:type="dxa"/>
              <w:bottom w:w="90" w:type="dxa"/>
              <w:end w:w="105" w:type="dxa"/>
            </w:tcMar>
          </w:tcPr>
          <w:p>
            <w:pPr>
              <w:keepNext/>
              <w:spacing w:after="0"/>
            </w:pPr>
            <w:r/>
            <w:r>
              <w:rPr>
                <w:rFonts w:ascii="Aptos" w:hAnsi="Aptos"/>
                <w:b/>
                <w:color w:val="FFFFFF"/>
                <w:sz w:val="17"/>
              </w:rPr>
              <w:t>Obligation</w:t>
            </w:r>
          </w:p>
        </w:tc>
        <w:tc>
          <w:tcPr>
            <w:tcW w:type="dxa" w:w="4133"/>
            <w:vAlign w:val="center"/>
            <w:shd w:fill="17365D"/>
            <w:tcMar>
              <w:top w:w="90" w:type="dxa"/>
              <w:start w:w="105" w:type="dxa"/>
              <w:bottom w:w="90" w:type="dxa"/>
              <w:end w:w="105" w:type="dxa"/>
            </w:tcMar>
          </w:tcPr>
          <w:p>
            <w:pPr>
              <w:keepNext/>
              <w:spacing w:after="0"/>
            </w:pPr>
            <w:r/>
            <w:r>
              <w:rPr>
                <w:rFonts w:ascii="Aptos" w:hAnsi="Aptos"/>
                <w:b/>
                <w:color w:val="FFFFFF"/>
                <w:sz w:val="17"/>
              </w:rPr>
              <w:t>Reason</w:t>
            </w:r>
          </w:p>
        </w:tc>
      </w:tr>
      <w:tr>
        <w:trPr>
          <w:cantSplit/>
        </w:trPr>
        <w:tc>
          <w:tcPr>
            <w:tcW w:type="dxa" w:w="3672"/>
            <w:vAlign w:val="center"/>
            <w:tcMar>
              <w:top w:w="90" w:type="dxa"/>
              <w:start w:w="105" w:type="dxa"/>
              <w:bottom w:w="90" w:type="dxa"/>
              <w:end w:w="105" w:type="dxa"/>
            </w:tcMar>
            <w:shd w:fill="FFFFFF"/>
          </w:tcPr>
          <w:p>
            <w:pPr>
              <w:spacing w:after="0" w:line="245" w:lineRule="auto"/>
            </w:pPr>
            <w:r/>
            <w:r>
              <w:rPr>
                <w:rFonts w:ascii="Aptos" w:hAnsi="Aptos"/>
                <w:color w:val="20252B"/>
                <w:sz w:val="17"/>
              </w:rPr>
              <w:t>Share accounts, passwords, reset links, OTPs, invite codes, API keys, or active sessions.</w:t>
            </w:r>
          </w:p>
        </w:tc>
        <w:tc>
          <w:tcPr>
            <w:tcW w:type="dxa" w:w="2232"/>
            <w:vAlign w:val="center"/>
            <w:tcMar>
              <w:top w:w="90" w:type="dxa"/>
              <w:start w:w="105" w:type="dxa"/>
              <w:bottom w:w="90" w:type="dxa"/>
              <w:end w:w="105" w:type="dxa"/>
            </w:tcMar>
            <w:shd w:fill="FFFFFF"/>
          </w:tcPr>
          <w:p>
            <w:pPr>
              <w:spacing w:after="0" w:line="245" w:lineRule="auto"/>
            </w:pPr>
            <w:r/>
            <w:r>
              <w:rPr>
                <w:rFonts w:ascii="Aptos" w:hAnsi="Aptos"/>
                <w:color w:val="20252B"/>
                <w:sz w:val="17"/>
              </w:rPr>
              <w:t>Identity and session control.</w:t>
            </w:r>
          </w:p>
        </w:tc>
        <w:tc>
          <w:tcPr>
            <w:tcW w:type="dxa" w:w="4133"/>
            <w:vAlign w:val="center"/>
            <w:tcMar>
              <w:top w:w="90" w:type="dxa"/>
              <w:start w:w="105" w:type="dxa"/>
              <w:bottom w:w="90" w:type="dxa"/>
              <w:end w:w="105" w:type="dxa"/>
            </w:tcMar>
            <w:shd w:fill="FFFFFF"/>
          </w:tcPr>
          <w:p>
            <w:pPr>
              <w:spacing w:after="0" w:line="245" w:lineRule="auto"/>
            </w:pPr>
            <w:r/>
            <w:r>
              <w:rPr>
                <w:rFonts w:ascii="Aptos" w:hAnsi="Aptos"/>
                <w:color w:val="20252B"/>
                <w:sz w:val="17"/>
              </w:rPr>
              <w:t>Preserves user attribution and prevents account takeover.</w:t>
            </w:r>
          </w:p>
        </w:tc>
      </w:tr>
      <w:tr>
        <w:trPr>
          <w:cantSplit/>
        </w:trPr>
        <w:tc>
          <w:tcPr>
            <w:tcW w:type="dxa" w:w="3672"/>
            <w:vAlign w:val="center"/>
            <w:tcMar>
              <w:top w:w="90" w:type="dxa"/>
              <w:start w:w="105" w:type="dxa"/>
              <w:bottom w:w="90" w:type="dxa"/>
              <w:end w:w="105" w:type="dxa"/>
            </w:tcMar>
            <w:shd w:fill="F2F6FA"/>
          </w:tcPr>
          <w:p>
            <w:pPr>
              <w:spacing w:after="0" w:line="245" w:lineRule="auto"/>
            </w:pPr>
            <w:r/>
            <w:r>
              <w:rPr>
                <w:rFonts w:ascii="Aptos" w:hAnsi="Aptos"/>
                <w:color w:val="20252B"/>
                <w:sz w:val="17"/>
              </w:rPr>
              <w:t>View or change another store, role, user record, report, or log without authorization.</w:t>
            </w:r>
          </w:p>
        </w:tc>
        <w:tc>
          <w:tcPr>
            <w:tcW w:type="dxa" w:w="2232"/>
            <w:vAlign w:val="center"/>
            <w:tcMar>
              <w:top w:w="90" w:type="dxa"/>
              <w:start w:w="105" w:type="dxa"/>
              <w:bottom w:w="90" w:type="dxa"/>
              <w:end w:w="105" w:type="dxa"/>
            </w:tcMar>
            <w:shd w:fill="F2F6FA"/>
          </w:tcPr>
          <w:p>
            <w:pPr>
              <w:spacing w:after="0" w:line="245" w:lineRule="auto"/>
            </w:pPr>
            <w:r/>
            <w:r>
              <w:rPr>
                <w:rFonts w:ascii="Aptos" w:hAnsi="Aptos"/>
                <w:color w:val="20252B"/>
                <w:sz w:val="17"/>
              </w:rPr>
              <w:t>Store-scoped access control.</w:t>
            </w:r>
          </w:p>
        </w:tc>
        <w:tc>
          <w:tcPr>
            <w:tcW w:type="dxa" w:w="4133"/>
            <w:vAlign w:val="center"/>
            <w:tcMar>
              <w:top w:w="90" w:type="dxa"/>
              <w:start w:w="105" w:type="dxa"/>
              <w:bottom w:w="90" w:type="dxa"/>
              <w:end w:w="105" w:type="dxa"/>
            </w:tcMar>
            <w:shd w:fill="F2F6FA"/>
          </w:tcPr>
          <w:p>
            <w:pPr>
              <w:spacing w:after="0" w:line="245" w:lineRule="auto"/>
            </w:pPr>
            <w:r/>
            <w:r>
              <w:rPr>
                <w:rFonts w:ascii="Aptos" w:hAnsi="Aptos"/>
                <w:color w:val="20252B"/>
                <w:sz w:val="17"/>
              </w:rPr>
              <w:t>Prevents unauthorized disclosure or posting.</w:t>
            </w:r>
          </w:p>
        </w:tc>
      </w:tr>
      <w:tr>
        <w:trPr>
          <w:cantSplit/>
        </w:trPr>
        <w:tc>
          <w:tcPr>
            <w:tcW w:type="dxa" w:w="3672"/>
            <w:vAlign w:val="center"/>
            <w:tcMar>
              <w:top w:w="90" w:type="dxa"/>
              <w:start w:w="105" w:type="dxa"/>
              <w:bottom w:w="90" w:type="dxa"/>
              <w:end w:w="105" w:type="dxa"/>
            </w:tcMar>
            <w:shd w:fill="FFFFFF"/>
          </w:tcPr>
          <w:p>
            <w:pPr>
              <w:spacing w:after="0" w:line="245" w:lineRule="auto"/>
            </w:pPr>
            <w:r/>
            <w:r>
              <w:rPr>
                <w:rFonts w:ascii="Aptos" w:hAnsi="Aptos"/>
                <w:color w:val="20252B"/>
                <w:sz w:val="17"/>
              </w:rPr>
              <w:t>Alter, delete, fabricate, conceal, or bypass evidence for sales, stock, users, receipts, closeouts, or audit events.</w:t>
            </w:r>
          </w:p>
        </w:tc>
        <w:tc>
          <w:tcPr>
            <w:tcW w:type="dxa" w:w="2232"/>
            <w:vAlign w:val="center"/>
            <w:tcMar>
              <w:top w:w="90" w:type="dxa"/>
              <w:start w:w="105" w:type="dxa"/>
              <w:bottom w:w="90" w:type="dxa"/>
              <w:end w:w="105" w:type="dxa"/>
            </w:tcMar>
            <w:shd w:fill="FFFFFF"/>
          </w:tcPr>
          <w:p>
            <w:pPr>
              <w:spacing w:after="0" w:line="245" w:lineRule="auto"/>
            </w:pPr>
            <w:r/>
            <w:r>
              <w:rPr>
                <w:rFonts w:ascii="Aptos" w:hAnsi="Aptos"/>
                <w:color w:val="20252B"/>
                <w:sz w:val="17"/>
              </w:rPr>
              <w:t>Integrity and auditability.</w:t>
            </w:r>
          </w:p>
        </w:tc>
        <w:tc>
          <w:tcPr>
            <w:tcW w:type="dxa" w:w="4133"/>
            <w:vAlign w:val="center"/>
            <w:tcMar>
              <w:top w:w="90" w:type="dxa"/>
              <w:start w:w="105" w:type="dxa"/>
              <w:bottom w:w="90" w:type="dxa"/>
              <w:end w:w="105" w:type="dxa"/>
            </w:tcMar>
            <w:shd w:fill="FFFFFF"/>
          </w:tcPr>
          <w:p>
            <w:pPr>
              <w:spacing w:after="0" w:line="245" w:lineRule="auto"/>
            </w:pPr>
            <w:r/>
            <w:r>
              <w:rPr>
                <w:rFonts w:ascii="Aptos" w:hAnsi="Aptos"/>
                <w:color w:val="20252B"/>
                <w:sz w:val="17"/>
              </w:rPr>
              <w:t>Keeps financial and inventory records reliable.</w:t>
            </w:r>
          </w:p>
        </w:tc>
      </w:tr>
      <w:tr>
        <w:trPr>
          <w:cantSplit/>
        </w:trPr>
        <w:tc>
          <w:tcPr>
            <w:tcW w:type="dxa" w:w="3672"/>
            <w:vAlign w:val="center"/>
            <w:tcMar>
              <w:top w:w="90" w:type="dxa"/>
              <w:start w:w="105" w:type="dxa"/>
              <w:bottom w:w="90" w:type="dxa"/>
              <w:end w:w="105" w:type="dxa"/>
            </w:tcMar>
            <w:shd w:fill="F2F6FA"/>
          </w:tcPr>
          <w:p>
            <w:pPr>
              <w:spacing w:after="0" w:line="245" w:lineRule="auto"/>
            </w:pPr>
            <w:r/>
            <w:r>
              <w:rPr>
                <w:rFonts w:ascii="Aptos" w:hAnsi="Aptos"/>
                <w:color w:val="20252B"/>
                <w:sz w:val="17"/>
              </w:rPr>
              <w:t xml:space="preserve">Probe production, bypass a control, run an unapproved script, </w:t>
            </w:r>
            <w:commentRangeStart w:id="5"/>
            <w:r>
              <w:rPr>
                <w:rFonts w:ascii="Aptos" w:hAnsi="Aptos"/>
                <w:color w:val="20252B"/>
                <w:sz w:val="17"/>
                <w:highlight w:val="yellow"/>
              </w:rPr>
              <w:t xml:space="preserve">install an unapproved extension</w:t>
            </w:r>
            <w:commentRangeEnd w:id="5"/>
            <w:r>
              <w:rPr>
                <w:rStyle w:val="CommentReference"/>
              </w:rPr>
              <w:commentReference w:id="5"/>
            </w:r>
            <w:r>
              <w:rPr>
                <w:rFonts w:ascii="Aptos" w:hAnsi="Aptos"/>
                <w:color w:val="20252B"/>
                <w:sz w:val="17"/>
              </w:rPr>
              <w:t xml:space="preserve">, or connect unknown equipment.</w:t>
            </w:r>
          </w:p>
        </w:tc>
        <w:tc>
          <w:tcPr>
            <w:tcW w:type="dxa" w:w="2232"/>
            <w:vAlign w:val="center"/>
            <w:tcMar>
              <w:top w:w="90" w:type="dxa"/>
              <w:start w:w="105" w:type="dxa"/>
              <w:bottom w:w="90" w:type="dxa"/>
              <w:end w:w="105" w:type="dxa"/>
            </w:tcMar>
            <w:shd w:fill="F2F6FA"/>
          </w:tcPr>
          <w:p>
            <w:pPr>
              <w:spacing w:after="0" w:line="245" w:lineRule="auto"/>
            </w:pPr>
            <w:r/>
            <w:r>
              <w:rPr>
                <w:rFonts w:ascii="Aptos" w:hAnsi="Aptos"/>
                <w:color w:val="20252B"/>
                <w:sz w:val="17"/>
              </w:rPr>
              <w:t>Change and endpoint security.</w:t>
            </w:r>
          </w:p>
        </w:tc>
        <w:tc>
          <w:tcPr>
            <w:tcW w:type="dxa" w:w="4133"/>
            <w:vAlign w:val="center"/>
            <w:tcMar>
              <w:top w:w="90" w:type="dxa"/>
              <w:start w:w="105" w:type="dxa"/>
              <w:bottom w:w="90" w:type="dxa"/>
              <w:end w:w="105" w:type="dxa"/>
            </w:tcMar>
            <w:shd w:fill="F2F6FA"/>
          </w:tcPr>
          <w:p>
            <w:pPr>
              <w:spacing w:after="0" w:line="245" w:lineRule="auto"/>
            </w:pPr>
            <w:r/>
            <w:r>
              <w:rPr>
                <w:rFonts w:ascii="Aptos" w:hAnsi="Aptos"/>
                <w:color w:val="20252B"/>
                <w:sz w:val="17"/>
              </w:rPr>
              <w:t>Reduces compromise and service interruption.</w:t>
            </w:r>
          </w:p>
        </w:tc>
      </w:tr>
      <w:tr>
        <w:trPr>
          <w:cantSplit/>
        </w:trPr>
        <w:tc>
          <w:tcPr>
            <w:tcW w:type="dxa" w:w="3672"/>
            <w:vAlign w:val="center"/>
            <w:tcMar>
              <w:top w:w="90" w:type="dxa"/>
              <w:start w:w="105" w:type="dxa"/>
              <w:bottom w:w="90" w:type="dxa"/>
              <w:end w:w="105" w:type="dxa"/>
            </w:tcMar>
            <w:shd w:fill="FFFFFF"/>
          </w:tcPr>
          <w:p>
            <w:pPr>
              <w:spacing w:after="0" w:line="245" w:lineRule="auto"/>
            </w:pPr>
            <w:r/>
            <w:r>
              <w:rPr>
                <w:rFonts w:ascii="Aptos" w:hAnsi="Aptos"/>
                <w:color w:val="20252B"/>
                <w:sz w:val="17"/>
              </w:rPr>
              <w:t>Save or transmit full card numbers, PINs, OTPs, wallet passwords, or unnecessary personal information.</w:t>
            </w:r>
          </w:p>
        </w:tc>
        <w:tc>
          <w:tcPr>
            <w:tcW w:type="dxa" w:w="2232"/>
            <w:vAlign w:val="center"/>
            <w:tcMar>
              <w:top w:w="90" w:type="dxa"/>
              <w:start w:w="105" w:type="dxa"/>
              <w:bottom w:w="90" w:type="dxa"/>
              <w:end w:w="105" w:type="dxa"/>
            </w:tcMar>
            <w:shd w:fill="FFFFFF"/>
          </w:tcPr>
          <w:p>
            <w:pPr>
              <w:spacing w:after="0" w:line="245" w:lineRule="auto"/>
            </w:pPr>
            <w:r/>
            <w:r>
              <w:rPr>
                <w:rFonts w:ascii="Aptos" w:hAnsi="Aptos"/>
                <w:color w:val="20252B"/>
                <w:sz w:val="17"/>
              </w:rPr>
              <w:t>Payment-data safety and data minimization.</w:t>
            </w:r>
          </w:p>
        </w:tc>
        <w:tc>
          <w:tcPr>
            <w:tcW w:type="dxa" w:w="4133"/>
            <w:vAlign w:val="center"/>
            <w:tcMar>
              <w:top w:w="90" w:type="dxa"/>
              <w:start w:w="105" w:type="dxa"/>
              <w:bottom w:w="90" w:type="dxa"/>
              <w:end w:w="105" w:type="dxa"/>
            </w:tcMar>
            <w:shd w:fill="FFFFFF"/>
          </w:tcPr>
          <w:p>
            <w:pPr>
              <w:spacing w:after="0" w:line="245" w:lineRule="auto"/>
            </w:pPr>
            <w:r/>
            <w:r>
              <w:rPr>
                <w:rFonts w:ascii="Aptos" w:hAnsi="Aptos"/>
                <w:color w:val="20252B"/>
                <w:sz w:val="17"/>
              </w:rPr>
              <w:t>Reduces privacy and account risk.</w:t>
            </w:r>
          </w:p>
        </w:tc>
      </w:tr>
      <w:tr>
        <w:trPr>
          <w:cantSplit/>
        </w:trPr>
        <w:tc>
          <w:tcPr>
            <w:tcW w:type="dxa" w:w="3672"/>
            <w:vAlign w:val="center"/>
            <w:tcMar>
              <w:top w:w="90" w:type="dxa"/>
              <w:start w:w="105" w:type="dxa"/>
              <w:bottom w:w="90" w:type="dxa"/>
              <w:end w:w="105" w:type="dxa"/>
            </w:tcMar>
            <w:shd w:fill="F2F6FA"/>
          </w:tcPr>
          <w:p>
            <w:pPr>
              <w:spacing w:after="0" w:line="245" w:lineRule="auto"/>
            </w:pPr>
            <w:r/>
            <w:r>
              <w:rPr>
                <w:rFonts w:ascii="Aptos" w:hAnsi="Aptos"/>
                <w:color w:val="20252B"/>
                <w:sz w:val="17"/>
              </w:rPr>
              <w:t>Upload Kodigo data to personal email, public storage, social media, public AI services, or removable media without written approval.</w:t>
            </w:r>
          </w:p>
        </w:tc>
        <w:tc>
          <w:tcPr>
            <w:tcW w:type="dxa" w:w="2232"/>
            <w:vAlign w:val="center"/>
            <w:tcMar>
              <w:top w:w="90" w:type="dxa"/>
              <w:start w:w="105" w:type="dxa"/>
              <w:bottom w:w="90" w:type="dxa"/>
              <w:end w:w="105" w:type="dxa"/>
            </w:tcMar>
            <w:shd w:fill="F2F6FA"/>
          </w:tcPr>
          <w:p>
            <w:pPr>
              <w:spacing w:after="0" w:line="245" w:lineRule="auto"/>
            </w:pPr>
            <w:r/>
            <w:r>
              <w:rPr>
                <w:rFonts w:ascii="Aptos" w:hAnsi="Aptos"/>
                <w:color w:val="20252B"/>
                <w:sz w:val="17"/>
              </w:rPr>
              <w:t>Approved disclosure and transfer.</w:t>
            </w:r>
          </w:p>
        </w:tc>
        <w:tc>
          <w:tcPr>
            <w:tcW w:type="dxa" w:w="4133"/>
            <w:vAlign w:val="center"/>
            <w:tcMar>
              <w:top w:w="90" w:type="dxa"/>
              <w:start w:w="105" w:type="dxa"/>
              <w:bottom w:w="90" w:type="dxa"/>
              <w:end w:w="105" w:type="dxa"/>
            </w:tcMar>
            <w:shd w:fill="F2F6FA"/>
          </w:tcPr>
          <w:p>
            <w:pPr>
              <w:spacing w:after="0" w:line="245" w:lineRule="auto"/>
            </w:pPr>
            <w:r/>
            <w:r>
              <w:rPr>
                <w:rFonts w:ascii="Aptos" w:hAnsi="Aptos"/>
                <w:color w:val="20252B"/>
                <w:sz w:val="17"/>
              </w:rPr>
              <w:t>Prevents uncontrolled copies and disclosure.</w:t>
            </w:r>
          </w:p>
        </w:tc>
      </w:tr>
      <w:tr>
        <w:trPr>
          <w:cantSplit/>
        </w:trPr>
        <w:tc>
          <w:tcPr>
            <w:tcW w:type="dxa" w:w="3672"/>
            <w:vAlign w:val="center"/>
            <w:tcMar>
              <w:top w:w="90" w:type="dxa"/>
              <w:start w:w="105" w:type="dxa"/>
              <w:bottom w:w="90" w:type="dxa"/>
              <w:end w:w="105" w:type="dxa"/>
            </w:tcMar>
            <w:shd w:fill="FFFFFF"/>
          </w:tcPr>
          <w:p>
            <w:pPr>
              <w:spacing w:after="0" w:line="245" w:lineRule="auto"/>
            </w:pPr>
            <w:r/>
            <w:r>
              <w:rPr>
                <w:rFonts w:ascii="Aptos" w:hAnsi="Aptos"/>
                <w:color w:val="20252B"/>
                <w:sz w:val="17"/>
              </w:rPr>
              <w:t>Clear browser data while queued offline work remains, or deliberately disrupt synchronization, logging, or backups.</w:t>
            </w:r>
          </w:p>
        </w:tc>
        <w:tc>
          <w:tcPr>
            <w:tcW w:type="dxa" w:w="2232"/>
            <w:vAlign w:val="center"/>
            <w:tcMar>
              <w:top w:w="90" w:type="dxa"/>
              <w:start w:w="105" w:type="dxa"/>
              <w:bottom w:w="90" w:type="dxa"/>
              <w:end w:w="105" w:type="dxa"/>
            </w:tcMar>
            <w:shd w:fill="FFFFFF"/>
          </w:tcPr>
          <w:p>
            <w:pPr>
              <w:spacing w:after="0" w:line="245" w:lineRule="auto"/>
            </w:pPr>
            <w:r/>
            <w:r>
              <w:rPr>
                <w:rFonts w:ascii="Aptos" w:hAnsi="Aptos"/>
                <w:color w:val="20252B"/>
                <w:sz w:val="17"/>
              </w:rPr>
              <w:t>Continuity and evidence preservation.</w:t>
            </w:r>
          </w:p>
        </w:tc>
        <w:tc>
          <w:tcPr>
            <w:tcW w:type="dxa" w:w="4133"/>
            <w:vAlign w:val="center"/>
            <w:tcMar>
              <w:top w:w="90" w:type="dxa"/>
              <w:start w:w="105" w:type="dxa"/>
              <w:bottom w:w="90" w:type="dxa"/>
              <w:end w:w="105" w:type="dxa"/>
            </w:tcMar>
            <w:shd w:fill="FFFFFF"/>
          </w:tcPr>
          <w:p>
            <w:pPr>
              <w:spacing w:after="0" w:line="245" w:lineRule="auto"/>
            </w:pPr>
            <w:r/>
            <w:r>
              <w:rPr>
                <w:rFonts w:ascii="Aptos" w:hAnsi="Aptos"/>
                <w:color w:val="20252B"/>
                <w:sz w:val="17"/>
              </w:rPr>
              <w:t>Prevents loss, duplicate posting, or missing records.</w:t>
            </w:r>
          </w:p>
        </w:tc>
      </w:tr>
    </w:tbl>
    <w:p>
      <w:pPr>
        <w:spacing w:after="40"/>
      </w:pPr>
    </w:p>
    <w:p>
      <w:pPr>
        <w:pStyle w:val="Heading1"/>
      </w:pPr>
      <w:r>
        <w:t>6. Account, access, and resource rules</w:t>
      </w:r>
    </w:p>
    <w:p>
      <w:pPr>
        <w:spacing w:after="60"/>
        <w:ind w:left="403" w:hanging="403"/>
      </w:pPr>
      <w:r>
        <w:rPr>
          <w:rFonts w:ascii="Aptos" w:hAnsi="Aptos"/>
          <w:color w:val="20252B"/>
          <w:sz w:val="20"/>
        </w:rPr>
        <w:t xml:space="preserve">1. Request access through the assigned Admin or approved access authority. State the business duty, role, store, start date, and any expiry date.</w:t>
      </w:r>
    </w:p>
    <w:p>
      <w:pPr>
        <w:spacing w:after="60"/>
        <w:ind w:left="403" w:hanging="403"/>
      </w:pPr>
      <w:r>
        <w:rPr>
          <w:rFonts w:ascii="Aptos" w:hAnsi="Aptos"/>
          <w:color w:val="20252B"/>
          <w:sz w:val="20"/>
        </w:rPr>
        <w:t xml:space="preserve">2. The Admin verifies the requester and approves only the minimum role and store scope needed. Technical or privacy privileges require a separately recorded approval.</w:t>
      </w:r>
    </w:p>
    <w:p>
      <w:pPr>
        <w:spacing w:after="60"/>
        <w:ind w:left="403" w:hanging="403"/>
      </w:pPr>
      <w:r>
        <w:rPr>
          <w:rFonts w:ascii="Aptos" w:hAnsi="Aptos"/>
          <w:color w:val="20252B"/>
          <w:sz w:val="20"/>
        </w:rPr>
        <w:t xml:space="preserve">3. Use the assigned account only. Lock or log out of a shared terminal when leaving it. Never let another person transact under your session.</w:t>
      </w:r>
    </w:p>
    <w:p>
      <w:pPr>
        <w:spacing w:after="60"/>
        <w:ind w:left="403" w:hanging="403"/>
      </w:pPr>
      <w:r>
        <w:rPr>
          <w:rFonts w:ascii="Aptos" w:hAnsi="Aptos"/>
          <w:color w:val="20252B"/>
          <w:sz w:val="20"/>
        </w:rPr>
        <w:t xml:space="preserve">4. Use the All Stores view only for permitted aggregate review. POS checkout requires a specific active store.</w:t>
      </w:r>
    </w:p>
    <w:p>
      <w:pPr>
        <w:spacing w:after="60"/>
        <w:ind w:left="403" w:hanging="403"/>
      </w:pPr>
      <w:r>
        <w:rPr>
          <w:rFonts w:ascii="Aptos" w:hAnsi="Aptos"/>
          <w:color w:val="20252B"/>
          <w:sz w:val="20"/>
        </w:rPr>
        <w:t xml:space="preserve">5. Do not use production data for demos, tests, screenshots, or training unless approved and minimized.</w:t>
      </w:r>
    </w:p>
    <w:p>
      <w:pPr>
        <w:spacing w:after="60"/>
        <w:ind w:left="403" w:hanging="403"/>
      </w:pPr>
      <w:r>
        <w:rPr>
          <w:rFonts w:ascii="Aptos" w:hAnsi="Aptos"/>
          <w:color w:val="20252B"/>
          <w:sz w:val="20"/>
        </w:rPr>
        <w:t xml:space="preserve">6. The organization reviews roles and store memberships at least quarterly and immediately after termination, role change, transfer, or suspected compromise.</w:t>
      </w:r>
    </w:p>
    <w:p>
      <w:r>
        <w:br w:type="page"/>
      </w:r>
    </w:p>
    <w:p>
      <w:pPr>
        <w:pStyle w:val="Heading1"/>
      </w:pPr>
      <w:r>
        <w:t>7. Data handling and privacy</w:t>
      </w:r>
    </w:p>
    <w:p>
      <w:pPr>
        <w:keepNext/>
        <w:spacing w:before="100" w:after="80"/>
      </w:pPr>
      <w:r>
        <w:rPr>
          <w:rFonts w:ascii="Aptos" w:hAnsi="Aptos"/>
          <w:b/>
          <w:color w:val="000000"/>
          <w:sz w:val="18"/>
        </w:rPr>
        <w:t>Table 5. Minimum data handling rules</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880"/>
        <w:gridCol w:w="7157"/>
      </w:tblGrid>
      <w:tr>
        <w:trPr>
          <w:tblHeader w:val="true"/>
          <w:cantSplit/>
        </w:trPr>
        <w:tc>
          <w:tcPr>
            <w:tcW w:type="dxa" w:w="2880"/>
            <w:vAlign w:val="center"/>
            <w:shd w:fill="17365D"/>
            <w:tcMar>
              <w:top w:w="90" w:type="dxa"/>
              <w:start w:w="105" w:type="dxa"/>
              <w:bottom w:w="90" w:type="dxa"/>
              <w:end w:w="105" w:type="dxa"/>
            </w:tcMar>
          </w:tcPr>
          <w:p>
            <w:pPr>
              <w:keepNext/>
              <w:spacing w:after="0"/>
            </w:pPr>
            <w:r/>
            <w:r>
              <w:rPr>
                <w:rFonts w:ascii="Aptos" w:hAnsi="Aptos"/>
                <w:b/>
                <w:color w:val="FFFFFF"/>
                <w:sz w:val="17"/>
              </w:rPr>
              <w:t>Data group</w:t>
            </w:r>
          </w:p>
        </w:tc>
        <w:tc>
          <w:tcPr>
            <w:tcW w:type="dxa" w:w="7157"/>
            <w:vAlign w:val="center"/>
            <w:shd w:fill="17365D"/>
            <w:tcMar>
              <w:top w:w="90" w:type="dxa"/>
              <w:start w:w="105" w:type="dxa"/>
              <w:bottom w:w="90" w:type="dxa"/>
              <w:end w:w="105" w:type="dxa"/>
            </w:tcMar>
          </w:tcPr>
          <w:p>
            <w:pPr>
              <w:keepNext/>
              <w:spacing w:after="0"/>
            </w:pPr>
            <w:r/>
            <w:r>
              <w:rPr>
                <w:rFonts w:ascii="Aptos" w:hAnsi="Aptos"/>
                <w:b/>
                <w:color w:val="FFFFFF"/>
                <w:sz w:val="17"/>
              </w:rPr>
              <w:t>Required handling</w:t>
            </w:r>
          </w:p>
        </w:tc>
      </w:tr>
      <w:tr>
        <w:trPr>
          <w:cantSplit/>
        </w:trPr>
        <w:tc>
          <w:tcPr>
            <w:tcW w:type="dxa" w:w="2880"/>
            <w:vAlign w:val="center"/>
            <w:tcMar>
              <w:top w:w="90" w:type="dxa"/>
              <w:start w:w="105" w:type="dxa"/>
              <w:bottom w:w="90" w:type="dxa"/>
              <w:end w:w="105" w:type="dxa"/>
            </w:tcMar>
            <w:shd w:fill="FFFFFF"/>
          </w:tcPr>
          <w:p>
            <w:pPr>
              <w:spacing w:after="0" w:line="245" w:lineRule="auto"/>
            </w:pPr>
            <w:r/>
            <w:r>
              <w:rPr>
                <w:rFonts w:ascii="Aptos" w:hAnsi="Aptos"/>
                <w:color w:val="20252B"/>
                <w:sz w:val="17"/>
              </w:rPr>
              <w:t>Internal operational data</w:t>
            </w:r>
          </w:p>
        </w:tc>
        <w:tc>
          <w:tcPr>
            <w:tcW w:type="dxa" w:w="7157"/>
            <w:vAlign w:val="center"/>
            <w:tcMar>
              <w:top w:w="90" w:type="dxa"/>
              <w:start w:w="105" w:type="dxa"/>
              <w:bottom w:w="90" w:type="dxa"/>
              <w:end w:w="105" w:type="dxa"/>
            </w:tcMar>
            <w:shd w:fill="FFFFFF"/>
          </w:tcPr>
          <w:p>
            <w:pPr>
              <w:spacing w:after="0" w:line="245" w:lineRule="auto"/>
            </w:pPr>
            <w:r/>
            <w:r>
              <w:rPr>
                <w:rFonts w:ascii="Aptos" w:hAnsi="Aptos"/>
                <w:color w:val="20252B"/>
                <w:sz w:val="17"/>
              </w:rPr>
              <w:t>Use only for assigned work; do not publish externally.</w:t>
            </w:r>
          </w:p>
        </w:tc>
      </w:tr>
      <w:tr>
        <w:trPr>
          <w:cantSplit/>
        </w:trPr>
        <w:tc>
          <w:tcPr>
            <w:tcW w:type="dxa" w:w="2880"/>
            <w:vAlign w:val="center"/>
            <w:tcMar>
              <w:top w:w="90" w:type="dxa"/>
              <w:start w:w="105" w:type="dxa"/>
              <w:bottom w:w="90" w:type="dxa"/>
              <w:end w:w="105" w:type="dxa"/>
            </w:tcMar>
            <w:shd w:fill="F2F6FA"/>
          </w:tcPr>
          <w:p>
            <w:pPr>
              <w:spacing w:after="0" w:line="245" w:lineRule="auto"/>
            </w:pPr>
            <w:r/>
            <w:r>
              <w:rPr>
                <w:rFonts w:ascii="Aptos" w:hAnsi="Aptos"/>
                <w:color w:val="20252B"/>
                <w:sz w:val="17"/>
              </w:rPr>
              <w:t>Confidential store, supplier, sales, stock, or personal data</w:t>
            </w:r>
          </w:p>
        </w:tc>
        <w:tc>
          <w:tcPr>
            <w:tcW w:type="dxa" w:w="7157"/>
            <w:vAlign w:val="center"/>
            <w:tcMar>
              <w:top w:w="90" w:type="dxa"/>
              <w:start w:w="105" w:type="dxa"/>
              <w:bottom w:w="90" w:type="dxa"/>
              <w:end w:w="105" w:type="dxa"/>
            </w:tcMar>
            <w:shd w:fill="F2F6FA"/>
          </w:tcPr>
          <w:p>
            <w:pPr>
              <w:spacing w:after="0" w:line="245" w:lineRule="auto"/>
            </w:pPr>
            <w:r/>
            <w:r>
              <w:rPr>
                <w:rFonts w:ascii="Aptos" w:hAnsi="Aptos"/>
                <w:color w:val="20252B"/>
                <w:sz w:val="17"/>
              </w:rPr>
              <w:t>Limit access by role and assigned store; use approved encrypted transfer and storage; restrict exports.</w:t>
            </w:r>
          </w:p>
        </w:tc>
      </w:tr>
      <w:tr>
        <w:trPr>
          <w:cantSplit/>
        </w:trPr>
        <w:tc>
          <w:tcPr>
            <w:tcW w:type="dxa" w:w="2880"/>
            <w:vAlign w:val="center"/>
            <w:tcMar>
              <w:top w:w="90" w:type="dxa"/>
              <w:start w:w="105" w:type="dxa"/>
              <w:bottom w:w="90" w:type="dxa"/>
              <w:end w:w="105" w:type="dxa"/>
            </w:tcMar>
            <w:shd w:fill="FFFFFF"/>
          </w:tcPr>
          <w:p>
            <w:pPr>
              <w:spacing w:after="0" w:line="245" w:lineRule="auto"/>
            </w:pPr>
            <w:r/>
            <w:r>
              <w:rPr>
                <w:rFonts w:ascii="Aptos" w:hAnsi="Aptos"/>
                <w:color w:val="20252B"/>
                <w:sz w:val="17"/>
              </w:rPr>
              <w:t>Restricted credentials, security logs, payment references, or backups</w:t>
            </w:r>
          </w:p>
        </w:tc>
        <w:tc>
          <w:tcPr>
            <w:tcW w:type="dxa" w:w="7157"/>
            <w:vAlign w:val="center"/>
            <w:tcMar>
              <w:top w:w="90" w:type="dxa"/>
              <w:start w:w="105" w:type="dxa"/>
              <w:bottom w:w="90" w:type="dxa"/>
              <w:end w:w="105" w:type="dxa"/>
            </w:tcMar>
            <w:shd w:fill="FFFFFF"/>
          </w:tcPr>
          <w:p>
            <w:pPr>
              <w:spacing w:after="0" w:line="245" w:lineRule="auto"/>
            </w:pPr>
            <w:r/>
            <w:r>
              <w:rPr>
                <w:rFonts w:ascii="Aptos" w:hAnsi="Aptos"/>
                <w:color w:val="20252B"/>
                <w:sz w:val="17"/>
              </w:rPr>
              <w:t>Grant named need-to-know access, avoid casual export, preserve audit evidence, and dispose only under an approved retention schedule.</w:t>
            </w:r>
          </w:p>
        </w:tc>
      </w:tr>
      <w:tr>
        <w:trPr>
          <w:cantSplit/>
        </w:trPr>
        <w:tc>
          <w:tcPr>
            <w:tcW w:type="dxa" w:w="2880"/>
            <w:vAlign w:val="center"/>
            <w:tcMar>
              <w:top w:w="90" w:type="dxa"/>
              <w:start w:w="105" w:type="dxa"/>
              <w:bottom w:w="90" w:type="dxa"/>
              <w:end w:w="105" w:type="dxa"/>
            </w:tcMar>
            <w:shd w:fill="F2F6FA"/>
          </w:tcPr>
          <w:p>
            <w:pPr>
              <w:spacing w:after="0" w:line="245" w:lineRule="auto"/>
            </w:pPr>
            <w:r/>
            <w:r>
              <w:rPr>
                <w:rFonts w:ascii="Aptos" w:hAnsi="Aptos"/>
                <w:color w:val="20252B"/>
                <w:sz w:val="17"/>
              </w:rPr>
              <w:t>Payment data</w:t>
            </w:r>
          </w:p>
        </w:tc>
        <w:tc>
          <w:tcPr>
            <w:tcW w:type="dxa" w:w="7157"/>
            <w:vAlign w:val="center"/>
            <w:tcMar>
              <w:top w:w="90" w:type="dxa"/>
              <w:start w:w="105" w:type="dxa"/>
              <w:bottom w:w="90" w:type="dxa"/>
              <w:end w:w="105" w:type="dxa"/>
            </w:tcMar>
            <w:shd w:fill="F2F6FA"/>
          </w:tcPr>
          <w:p>
            <w:pPr>
              <w:spacing w:after="0" w:line="245" w:lineRule="auto"/>
            </w:pPr>
            <w:r/>
            <w:r>
              <w:rPr>
                <w:rFonts w:ascii="Aptos" w:hAnsi="Aptos"/>
                <w:color w:val="20252B"/>
                <w:sz w:val="17"/>
              </w:rPr>
              <w:t>Keep only the supported payment method and limited or masked reference when needed. Kodigo must not store a full card number, PIN, OTP, or wallet password.</w:t>
            </w:r>
          </w:p>
        </w:tc>
      </w:tr>
    </w:tbl>
    <w:p>
      <w:pPr>
        <w:spacing w:after="40"/>
      </w:pPr>
    </w:p>
    <w:p>
      <w:r>
        <w:rPr>
          <w:rFonts w:ascii="Aptos" w:hAnsi="Aptos"/>
          <w:i w:val="0"/>
          <w:color w:val="20252B"/>
          <w:sz w:val="20"/>
        </w:rPr>
        <w:t xml:space="preserve">The deploying organization is responsible for completing the privacy notice, deciding retention periods, responding to data-subject requests, and reviewing applicable Philippine privacy requirements. </w:t>
      </w:r>
      <w:commentRangeStart w:id="6"/>
      <w:r>
        <w:rPr>
          <w:rFonts w:ascii="Aptos" w:hAnsi="Aptos"/>
          <w:i w:val="0"/>
          <w:color w:val="20252B"/>
          <w:sz w:val="20"/>
          <w:highlight w:val="yellow"/>
        </w:rPr>
        <w:t xml:space="preserve">The repository does not establish the legal identity or contact details of the deploying organization.</w:t>
      </w:r>
      <w:commentRangeEnd w:id="6"/>
      <w:r>
        <w:rPr>
          <w:rStyle w:val="CommentReference"/>
        </w:rPr>
        <w:commentReference w:id="6"/>
      </w:r>
    </w:p>
    <w:p>
      <w:pPr>
        <w:pStyle w:val="Heading1"/>
      </w:pPr>
      <w:r>
        <w:t>8. Monitoring, training, and compliance</w:t>
      </w:r>
    </w:p>
    <w:p>
      <w:r>
        <w:rPr>
          <w:rFonts w:ascii="Aptos" w:hAnsi="Aptos"/>
          <w:i w:val="0"/>
          <w:color w:val="20252B"/>
          <w:sz w:val="20"/>
        </w:rPr>
        <w:t>Kodigo records application activity needed for operations, security, error diagnosis, transaction lifecycle, and audit evidence. Depending on configuration, records may include user and store context, transaction or stock events, report-export notices, client errors, authentication state, and limited browser or device context. Authorized administrators review these records only for a documented business, support, security, audit, or privacy purpose. This policy does not authorize indiscriminate inspection of personal content on a BYOD device.</w:t>
      </w:r>
    </w:p>
    <w:p>
      <w:pPr>
        <w:pStyle w:val="ListBullet"/>
      </w:pPr>
      <w:r>
        <w:rPr>
          <w:rFonts w:ascii="Aptos" w:hAnsi="Aptos"/>
          <w:color w:val="20252B"/>
          <w:sz w:val="20"/>
        </w:rPr>
        <w:t>Complete role-appropriate onboarding and refresher training before handling live transactions or sensitive administrative actions.</w:t>
      </w:r>
    </w:p>
    <w:p>
      <w:pPr>
        <w:pStyle w:val="ListBullet"/>
      </w:pPr>
      <w:r>
        <w:rPr>
          <w:rFonts w:ascii="Aptos" w:hAnsi="Aptos"/>
          <w:color w:val="20252B"/>
          <w:sz w:val="20"/>
        </w:rPr>
        <w:t>The organization records the role, training date, relevant practice scenarios, trainer, and any remediation needed.</w:t>
      </w:r>
    </w:p>
    <w:p>
      <w:pPr>
        <w:pStyle w:val="ListBullet"/>
      </w:pPr>
      <w:r>
        <w:rPr>
          <w:rFonts w:ascii="Aptos" w:hAnsi="Aptos"/>
          <w:color w:val="20252B"/>
          <w:sz w:val="20"/>
        </w:rPr>
        <w:t>The System Administrator reviews technical alerts and access evidence; the Admin reviews store-level access and operational discrepancies; the Privacy Contact reviews privacy-related events.</w:t>
      </w:r>
    </w:p>
    <w:p>
      <w:pPr>
        <w:pStyle w:val="ListBullet"/>
      </w:pPr>
      <w:r>
        <w:rPr>
          <w:rFonts w:ascii="Aptos" w:hAnsi="Aptos"/>
          <w:color w:val="20252B"/>
          <w:sz w:val="20"/>
        </w:rPr>
        <w:t>The organization defines its support channel, record-retention period, and review owner before production deployment.</w:t>
      </w:r>
    </w:p>
    <w:p>
      <w:pPr>
        <w:pStyle w:val="Heading1"/>
      </w:pPr>
      <w:r>
        <w:t>9. Incident reporting and response</w:t>
      </w:r>
    </w:p>
    <w:p>
      <w:r>
        <w:rPr>
          <w:rFonts w:ascii="Aptos" w:hAnsi="Aptos"/>
          <w:i w:val="0"/>
          <w:color w:val="20252B"/>
          <w:sz w:val="20"/>
        </w:rPr>
        <w:t>Immediately report suspected account compromise, lost device, unauthorized store access, incorrect or missing sale, unexpected stock movement, data exposure, suspicious activity, or a privacy concern through the approved support channel. Preserve the time, store, screen message, transaction or product identifier, and safe evidence. Do not include passwords, OTPs, full payment credentials, or unnecessary identity documents in a ticket.</w:t>
      </w:r>
    </w:p>
    <w:p>
      <w:commentRangeStart w:id="7"/>
      <w:r>
        <w:rPr>
          <w:rFonts w:ascii="Aptos" w:hAnsi="Aptos"/>
          <w:i w:val="0"/>
          <w:color w:val="20252B"/>
          <w:sz w:val="20"/>
          <w:highlight w:val="yellow"/>
        </w:rPr>
        <w:t xml:space="preserve">Support channel: OWNER INPUT</w:t>
      </w:r>
      <w:commentRangeEnd w:id="7"/>
      <w:r>
        <w:rPr>
          <w:rStyle w:val="CommentReference"/>
        </w:rPr>
        <w:commentReference w:id="7"/>
      </w:r>
      <w:r>
        <w:rPr>
          <w:rFonts w:ascii="Aptos" w:hAnsi="Aptos"/>
          <w:i w:val="0"/>
          <w:color w:val="20252B"/>
          <w:sz w:val="20"/>
        </w:rPr>
        <w:t xml:space="preserve">: name the ticketing system, email, or phone channel and service hours.</w:t>
      </w:r>
    </w:p>
    <w:p>
      <w:r>
        <w:rPr>
          <w:rFonts w:ascii="Aptos" w:hAnsi="Aptos"/>
          <w:i w:val="0"/>
          <w:color w:val="20252B"/>
          <w:sz w:val="20"/>
        </w:rPr>
        <w:t>The incident owner classifies impact and urgency, assigns a priority, documents actions, limits access where needed, escalates privacy or major incidents to the Privacy Contact and IT Manager, validates recovery with the reporter, and records lessons and follow-up actions. Only the authorized incident lead or Privacy Contact may coordinate external notifications.</w:t>
      </w:r>
    </w:p>
    <w:p>
      <w:r>
        <w:br w:type="page"/>
      </w:r>
    </w:p>
    <w:p>
      <w:pPr>
        <w:pStyle w:val="Heading1"/>
      </w:pPr>
      <w:r>
        <w:t>10. Violations, enforcement, and exceptions</w:t>
      </w:r>
    </w:p>
    <w:p>
      <w:r>
        <w:rPr>
          <w:rFonts w:ascii="Aptos" w:hAnsi="Aptos"/>
          <w:i w:val="0"/>
          <w:color w:val="20252B"/>
          <w:sz w:val="20"/>
        </w:rPr>
        <w:t xml:space="preserve">A suspected violation is documented and assessed by an authorized manager. Where necessary to protect people or records, access may be temporarily restricted while the issue is investigated. The organization preserves relevant logs, informs the appropriate manager or Privacy Contact, gives the affected user a fair opportunity to provide facts under applicable organizational procedures, and records the outcome. </w:t>
      </w:r>
      <w:commentRangeStart w:id="8"/>
      <w:r>
        <w:rPr>
          <w:rFonts w:ascii="Aptos" w:hAnsi="Aptos"/>
          <w:i w:val="0"/>
          <w:color w:val="20252B"/>
          <w:sz w:val="20"/>
          <w:highlight w:val="yellow"/>
        </w:rPr>
        <w:t xml:space="preserve">Proportionate outcomes may include coaching, retraining</w:t>
      </w:r>
      <w:commentRangeEnd w:id="8"/>
      <w:r>
        <w:rPr>
          <w:rStyle w:val="CommentReference"/>
        </w:rPr>
        <w:commentReference w:id="8"/>
      </w:r>
      <w:r>
        <w:rPr>
          <w:rFonts w:ascii="Aptos" w:hAnsi="Aptos"/>
          <w:i w:val="0"/>
          <w:color w:val="20252B"/>
          <w:sz w:val="20"/>
        </w:rPr>
        <w:t xml:space="preserve">, access correction, access suspension, disciplinary action, contract remedies, or lawful referral. Applicable employment, contract, and privacy requirements control.</w:t>
      </w:r>
    </w:p>
    <w:p>
      <w:r>
        <w:rPr>
          <w:rFonts w:ascii="Aptos" w:hAnsi="Aptos"/>
          <w:i w:val="0"/>
          <w:color w:val="20252B"/>
          <w:sz w:val="20"/>
        </w:rPr>
        <w:t>An exception must state the business need, data and systems involved, compensating controls, accountable owner, approver, and expiry date. No exception may waive a legal requirement or authorize storing full card numbers, PINs, OTPs, or wallet passwords.</w:t>
      </w:r>
    </w:p>
    <w:p>
      <w:pPr>
        <w:pStyle w:val="Heading1"/>
      </w:pPr>
      <w:r>
        <w:t>11. Document ownership and review</w:t>
      </w:r>
    </w:p>
    <w:p>
      <w:r>
        <w:rPr>
          <w:rFonts w:ascii="Aptos" w:hAnsi="Aptos"/>
          <w:i w:val="0"/>
          <w:color w:val="20252B"/>
          <w:sz w:val="20"/>
        </w:rPr>
        <w:t>Document owner: Evon Christian P Vergara. This is the final issue following completion of the peer-review rubric audit; no separate document approval is required.</w:t>
      </w:r>
    </w:p>
    <w:p>
      <w:r>
        <w:rPr>
          <w:rFonts w:ascii="Aptos" w:hAnsi="Aptos"/>
          <w:i w:val="0"/>
          <w:color w:val="20252B"/>
          <w:sz w:val="20"/>
        </w:rPr>
        <w:t>Review at least annually and when roles, system functions, relevant law, or risk conditions materially change. Keep approved versions and acknowledgments in a restricted, auditable location.</w:t>
      </w:r>
    </w:p>
    <w:p>
      <w:pPr>
        <w:pStyle w:val="Heading1"/>
      </w:pPr>
      <w:r>
        <w:t>12. Acceptable Use Acknowledgment</w:t>
      </w:r>
    </w:p>
    <w:p>
      <w:r>
        <w:rPr>
          <w:rFonts w:ascii="Aptos" w:hAnsi="Aptos"/>
          <w:i w:val="0"/>
          <w:color w:val="20252B"/>
          <w:sz w:val="20"/>
        </w:rPr>
        <w:t>Complete before production access and again after a material policy revision. The organization retains the signed record under its approved retention schedule.</w:t>
      </w:r>
    </w:p>
    <w:p>
      <w:pPr>
        <w:keepNext/>
        <w:spacing w:before="100" w:after="80"/>
      </w:pPr>
      <w:r>
        <w:rPr>
          <w:rFonts w:ascii="Aptos" w:hAnsi="Aptos"/>
          <w:b/>
          <w:color w:val="000000"/>
          <w:sz w:val="18"/>
        </w:rPr>
        <w:t>Table 6. User acknowledgment form</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880"/>
        <w:gridCol w:w="7157"/>
      </w:tblGrid>
      <w:tr>
        <w:trPr>
          <w:tblHeader w:val="true"/>
          <w:cantSplit/>
        </w:trPr>
        <w:tc>
          <w:tcPr>
            <w:tcW w:type="dxa" w:w="2880"/>
            <w:vAlign w:val="center"/>
            <w:shd w:fill="17365D"/>
            <w:tcMar>
              <w:top w:w="90" w:type="dxa"/>
              <w:start w:w="105" w:type="dxa"/>
              <w:bottom w:w="90" w:type="dxa"/>
              <w:end w:w="105" w:type="dxa"/>
            </w:tcMar>
          </w:tcPr>
          <w:p>
            <w:pPr>
              <w:keepNext/>
              <w:spacing w:after="0"/>
            </w:pPr>
            <w:r/>
            <w:r>
              <w:rPr>
                <w:rFonts w:ascii="Aptos" w:hAnsi="Aptos"/>
                <w:b/>
                <w:color w:val="FFFFFF"/>
                <w:sz w:val="18"/>
              </w:rPr>
              <w:t>Field</w:t>
            </w:r>
          </w:p>
        </w:tc>
        <w:tc>
          <w:tcPr>
            <w:tcW w:type="dxa" w:w="7157"/>
            <w:vAlign w:val="center"/>
            <w:shd w:fill="17365D"/>
            <w:tcMar>
              <w:top w:w="90" w:type="dxa"/>
              <w:start w:w="105" w:type="dxa"/>
              <w:bottom w:w="90" w:type="dxa"/>
              <w:end w:w="105" w:type="dxa"/>
            </w:tcMar>
          </w:tcPr>
          <w:p>
            <w:pPr>
              <w:keepNext/>
              <w:spacing w:after="0"/>
            </w:pPr>
            <w:r/>
            <w:r>
              <w:rPr>
                <w:rFonts w:ascii="Aptos" w:hAnsi="Aptos"/>
                <w:b/>
                <w:color w:val="FFFFFF"/>
                <w:sz w:val="18"/>
              </w:rPr>
              <w:t>Entry</w:t>
            </w:r>
          </w:p>
        </w:tc>
      </w:tr>
      <w:tr>
        <w:trPr>
          <w:cantSplit/>
        </w:trPr>
        <w:tc>
          <w:tcPr>
            <w:tcW w:type="dxa" w:w="2880"/>
            <w:vAlign w:val="center"/>
            <w:tcMar>
              <w:top w:w="90" w:type="dxa"/>
              <w:start w:w="105" w:type="dxa"/>
              <w:bottom w:w="90" w:type="dxa"/>
              <w:end w:w="105" w:type="dxa"/>
            </w:tcMar>
            <w:shd w:fill="FFFFFF"/>
          </w:tcPr>
          <w:p>
            <w:pPr>
              <w:spacing w:after="0" w:line="245" w:lineRule="auto"/>
            </w:pPr>
            <w:r/>
            <w:r>
              <w:rPr>
                <w:rFonts w:ascii="Aptos" w:hAnsi="Aptos"/>
                <w:color w:val="20252B"/>
                <w:sz w:val="18"/>
              </w:rPr>
              <w:t>Full name</w:t>
            </w:r>
          </w:p>
        </w:tc>
        <w:tc>
          <w:tcPr>
            <w:tcW w:type="dxa" w:w="7157"/>
            <w:vAlign w:val="center"/>
            <w:tcMar>
              <w:top w:w="90" w:type="dxa"/>
              <w:start w:w="105" w:type="dxa"/>
              <w:bottom w:w="90" w:type="dxa"/>
              <w:end w:w="105" w:type="dxa"/>
            </w:tcMar>
            <w:shd w:fill="FFFFFF"/>
          </w:tcPr>
          <w:p>
            <w:pPr>
              <w:spacing w:after="0" w:line="245" w:lineRule="auto"/>
            </w:pPr>
            <w:r/>
            <w:r>
              <w:rPr>
                <w:rFonts w:ascii="Aptos" w:hAnsi="Aptos"/>
                <w:color w:val="20252B"/>
                <w:sz w:val="18"/>
              </w:rPr>
              <w:t>____________________________________________________________</w:t>
            </w:r>
          </w:p>
        </w:tc>
      </w:tr>
      <w:tr>
        <w:trPr>
          <w:cantSplit/>
        </w:trPr>
        <w:tc>
          <w:tcPr>
            <w:tcW w:type="dxa" w:w="2880"/>
            <w:vAlign w:val="center"/>
            <w:tcMar>
              <w:top w:w="90" w:type="dxa"/>
              <w:start w:w="105" w:type="dxa"/>
              <w:bottom w:w="90" w:type="dxa"/>
              <w:end w:w="105" w:type="dxa"/>
            </w:tcMar>
            <w:shd w:fill="F2F6FA"/>
          </w:tcPr>
          <w:p>
            <w:pPr>
              <w:spacing w:after="0" w:line="245" w:lineRule="auto"/>
            </w:pPr>
            <w:r/>
            <w:r>
              <w:rPr>
                <w:rFonts w:ascii="Aptos" w:hAnsi="Aptos"/>
                <w:color w:val="20252B"/>
                <w:sz w:val="18"/>
              </w:rPr>
              <w:t>User / employee ID</w:t>
            </w:r>
          </w:p>
        </w:tc>
        <w:tc>
          <w:tcPr>
            <w:tcW w:type="dxa" w:w="7157"/>
            <w:vAlign w:val="center"/>
            <w:tcMar>
              <w:top w:w="90" w:type="dxa"/>
              <w:start w:w="105" w:type="dxa"/>
              <w:bottom w:w="90" w:type="dxa"/>
              <w:end w:w="105" w:type="dxa"/>
            </w:tcMar>
            <w:shd w:fill="F2F6FA"/>
          </w:tcPr>
          <w:p>
            <w:pPr>
              <w:spacing w:after="0" w:line="245" w:lineRule="auto"/>
            </w:pPr>
            <w:r/>
            <w:r>
              <w:rPr>
                <w:rFonts w:ascii="Aptos" w:hAnsi="Aptos"/>
                <w:color w:val="20252B"/>
                <w:sz w:val="18"/>
              </w:rPr>
              <w:t>____________________________________________________________</w:t>
            </w:r>
          </w:p>
        </w:tc>
      </w:tr>
      <w:tr>
        <w:trPr>
          <w:cantSplit/>
        </w:trPr>
        <w:tc>
          <w:tcPr>
            <w:tcW w:type="dxa" w:w="2880"/>
            <w:vAlign w:val="center"/>
            <w:tcMar>
              <w:top w:w="90" w:type="dxa"/>
              <w:start w:w="105" w:type="dxa"/>
              <w:bottom w:w="90" w:type="dxa"/>
              <w:end w:w="105" w:type="dxa"/>
            </w:tcMar>
            <w:shd w:fill="FFFFFF"/>
          </w:tcPr>
          <w:p>
            <w:pPr>
              <w:spacing w:after="0" w:line="245" w:lineRule="auto"/>
            </w:pPr>
            <w:r/>
            <w:r>
              <w:rPr>
                <w:rFonts w:ascii="Aptos" w:hAnsi="Aptos"/>
                <w:color w:val="20252B"/>
                <w:sz w:val="18"/>
              </w:rPr>
              <w:t>Role and assigned store</w:t>
            </w:r>
          </w:p>
        </w:tc>
        <w:tc>
          <w:tcPr>
            <w:tcW w:type="dxa" w:w="7157"/>
            <w:vAlign w:val="center"/>
            <w:tcMar>
              <w:top w:w="90" w:type="dxa"/>
              <w:start w:w="105" w:type="dxa"/>
              <w:bottom w:w="90" w:type="dxa"/>
              <w:end w:w="105" w:type="dxa"/>
            </w:tcMar>
            <w:shd w:fill="FFFFFF"/>
          </w:tcPr>
          <w:p>
            <w:pPr>
              <w:spacing w:after="0" w:line="245" w:lineRule="auto"/>
            </w:pPr>
            <w:r/>
            <w:r>
              <w:rPr>
                <w:rFonts w:ascii="Aptos" w:hAnsi="Aptos"/>
                <w:color w:val="20252B"/>
                <w:sz w:val="18"/>
              </w:rPr>
              <w:t>____________________________________________________________</w:t>
            </w:r>
          </w:p>
        </w:tc>
      </w:tr>
      <w:tr>
        <w:trPr>
          <w:cantSplit/>
        </w:trPr>
        <w:tc>
          <w:tcPr>
            <w:tcW w:type="dxa" w:w="2880"/>
            <w:vAlign w:val="center"/>
            <w:tcMar>
              <w:top w:w="90" w:type="dxa"/>
              <w:start w:w="105" w:type="dxa"/>
              <w:bottom w:w="90" w:type="dxa"/>
              <w:end w:w="105" w:type="dxa"/>
            </w:tcMar>
            <w:shd w:fill="F2F6FA"/>
          </w:tcPr>
          <w:p>
            <w:pPr>
              <w:spacing w:after="0" w:line="245" w:lineRule="auto"/>
            </w:pPr>
            <w:r/>
            <w:r>
              <w:rPr>
                <w:rFonts w:ascii="Aptos" w:hAnsi="Aptos"/>
                <w:color w:val="20252B"/>
                <w:sz w:val="18"/>
              </w:rPr>
              <w:t>Policy version reviewed</w:t>
            </w:r>
          </w:p>
        </w:tc>
        <w:tc>
          <w:tcPr>
            <w:tcW w:type="dxa" w:w="7157"/>
            <w:vAlign w:val="center"/>
            <w:tcMar>
              <w:top w:w="90" w:type="dxa"/>
              <w:start w:w="105" w:type="dxa"/>
              <w:bottom w:w="90" w:type="dxa"/>
              <w:end w:w="105" w:type="dxa"/>
            </w:tcMar>
            <w:shd w:fill="F2F6FA"/>
          </w:tcPr>
          <w:p>
            <w:pPr>
              <w:spacing w:after="0" w:line="245" w:lineRule="auto"/>
            </w:pPr>
            <w:r/>
            <w:r>
              <w:rPr>
                <w:rFonts w:ascii="Aptos" w:hAnsi="Aptos"/>
                <w:color w:val="20252B"/>
                <w:sz w:val="18"/>
              </w:rPr>
              <w:t>Version 1.3 | 5 October 2026</w:t>
            </w:r>
          </w:p>
        </w:tc>
      </w:tr>
      <w:tr>
        <w:trPr>
          <w:cantSplit/>
        </w:trPr>
        <w:tc>
          <w:tcPr>
            <w:tcW w:type="dxa" w:w="2880"/>
            <w:vAlign w:val="center"/>
            <w:tcMar>
              <w:top w:w="90" w:type="dxa"/>
              <w:start w:w="105" w:type="dxa"/>
              <w:bottom w:w="90" w:type="dxa"/>
              <w:end w:w="105" w:type="dxa"/>
            </w:tcMar>
            <w:shd w:fill="FFFFFF"/>
          </w:tcPr>
          <w:p>
            <w:pPr>
              <w:spacing w:after="0" w:line="245" w:lineRule="auto"/>
            </w:pPr>
            <w:r/>
            <w:r>
              <w:rPr>
                <w:rFonts w:ascii="Aptos" w:hAnsi="Aptos"/>
                <w:color w:val="20252B"/>
                <w:sz w:val="18"/>
              </w:rPr>
              <w:t>Training completed / date</w:t>
            </w:r>
          </w:p>
        </w:tc>
        <w:tc>
          <w:tcPr>
            <w:tcW w:type="dxa" w:w="7157"/>
            <w:vAlign w:val="center"/>
            <w:tcMar>
              <w:top w:w="90" w:type="dxa"/>
              <w:start w:w="105" w:type="dxa"/>
              <w:bottom w:w="90" w:type="dxa"/>
              <w:end w:w="105" w:type="dxa"/>
            </w:tcMar>
            <w:shd w:fill="FFFFFF"/>
          </w:tcPr>
          <w:p>
            <w:pPr>
              <w:spacing w:after="0" w:line="245" w:lineRule="auto"/>
            </w:pPr>
            <w:r/>
            <w:r>
              <w:rPr>
                <w:rFonts w:ascii="Aptos" w:hAnsi="Aptos"/>
                <w:color w:val="20252B"/>
                <w:sz w:val="18"/>
              </w:rPr>
              <w:t>____________________________________________________________</w:t>
            </w:r>
          </w:p>
        </w:tc>
      </w:tr>
      <w:tr>
        <w:trPr>
          <w:cantSplit/>
        </w:trPr>
        <w:tc>
          <w:tcPr>
            <w:tcW w:type="dxa" w:w="2880"/>
            <w:vAlign w:val="center"/>
            <w:tcMar>
              <w:top w:w="90" w:type="dxa"/>
              <w:start w:w="105" w:type="dxa"/>
              <w:bottom w:w="90" w:type="dxa"/>
              <w:end w:w="105" w:type="dxa"/>
            </w:tcMar>
            <w:shd w:fill="F2F6FA"/>
          </w:tcPr>
          <w:p>
            <w:pPr>
              <w:spacing w:after="0" w:line="245" w:lineRule="auto"/>
            </w:pPr>
            <w:r/>
            <w:r>
              <w:rPr>
                <w:rFonts w:ascii="Aptos" w:hAnsi="Aptos"/>
                <w:color w:val="20252B"/>
                <w:sz w:val="18"/>
              </w:rPr>
              <w:t>User signature / date</w:t>
            </w:r>
          </w:p>
        </w:tc>
        <w:tc>
          <w:tcPr>
            <w:tcW w:type="dxa" w:w="7157"/>
            <w:vAlign w:val="center"/>
            <w:tcMar>
              <w:top w:w="90" w:type="dxa"/>
              <w:start w:w="105" w:type="dxa"/>
              <w:bottom w:w="90" w:type="dxa"/>
              <w:end w:w="105" w:type="dxa"/>
            </w:tcMar>
            <w:shd w:fill="F2F6FA"/>
          </w:tcPr>
          <w:p>
            <w:pPr>
              <w:spacing w:after="0" w:line="245" w:lineRule="auto"/>
            </w:pPr>
            <w:r/>
            <w:r>
              <w:rPr>
                <w:rFonts w:ascii="Aptos" w:hAnsi="Aptos"/>
                <w:color w:val="20252B"/>
                <w:sz w:val="18"/>
              </w:rPr>
              <w:t>____________________________________________________________</w:t>
            </w:r>
          </w:p>
        </w:tc>
      </w:tr>
      <w:tr>
        <w:trPr>
          <w:cantSplit/>
        </w:trPr>
        <w:tc>
          <w:tcPr>
            <w:tcW w:type="dxa" w:w="2880"/>
            <w:vAlign w:val="center"/>
            <w:tcMar>
              <w:top w:w="90" w:type="dxa"/>
              <w:start w:w="105" w:type="dxa"/>
              <w:bottom w:w="90" w:type="dxa"/>
              <w:end w:w="105" w:type="dxa"/>
            </w:tcMar>
            <w:shd w:fill="FFFFFF"/>
          </w:tcPr>
          <w:p>
            <w:pPr>
              <w:spacing w:after="0" w:line="245" w:lineRule="auto"/>
            </w:pPr>
            <w:r/>
            <w:r>
              <w:rPr>
                <w:rFonts w:ascii="Aptos" w:hAnsi="Aptos"/>
                <w:color w:val="20252B"/>
                <w:sz w:val="18"/>
              </w:rPr>
              <w:t>Approver / supervisor / date</w:t>
            </w:r>
          </w:p>
        </w:tc>
        <w:tc>
          <w:tcPr>
            <w:tcW w:type="dxa" w:w="7157"/>
            <w:vAlign w:val="center"/>
            <w:tcMar>
              <w:top w:w="90" w:type="dxa"/>
              <w:start w:w="105" w:type="dxa"/>
              <w:bottom w:w="90" w:type="dxa"/>
              <w:end w:w="105" w:type="dxa"/>
            </w:tcMar>
            <w:shd w:fill="FFFFFF"/>
          </w:tcPr>
          <w:p>
            <w:pPr>
              <w:spacing w:after="0" w:line="245" w:lineRule="auto"/>
            </w:pPr>
            <w:r/>
            <w:r>
              <w:rPr>
                <w:rFonts w:ascii="Aptos" w:hAnsi="Aptos"/>
                <w:color w:val="20252B"/>
                <w:sz w:val="18"/>
              </w:rPr>
              <w:t>____________________________________________________________</w:t>
            </w:r>
          </w:p>
        </w:tc>
      </w:tr>
    </w:tbl>
    <w:p>
      <w:pPr>
        <w:spacing w:after="40"/>
      </w:pPr>
    </w:p>
    <w:p>
      <w:r>
        <w:rPr>
          <w:rFonts w:ascii="Aptos" w:hAnsi="Aptos"/>
          <w:i w:val="0"/>
          <w:color w:val="20252B"/>
          <w:sz w:val="20"/>
        </w:rPr>
        <w:t>Acknowledgment: I have read and understood this Acceptable Use Policy. I will use Kodigo only for authorized business purposes, protect my account, follow role and store access restrictions, handle data as required, report suspected incidents promptly, and complete required offboarding steps.</w:t>
      </w:r>
    </w:p>
    <w:sectPr w:rsidR="00FC693F" w:rsidRPr="0006063C" w:rsidSect="00034616">
      <w:headerReference w:type="default" r:id="rId9"/>
      <w:footerReference w:type="default" r:id="rId10"/>
      <w:pgSz w:w="11909" w:h="16834"/>
      <w:pgMar w:top="1037" w:right="936" w:bottom="979" w:left="936" w:header="461" w:footer="46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chin Dipolog" w:date="2026-10-06T16:01:55Z" w:initials="WD">
    <w:p w14:paraId="38C1971C" w14:textId="77777777">
      <w:r>
        <w:rPr>
          <w:rStyle w:val="CommentReference"/>
        </w:rPr>
        <w:annotationRef/>
      </w:r>
      <w:r>
        <w:rPr>
          <w:color w:val="000000"/>
          <w:sz w:val="20"/>
          <w:szCs w:val="20"/>
        </w:rPr>
        <w:t xml:space="preserve">- Remove this. A self-scored rubric result doesn't belong in document control, and it is not the official grade.</w:t>
      </w:r>
    </w:p>
  </w:comment>
  <w:comment w:id="1" w:author="Wilchin Dipolog" w:date="2026-10-06T16:01:55Z" w:initials="WD">
    <w:p w14:paraId="09FABC7B" w14:textId="77777777">
      <w:r>
        <w:rPr>
          <w:rStyle w:val="CommentReference"/>
        </w:rPr>
        <w:annotationRef/>
      </w:r>
      <w:r>
        <w:rPr>
          <w:color w:val="000000"/>
          <w:sz w:val="20"/>
          <w:szCs w:val="20"/>
        </w:rPr>
        <w:t xml:space="preserve">- A policy needs approval. Add Prepared/Reviewed/Endorsed/Approved rows with names and positions.</w:t>
        <w:br/>
        <w:t xml:space="preserve">- No effective date or revision history.</w:t>
        <w:br/>
        <w:t xml:space="preserve">- No organization or department name in the header.</w:t>
      </w:r>
    </w:p>
  </w:comment>
  <w:comment w:id="2" w:author="Wilchin Dipolog" w:date="2026-10-06T16:01:55Z" w:initials="WD">
    <w:p w14:paraId="0D3A0191" w14:textId="77777777">
      <w:r>
        <w:rPr>
          <w:rStyle w:val="CommentReference"/>
        </w:rPr>
        <w:annotationRef/>
      </w:r>
      <w:r>
        <w:rPr>
          <w:color w:val="000000"/>
          <w:sz w:val="20"/>
          <w:szCs w:val="20"/>
        </w:rPr>
        <w:t xml:space="preserve">- Placeholder. There is also no contact person for policy questions.</w:t>
      </w:r>
    </w:p>
  </w:comment>
  <w:comment w:id="3" w:author="Wilchin Dipolog" w:date="2026-10-06T16:01:55Z" w:initials="WD">
    <w:p w14:paraId="312D7E65" w14:textId="77777777">
      <w:r>
        <w:rPr>
          <w:rStyle w:val="CommentReference"/>
        </w:rPr>
        <w:annotationRef/>
      </w:r>
      <w:r>
        <w:rPr>
          <w:color w:val="000000"/>
          <w:sz w:val="20"/>
          <w:szCs w:val="20"/>
        </w:rPr>
        <w:t xml:space="preserve">- No password standards annex. The Settings screen in the manual shows rules (8+ characters, upper and lower case, a number, a symbol). State them here.</w:t>
      </w:r>
    </w:p>
  </w:comment>
  <w:comment w:id="4" w:author="Wilchin Dipolog" w:date="2026-10-06T16:01:55Z" w:initials="WD">
    <w:p w14:paraId="7C6C5652" w14:textId="77777777">
      <w:r>
        <w:rPr>
          <w:rStyle w:val="CommentReference"/>
        </w:rPr>
        <w:annotationRef/>
      </w:r>
      <w:r>
        <w:rPr>
          <w:color w:val="000000"/>
          <w:sz w:val="20"/>
          <w:szCs w:val="20"/>
        </w:rPr>
        <w:t xml:space="preserve">- No blocked or prohibited content annex (sites, file types, apps).</w:t>
      </w:r>
    </w:p>
  </w:comment>
  <w:comment w:id="5" w:author="Wilchin Dipolog" w:date="2026-10-06T16:01:55Z" w:initials="WD">
    <w:p w14:paraId="49A40301" w14:textId="77777777">
      <w:r>
        <w:rPr>
          <w:rStyle w:val="CommentReference"/>
        </w:rPr>
        <w:annotationRef/>
      </w:r>
      <w:r>
        <w:rPr>
          <w:color w:val="000000"/>
          <w:sz w:val="20"/>
          <w:szCs w:val="20"/>
        </w:rPr>
        <w:t xml:space="preserve">- Who approves software? Licensing (no pirated or unlicensed software) is not covered.</w:t>
      </w:r>
    </w:p>
  </w:comment>
  <w:comment w:id="6" w:author="Wilchin Dipolog" w:date="2026-10-06T16:01:55Z" w:initials="WD">
    <w:p w14:paraId="27E66100" w14:textId="77777777">
      <w:r>
        <w:rPr>
          <w:rStyle w:val="CommentReference"/>
        </w:rPr>
        <w:annotationRef/>
      </w:r>
      <w:r>
        <w:rPr>
          <w:color w:val="000000"/>
          <w:sz w:val="20"/>
          <w:szCs w:val="20"/>
        </w:rPr>
        <w:t xml:space="preserve">- A user policy shouldn't talk about the repository. Name the organization.</w:t>
      </w:r>
    </w:p>
  </w:comment>
  <w:comment w:id="7" w:author="Wilchin Dipolog" w:date="2026-10-06T16:01:55Z" w:initials="WD">
    <w:p w14:paraId="06920F36" w14:textId="77777777">
      <w:r>
        <w:rPr>
          <w:rStyle w:val="CommentReference"/>
        </w:rPr>
        <w:annotationRef/>
      </w:r>
      <w:r>
        <w:rPr>
          <w:color w:val="000000"/>
          <w:sz w:val="20"/>
          <w:szCs w:val="20"/>
        </w:rPr>
        <w:t xml:space="preserve">- Placeholder. Users can't report incidents without a channel.</w:t>
      </w:r>
    </w:p>
  </w:comment>
  <w:comment w:id="8" w:author="Wilchin Dipolog" w:date="2026-10-06T16:01:56Z" w:initials="WD">
    <w:p w14:paraId="6E6EA6D3" w14:textId="77777777">
      <w:r>
        <w:rPr>
          <w:rStyle w:val="CommentReference"/>
        </w:rPr>
        <w:annotationRef/>
      </w:r>
      <w:r>
        <w:rPr>
          <w:color w:val="000000"/>
          <w:sz w:val="20"/>
          <w:szCs w:val="20"/>
        </w:rPr>
        <w:t xml:space="preserve">- Map outcomes to minor and major violations. Who decides which applies?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C1971C" w15:done="0"/>
  <w15:commentEx w15:paraId="09FABC7B" w15:done="0"/>
  <w15:commentEx w15:paraId="0D3A0191" w15:done="0"/>
  <w15:commentEx w15:paraId="312D7E65" w15:done="0"/>
  <w15:commentEx w15:paraId="7C6C5652" w15:done="0"/>
  <w15:commentEx w15:paraId="49A40301" w15:done="0"/>
  <w15:commentEx w15:paraId="27E66100" w15:done="0"/>
  <w15:commentEx w15:paraId="06920F36" w15:done="0"/>
  <w15:commentEx w15:paraId="6E6EA6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C09D938" w16cex:dateUtc="2026-10-06T16:01:55Z"/>
  <w16cex:commentExtensible w16cex:durableId="02287D65" w16cex:dateUtc="2026-10-06T16:01:55Z"/>
  <w16cex:commentExtensible w16cex:durableId="51B4CA49" w16cex:dateUtc="2026-10-06T16:01:55Z"/>
  <w16cex:commentExtensible w16cex:durableId="2EF9C00F" w16cex:dateUtc="2026-10-06T16:01:55Z"/>
  <w16cex:commentExtensible w16cex:durableId="7A90E6DF" w16cex:dateUtc="2026-10-06T16:01:55Z"/>
  <w16cex:commentExtensible w16cex:durableId="51C82C02" w16cex:dateUtc="2026-10-06T16:01:55Z"/>
  <w16cex:commentExtensible w16cex:durableId="6D86DFFD" w16cex:dateUtc="2026-10-06T16:01:55Z"/>
  <w16cex:commentExtensible w16cex:durableId="1A7C2CCA" w16cex:dateUtc="2026-10-06T16:01:55Z"/>
  <w16cex:commentExtensible w16cex:durableId="0FE58518" w16cex:dateUtc="2026-10-06T16:01:5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C1971C" w16cid:durableId="3C09D938"/>
  <w16cid:commentId w16cid:paraId="09FABC7B" w16cid:durableId="02287D65"/>
  <w16cid:commentId w16cid:paraId="0D3A0191" w16cid:durableId="51B4CA49"/>
  <w16cid:commentId w16cid:paraId="312D7E65" w16cid:durableId="2EF9C00F"/>
  <w16cid:commentId w16cid:paraId="7C6C5652" w16cid:durableId="7A90E6DF"/>
  <w16cid:commentId w16cid:paraId="49A40301" w16cid:durableId="51C82C02"/>
  <w16cid:commentId w16cid:paraId="27E66100" w16cid:durableId="6D86DFFD"/>
  <w16cid:commentId w16cid:paraId="06920F36" w16cid:durableId="1A7C2CCA"/>
  <w16cid:commentId w16cid:paraId="6E6EA6D3" w16cid:durableId="0FE585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Kodigo Capstone Documentation  |  Version 1.3 | 5 October 2026  |  Page </w:t>
    </w:r>
    <w:r>
      <w:rPr>
        <w:rFonts w:ascii="Aptos" w:hAnsi="Aptos"/>
        <w:color w:val="5B6573"/>
        <w:sz w:val="16"/>
      </w:rP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KODIGO  |  ACCEPTABLE USE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Acceptable Use Policy</dc:title>
  <dc:subject>Rules for authorized, secure, and accountable use of Kodigo</dc:subject>
  <dc:creator>Evon Christian P Vergara</dc:creator>
  <cp:keywords>Kodigo, system design, governance, user manual, policy</cp:keywords>
  <dc:description>generated by python-docx</dc:description>
  <cp:lastModifiedBy>Evon Christian P Vergara</cp:lastModifiedBy>
  <cp:revision>1</cp:revision>
  <dcterms:created xsi:type="dcterms:W3CDTF">2013-12-23T23:15:00Z</dcterms:created>
  <dcterms:modified xsi:type="dcterms:W3CDTF">2013-12-23T23:15:00Z</dcterms:modified>
  <cp:category/>
</cp:coreProperties>
</file>