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58DB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Perfeito. Agora entramos no Anexo C, o mais delicado tecnicamente: o setor escalar é onde gravidade modificada costuma “morrer” (ghost/gradiente).</w:t>
      </w:r>
    </w:p>
    <w:p w14:paraId="1EEA6CBD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5A5E8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Vou estruturar este anexo como um apêndice de tese de verdade:</w:t>
      </w:r>
    </w:p>
    <w:p w14:paraId="7FE9795E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definir as perturbações (duas métricas + χ),</w:t>
      </w:r>
    </w:p>
    <w:p w14:paraId="3AE215EB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fixar gauge e identificar variáveis dinâmicas,</w:t>
      </w:r>
    </w:p>
    <w:p w14:paraId="0E6F9B23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integrar variáveis não-dinâmicas (constraints),</w:t>
      </w:r>
    </w:p>
    <w:p w14:paraId="6A9F3B1E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obter a ação quadrática efetiva,</w:t>
      </w:r>
    </w:p>
    <w:p w14:paraId="79ABF0F2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extrair a matriz cinética K_{ij},</w:t>
      </w:r>
    </w:p>
    <w:p w14:paraId="54476834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impor condições de ausência de ghost,</w:t>
      </w:r>
    </w:p>
    <w:p w14:paraId="52756922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extrair velocidades do som c_s^2 e impor estabilidade de gradiente,</w:t>
      </w:r>
    </w:p>
    <w:p w14:paraId="7D4F19CF" w14:textId="77777777" w:rsidR="00835708" w:rsidRPr="00835708" w:rsidRDefault="00835708" w:rsidP="008357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mostrar o papel da modulação F(\chi) na TDCP.</w:t>
      </w:r>
    </w:p>
    <w:p w14:paraId="5E9E1FF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3C699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Observação importante (para manter honestidade e rigor):</w:t>
      </w:r>
    </w:p>
    <w:p w14:paraId="6FABCE8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forma completa de K_{ij}, G_{ij} e M_{ij} em bimetric cosmological perturbation theory é longa e dependente de parametrização específica (escolha de variáveis e gauge) e das funções de background a(t), r(t), \xi(t), \chi(t). Como estamos reconstruindo “o anexo” como material de tese, vou escrever a derivação no formato padrão: estrutura geral + forma canônica + condições explícitas e, onde os coeficientes são extensos, vou indicar a expressão em termos de combinações-padrão (funções A_i(r,\xi), etc.), deixando claro o que é calculável e como se obtém.</w:t>
      </w:r>
    </w:p>
    <w:p w14:paraId="2D1ED082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9444BCC" wp14:editId="3C1C8A5B">
                <wp:extent cx="5731510" cy="1270"/>
                <wp:effectExtent l="0" t="31750" r="0" b="36830"/>
                <wp:docPr id="18330138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9BE71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31DF60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C</w:t>
      </w:r>
    </w:p>
    <w:p w14:paraId="1E5318A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E68487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Análise Quadrática do Setor Escalar: Ghost, Gradiente e Mistura com χ</w:t>
      </w:r>
    </w:p>
    <w:p w14:paraId="4A772D86" w14:textId="77777777" w:rsidR="00835708" w:rsidRPr="00835708" w:rsidRDefault="00835708" w:rsidP="00835708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F49635" wp14:editId="1B333E3B">
                <wp:extent cx="5731510" cy="1270"/>
                <wp:effectExtent l="0" t="31750" r="0" b="36830"/>
                <wp:docPr id="11984820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C5F06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91A3888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 Objetivo e risco físico</w:t>
      </w:r>
    </w:p>
    <w:p w14:paraId="5DF7A4D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7C2B2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setor tensorial em teorias HR é relativamente controlado.</w:t>
      </w:r>
    </w:p>
    <w:p w14:paraId="3690E0A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setor escalar é o lugar onde aparecem:</w:t>
      </w:r>
    </w:p>
    <w:p w14:paraId="6F06F37B" w14:textId="77777777" w:rsidR="00835708" w:rsidRPr="00835708" w:rsidRDefault="00835708" w:rsidP="00835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ghost cinético (energia negativa),</w:t>
      </w:r>
    </w:p>
    <w:p w14:paraId="78B79D4E" w14:textId="77777777" w:rsidR="00835708" w:rsidRPr="00835708" w:rsidRDefault="00835708" w:rsidP="00835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instabilidade de gradiente (c_s^2&lt;0),</w:t>
      </w:r>
    </w:p>
    <w:p w14:paraId="371AC1A2" w14:textId="77777777" w:rsidR="00835708" w:rsidRPr="00835708" w:rsidRDefault="00835708" w:rsidP="00835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crescimento explosivo em escalas pequenas,</w:t>
      </w:r>
    </w:p>
    <w:p w14:paraId="188326EA" w14:textId="77777777" w:rsidR="00835708" w:rsidRPr="00835708" w:rsidRDefault="00835708" w:rsidP="008357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inconsistência com estrutura em larga escala.</w:t>
      </w:r>
    </w:p>
    <w:p w14:paraId="7A78A84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DCEB1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TDCP adiciona um escalar \chi e modula a massa efetiva por F(\chi).</w:t>
      </w:r>
    </w:p>
    <w:p w14:paraId="13337A7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Isso aumenta o risco de:</w:t>
      </w:r>
    </w:p>
    <w:p w14:paraId="38EF02E7" w14:textId="77777777" w:rsidR="00835708" w:rsidRPr="00835708" w:rsidRDefault="00835708" w:rsidP="00835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misturar a helicidade-0 do modo massivo com \delta\chi,</w:t>
      </w:r>
    </w:p>
    <w:p w14:paraId="444F1B34" w14:textId="77777777" w:rsidR="00835708" w:rsidRPr="00835708" w:rsidRDefault="00835708" w:rsidP="008357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gerar um modo escalar mal-sinalizado.</w:t>
      </w:r>
    </w:p>
    <w:p w14:paraId="29D3781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B2571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Portanto, este anexo estabelece as condições gerais de saúde dinâmica do setor escalar.</w:t>
      </w:r>
    </w:p>
    <w:p w14:paraId="44C4775B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E72225" wp14:editId="1915AE93">
                <wp:extent cx="5731510" cy="1270"/>
                <wp:effectExtent l="0" t="31750" r="0" b="36830"/>
                <wp:docPr id="13611043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C0C96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23C203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C.2 Perturbações escalares: duas métricas + χ</w:t>
      </w:r>
    </w:p>
    <w:p w14:paraId="36D6D2C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6095B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Trabalharemos no espaço-tempo com simetria de fundo FLRW:</w:t>
      </w:r>
    </w:p>
    <w:p w14:paraId="165BCE7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0C8E4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\bar g_{\mu\nu}dx^\mu dx^\nu = -dt^2 + a^2(t)\delta_{ij}dx^i dx^j,</w:t>
      </w:r>
    </w:p>
    <w:p w14:paraId="0BBB654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2A328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\bar f_{\mu\nu}dx^\mu dx^\nu = -N_f^2(t)dt^2 + b^2(t)\delta_{ij}dx^i dx^j.</w:t>
      </w:r>
    </w:p>
    <w:p w14:paraId="00E26DE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9EAAC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Definimos perturbações escalares no espaço de Fourier (modo k).</w:t>
      </w:r>
    </w:p>
    <w:p w14:paraId="270A842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7D0580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C.2.1 Setor g (escalar)</w:t>
      </w:r>
    </w:p>
    <w:p w14:paraId="2C48F79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4E8C2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No gauge genérico:</w:t>
      </w:r>
    </w:p>
    <w:p w14:paraId="0E62C40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06110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ds_g^2 = -(1+2\Phi_g)dt^2 + 2a\,\partial_i B_g\,dt\,dx^i + a^2\left[(1-2\Psi_g)\delta_{ij} + 2\partial_i\partial_j E_g\right]dx^i dx^j.</w:t>
      </w:r>
    </w:p>
    <w:p w14:paraId="49C95D3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9EF0E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C.2.2 Setor f (escalar)</w:t>
      </w:r>
    </w:p>
    <w:p w14:paraId="1124D16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1B2F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ds_f^2 = -N_f^2(1+2\Phi_f)dt^2 + 2bN_f\,\partial_i B_f\,dt\,dx^i + b^2\left[(1-2\Psi_f)\delta_{ij} + 2\partial_i\partial_j E_f\right]dx^i dx^j.</w:t>
      </w:r>
    </w:p>
    <w:p w14:paraId="26BC363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793041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C.2.3 Campo χ</w:t>
      </w:r>
    </w:p>
    <w:p w14:paraId="4D3CF7A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F53A1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\chi(t,\mathbf{x}) = \bar\chi(t) + \delta\chi(t,\mathbf{x}).</w:t>
      </w:r>
    </w:p>
    <w:p w14:paraId="78C2C405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D6FBAA" wp14:editId="2581A6CA">
                <wp:extent cx="5731510" cy="1270"/>
                <wp:effectExtent l="0" t="31750" r="0" b="36830"/>
                <wp:docPr id="3999791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81C45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E6E615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C.3 Escolha de gauge e contagem de variáveis</w:t>
      </w:r>
    </w:p>
    <w:p w14:paraId="4F158D9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6C60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Cada métrica tem 4 variáveis escalares (\Phi, B, \Psi, E).</w:t>
      </w:r>
    </w:p>
    <w:p w14:paraId="18470BE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9F5F5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Total bruto: 8 variáveis escalares + \delta\chi = 9.</w:t>
      </w:r>
    </w:p>
    <w:p w14:paraId="1519C46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9092FD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Mas:</w:t>
      </w:r>
    </w:p>
    <w:p w14:paraId="7D63B924" w14:textId="77777777" w:rsidR="00835708" w:rsidRPr="00835708" w:rsidRDefault="00835708" w:rsidP="00835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simetria difeomórfica é reduzida na bimetric: a interação quebra Diff_g \times Diff_f para uma diagonal Diff.</w:t>
      </w:r>
    </w:p>
    <w:p w14:paraId="75C293FC" w14:textId="77777777" w:rsidR="00835708" w:rsidRPr="00835708" w:rsidRDefault="00835708" w:rsidP="008357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portanto há apenas 2 funções escalares de gauge (tempo + escalar espacial), removendo 2×2 = 4 graus escalares não físicos.</w:t>
      </w:r>
    </w:p>
    <w:p w14:paraId="44B418C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26F88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Além disso, variáveis tipo lapse e shift são não-dinâmicas (entram sem derivadas temporais) e geram constraints.</w:t>
      </w:r>
    </w:p>
    <w:p w14:paraId="0E1977BD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134A9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resultado físico esperado (linear) é:</w:t>
      </w:r>
    </w:p>
    <w:p w14:paraId="3920DD18" w14:textId="77777777" w:rsidR="00835708" w:rsidRPr="00835708" w:rsidRDefault="00835708" w:rsidP="00835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1 modo escalar propagante do graviton massivo (helicidade-0),</w:t>
      </w:r>
    </w:p>
    <w:p w14:paraId="3CCEA695" w14:textId="77777777" w:rsidR="00835708" w:rsidRPr="00835708" w:rsidRDefault="00835708" w:rsidP="008357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1 modo escalar propagante de \chi.</w:t>
      </w:r>
    </w:p>
    <w:p w14:paraId="5ED969D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E0A1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Total: 2 modos escalares físicos.</w:t>
      </w:r>
    </w:p>
    <w:p w14:paraId="7694E10D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8A966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objetivo é obter a ação quadrática desses dois modos.</w:t>
      </w:r>
    </w:p>
    <w:p w14:paraId="07B7B4E0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E85AC9" wp14:editId="61EFD531">
                <wp:extent cx="5731510" cy="1270"/>
                <wp:effectExtent l="0" t="31750" r="0" b="36830"/>
                <wp:docPr id="15192560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F26FC1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A29A3E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C.4 Variáveis invariantes e base física</w:t>
      </w:r>
    </w:p>
    <w:p w14:paraId="5203FE1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37695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É útil definir combinações:</w:t>
      </w:r>
    </w:p>
    <w:p w14:paraId="2ED1C052" w14:textId="77777777" w:rsidR="00835708" w:rsidRPr="00835708" w:rsidRDefault="00835708" w:rsidP="00835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“modo adiabático” (associado ao setor visível e matéria),</w:t>
      </w:r>
    </w:p>
    <w:p w14:paraId="3FCBD1CC" w14:textId="77777777" w:rsidR="00835708" w:rsidRPr="00835708" w:rsidRDefault="00835708" w:rsidP="00835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“modo relativo” (diferença entre métricas),</w:t>
      </w:r>
    </w:p>
    <w:p w14:paraId="093C47F1" w14:textId="77777777" w:rsidR="00835708" w:rsidRPr="00835708" w:rsidRDefault="00835708" w:rsidP="008357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 a flutuação de χ.</w:t>
      </w:r>
    </w:p>
    <w:p w14:paraId="68A0B14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EE57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Uma escolha padrão é trabalhar com:</w:t>
      </w:r>
    </w:p>
    <w:p w14:paraId="7176B25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A3B96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\Delta\Psi \equiv \Psi_f - \Psi_g, \qquad \Delta E \equiv E_f - E_g, \qquad \delta\chi.</w:t>
      </w:r>
    </w:p>
    <w:p w14:paraId="310C4E2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1F0EC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 fixar um gauge para remover redundâncias, por exemplo:</w:t>
      </w:r>
    </w:p>
    <w:p w14:paraId="0285BAC3" w14:textId="77777777" w:rsidR="00835708" w:rsidRPr="00835708" w:rsidRDefault="00835708" w:rsidP="008357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Gauge Newtoniano no setor g: B_g=0, E_g=0.</w:t>
      </w:r>
    </w:p>
    <w:p w14:paraId="5F5A8A9A" w14:textId="77777777" w:rsidR="00835708" w:rsidRPr="00835708" w:rsidRDefault="00835708" w:rsidP="0083570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Isso fixa os 2 graus de gauge escalares.</w:t>
      </w:r>
    </w:p>
    <w:p w14:paraId="2F8425E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AE748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Então o setor g fica com \Phi_g, \Psi_g, e o setor f mantém B_f, E_f e seus potenciais.</w:t>
      </w:r>
    </w:p>
    <w:p w14:paraId="6EB9D4BB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8D2A286" wp14:editId="53B1D3D5">
                <wp:extent cx="5731510" cy="1270"/>
                <wp:effectExtent l="0" t="31750" r="0" b="36830"/>
                <wp:docPr id="7919214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7D283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22FAD9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C.5 Estrutura da ação quadrática</w:t>
      </w:r>
    </w:p>
    <w:p w14:paraId="5AFE4CD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D6D78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Ao expandir a ação até segunda ordem:</w:t>
      </w:r>
    </w:p>
    <w:p w14:paraId="151746D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045B3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 = S^{(0)} + S^{(1)} + S^{(2)} + \cdots,</w:t>
      </w:r>
    </w:p>
    <w:p w14:paraId="772B91D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7990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termo S^{(1)}=0 quando o fundo satisfaz as equações de Friedmann (Anexo B).</w:t>
      </w:r>
    </w:p>
    <w:p w14:paraId="3607C31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termo relevante para estabilidade é S^{(2)}.</w:t>
      </w:r>
    </w:p>
    <w:p w14:paraId="62D53A9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36049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forma geral para 2 modos escalares Q_i (após integrar constraints) é:</w:t>
      </w:r>
    </w:p>
    <w:p w14:paraId="185A8B6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A33FB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S^{(2)}_{\text{esc}} = \frac12\int dt\,d^3k\,a^3 \left[ \dot Q_i\,K_{ij}(t,k)\,\dot Q_j - Q_i\,\Omega_{ij}(t,k)\,Q_j \right],</w:t>
      </w:r>
    </w:p>
    <w:p w14:paraId="65CF4F8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29D86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onde:</w:t>
      </w:r>
    </w:p>
    <w:p w14:paraId="2960181A" w14:textId="77777777" w:rsidR="00835708" w:rsidRPr="00835708" w:rsidRDefault="00835708" w:rsidP="00835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Q_i são os dois modos propagantes,</w:t>
      </w:r>
    </w:p>
    <w:p w14:paraId="66895CC2" w14:textId="77777777" w:rsidR="00835708" w:rsidRPr="00835708" w:rsidRDefault="00835708" w:rsidP="00835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K_{ij} é a matriz cinética,</w:t>
      </w:r>
    </w:p>
    <w:p w14:paraId="3EB86AF9" w14:textId="77777777" w:rsidR="00835708" w:rsidRPr="00835708" w:rsidRDefault="00835708" w:rsidP="008357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\Omega_{ij} contém termos de gradiente (\propto k^2) e massa.</w:t>
      </w:r>
    </w:p>
    <w:p w14:paraId="43ECACE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B1B03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É comum decompor:</w:t>
      </w:r>
    </w:p>
    <w:p w14:paraId="60C33FA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6E7AB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\Omega_{ij} = \frac{k^2}{a^2}G_{ij}(t) + M_{ij}(t).</w:t>
      </w:r>
    </w:p>
    <w:p w14:paraId="526647B2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187475" wp14:editId="0D38A3CB">
                <wp:extent cx="5731510" cy="1270"/>
                <wp:effectExtent l="0" t="31750" r="0" b="36830"/>
                <wp:docPr id="18287714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68E68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D95E9E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C.6 Integração das variáveis não-dinâmicas</w:t>
      </w:r>
    </w:p>
    <w:p w14:paraId="060F9CE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032B0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As variáveis:</w:t>
      </w:r>
    </w:p>
    <w:p w14:paraId="34966E9B" w14:textId="77777777" w:rsidR="00835708" w:rsidRPr="00835708" w:rsidRDefault="00835708" w:rsidP="00835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\Phi_g, \Phi_f (lapses),</w:t>
      </w:r>
    </w:p>
    <w:p w14:paraId="0A1DF998" w14:textId="77777777" w:rsidR="00835708" w:rsidRPr="00835708" w:rsidRDefault="00835708" w:rsidP="008357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B_f (shift relativo, já que B_g=0),</w:t>
      </w:r>
    </w:p>
    <w:p w14:paraId="3AFCE20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7928E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entram sem derivadas temporais. Elas são multiplicadores de Lagrange.</w:t>
      </w:r>
    </w:p>
    <w:p w14:paraId="4D21E18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D5F52D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Variação em relação a elas gera equações algébricas (constraints) do tipo:</w:t>
      </w:r>
    </w:p>
    <w:p w14:paraId="562B7FD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D503D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\mathcal{C}_A(Q,\dot Q;k,t)=0.</w:t>
      </w:r>
    </w:p>
    <w:p w14:paraId="5000748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2D50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Resolvendo essas constraints e substituindo de volta na ação, obtemos a ação reduzida.</w:t>
      </w:r>
    </w:p>
    <w:p w14:paraId="0232542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D3B01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Esse passo é onde o ghost BD desaparece na bimetric HR:</w:t>
      </w:r>
    </w:p>
    <w:p w14:paraId="571649B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sistema mantém restrições suficientes para remover o modo extra.</w:t>
      </w:r>
    </w:p>
    <w:p w14:paraId="0D17555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1AC3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Na TDCP, desde que F(\chi) seja função escalar suave, as constraints estruturais do potencial permanecem (o ghost BD não é reintroduzido). O que muda é o acoplamento efetivo e a mistura com \delta\chi.</w:t>
      </w:r>
    </w:p>
    <w:p w14:paraId="33A9A4DC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F05CD1" wp14:editId="30258F00">
                <wp:extent cx="5731510" cy="1270"/>
                <wp:effectExtent l="0" t="31750" r="0" b="36830"/>
                <wp:docPr id="159977450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75552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2659B3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C.7 Matriz cinética e condições de ausência de ghost</w:t>
      </w:r>
    </w:p>
    <w:p w14:paraId="704BF05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4FD19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Após redução, obtemos dois modos propagantes Q=(Q_1,Q_2), que podem ser escolhidos como:</w:t>
      </w:r>
    </w:p>
    <w:p w14:paraId="0D281FC4" w14:textId="77777777" w:rsidR="00835708" w:rsidRPr="00835708" w:rsidRDefault="00835708" w:rsidP="008357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Q_1: helicidade-0 efetiva do modo massivo (combinação de \Delta\Psi,\Delta E),</w:t>
      </w:r>
    </w:p>
    <w:p w14:paraId="5757657D" w14:textId="77777777" w:rsidR="00835708" w:rsidRPr="00835708" w:rsidRDefault="00835708" w:rsidP="008357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Q_2: \delta\chi reescalada.</w:t>
      </w:r>
    </w:p>
    <w:p w14:paraId="4EDD4A9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A838F6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matriz cinética pode ser escrita genericamente como:</w:t>
      </w:r>
    </w:p>
    <w:p w14:paraId="4421F2C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6BC69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K_{ij}(t) = \begin{pmatrix} K_{11}(t) &amp; K_{12}(t) \\ K_{12}(t) &amp; K_{22}(t) \end{pmatrix}.</w:t>
      </w:r>
    </w:p>
    <w:p w14:paraId="72AF345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7826D4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Condição geral de ausência de ghost</w:t>
      </w:r>
    </w:p>
    <w:p w14:paraId="0A766D7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51DE3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energia cinética deve ser positiva definida:</w:t>
      </w:r>
    </w:p>
    <w:p w14:paraId="6BC602F2" w14:textId="77777777" w:rsidR="00835708" w:rsidRPr="00835708" w:rsidRDefault="00835708" w:rsidP="008357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K_{11} &gt; 0</w:t>
      </w:r>
    </w:p>
    <w:p w14:paraId="266BF594" w14:textId="77777777" w:rsidR="00835708" w:rsidRPr="00835708" w:rsidRDefault="00835708" w:rsidP="008357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\det K = K_{11}K_{22}-K_{12}^2 &gt; 0.</w:t>
      </w:r>
    </w:p>
    <w:p w14:paraId="16B8E56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44F0C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Essas duas condições equivalem a dizer que os autovalores \kappa_{\pm} de K são positivos.</w:t>
      </w:r>
    </w:p>
    <w:p w14:paraId="45D554F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293F54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Interpretação na TDCP</w:t>
      </w:r>
    </w:p>
    <w:p w14:paraId="5D6F4AD0" w14:textId="77777777" w:rsidR="00835708" w:rsidRPr="00835708" w:rsidRDefault="00835708" w:rsidP="00835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K_{22} vem principalmente do termo canônico de \chi: tipicamente K_{22}\sim 1 (positivo).</w:t>
      </w:r>
    </w:p>
    <w:p w14:paraId="1195EA7A" w14:textId="77777777" w:rsidR="00835708" w:rsidRPr="00835708" w:rsidRDefault="00835708" w:rsidP="00835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K_{11} vem da helicidade-0 do modo massivo: depende dos parâmetros \beta_n, de r,\xi, e da massa efetiva m^2F(\chi).</w:t>
      </w:r>
    </w:p>
    <w:p w14:paraId="3F5106CA" w14:textId="77777777" w:rsidR="00835708" w:rsidRPr="00835708" w:rsidRDefault="00835708" w:rsidP="008357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K_{12} é mistura: controlada por F'(\chi) e pela sensibilidade do potencial a perturbações relativas.</w:t>
      </w:r>
    </w:p>
    <w:p w14:paraId="227E3D4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0110E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Isso já sugere um requisito físico simples:</w:t>
      </w:r>
    </w:p>
    <w:p w14:paraId="23F328E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758A86" w14:textId="77777777" w:rsidR="00835708" w:rsidRPr="00835708" w:rsidRDefault="00835708" w:rsidP="00835708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835708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F(\chi) deve ser positiva e variar lentamente para evitar mistura forte e inversão de sinal efetiva.</w:t>
      </w:r>
    </w:p>
    <w:p w14:paraId="325017A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A7A3B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Condições práticas (regime adiabático):</w:t>
      </w:r>
    </w:p>
    <w:p w14:paraId="4B4001E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96397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F(\chi)&gt;0, \qquad \left|\frac{\dot F}{F}\right| \ll H, \qquad \left|\frac{F'}{F}\right|\Delta\chi \ll 1.</w:t>
      </w:r>
    </w:p>
    <w:p w14:paraId="2B273A56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EBBB02" wp14:editId="0D72048F">
                <wp:extent cx="5731510" cy="1270"/>
                <wp:effectExtent l="0" t="31750" r="0" b="36830"/>
                <wp:docPr id="109653722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42EAA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AF5C03F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C.8 Velocidade do som e estabilidade de gradiente</w:t>
      </w:r>
    </w:p>
    <w:p w14:paraId="60DD03E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EBBF0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termo de gradiente define G_{ij}.</w:t>
      </w:r>
    </w:p>
    <w:p w14:paraId="040BA6D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Os modos propagantes têm velocidades do som obtidas de:</w:t>
      </w:r>
    </w:p>
    <w:p w14:paraId="4E0D3EC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2E57F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\det\left(c_s^2 K - G\right)=0.</w:t>
      </w:r>
    </w:p>
    <w:p w14:paraId="25F1B2B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461E66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Ou seja, os c_s^2 são autovalores da matriz:</w:t>
      </w:r>
    </w:p>
    <w:p w14:paraId="7AD1DC8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062DB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K^{-1}G.</w:t>
      </w:r>
    </w:p>
    <w:p w14:paraId="6813A28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E52CE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Condição de estabilidade de gradiente</w:t>
      </w:r>
    </w:p>
    <w:p w14:paraId="5BCB932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D95C1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Para evitar instabilidade exponencial em escalas sub-horizonte:</w:t>
      </w:r>
    </w:p>
    <w:p w14:paraId="4CADDFA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69DD9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c_{s,\pm}^2 &gt; 0.</w:t>
      </w:r>
    </w:p>
    <w:p w14:paraId="0966AE1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327A9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Além disso, em teoria relativística estável, usualmente esperamos:</w:t>
      </w:r>
    </w:p>
    <w:p w14:paraId="02957D2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EDE3A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c_s^2 \le 1</w:t>
      </w:r>
    </w:p>
    <w:p w14:paraId="304466C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6AAB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(não estritamente necessário em teorias efetivas, mas desejável para evitar superluminalidade sistemática e problemas de causalidade efetiva).</w:t>
      </w:r>
    </w:p>
    <w:p w14:paraId="2571107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909B95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Interpretação física</w:t>
      </w:r>
    </w:p>
    <w:p w14:paraId="2FADAFD8" w14:textId="77777777" w:rsidR="00835708" w:rsidRPr="00835708" w:rsidRDefault="00835708" w:rsidP="008357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Se c_s^2&lt;0, então para k/a grande, o modo cresce como:</w:t>
      </w:r>
    </w:p>
    <w:p w14:paraId="353FCFF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99F5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\exp\left(|c_s| \frac{k}{a} t\right),</w:t>
      </w:r>
    </w:p>
    <w:p w14:paraId="2E03262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A58C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que destrói a teoria imediatamente.</w:t>
      </w:r>
    </w:p>
    <w:p w14:paraId="588D1BF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75CF3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Na TDCP, o maior risco é quando:</w:t>
      </w:r>
    </w:p>
    <w:p w14:paraId="1A9BECBE" w14:textId="77777777" w:rsidR="00835708" w:rsidRPr="00835708" w:rsidRDefault="00835708" w:rsidP="008357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m_{eff}^2 = m^2F(\chi) fica muito pequeno,</w:t>
      </w:r>
    </w:p>
    <w:p w14:paraId="6AD5F47C" w14:textId="77777777" w:rsidR="00835708" w:rsidRPr="00835708" w:rsidRDefault="00835708" w:rsidP="008357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ou quando a mistura K_{12} fica grande.</w:t>
      </w:r>
    </w:p>
    <w:p w14:paraId="2D11337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F0C7E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Por isso o bound de Higuchi e a positividade de F aparecem como “guard rails” não só tensorialmente, mas também no setor escalar.</w:t>
      </w:r>
    </w:p>
    <w:p w14:paraId="3B30E68B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25AAB4" wp14:editId="4212A38B">
                <wp:extent cx="5731510" cy="1270"/>
                <wp:effectExtent l="0" t="31750" r="0" b="36830"/>
                <wp:docPr id="6378630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6EC7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093A3C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C.9 Conexão com Higuchi e com o modo helicidade-0</w:t>
      </w:r>
    </w:p>
    <w:p w14:paraId="230C048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16D57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Em fundos próximos a de Sitter, para um campo spin-2 massivo, a helicidade-0 é saudável apenas se:</w:t>
      </w:r>
    </w:p>
    <w:p w14:paraId="4A07D39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D9C9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m_{eff}^2 \ge 2H^2.</w:t>
      </w:r>
    </w:p>
    <w:p w14:paraId="217CA73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28C85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Quando essa condição é violada:</w:t>
      </w:r>
    </w:p>
    <w:p w14:paraId="2599C09E" w14:textId="77777777" w:rsidR="00835708" w:rsidRPr="00835708" w:rsidRDefault="00835708" w:rsidP="008357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helicidade-0 troca sinal cinético,</w:t>
      </w:r>
    </w:p>
    <w:p w14:paraId="167F242D" w14:textId="77777777" w:rsidR="00835708" w:rsidRPr="00835708" w:rsidRDefault="00835708" w:rsidP="008357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 torna-se ghost.</w:t>
      </w:r>
    </w:p>
    <w:p w14:paraId="269B7D5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24EFF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Logo, em linguagem da matriz cinética:</w:t>
      </w:r>
    </w:p>
    <w:p w14:paraId="4215A8E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FD49C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K_{11} \to 0 \quad \text{em } m_{eff}^2\to 2H^2,</w:t>
      </w:r>
    </w:p>
    <w:p w14:paraId="3705644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E444E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e se m_{eff}^2&lt;2H^2, então K_{11}&lt;0.</w:t>
      </w:r>
    </w:p>
    <w:p w14:paraId="2434B86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92F06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Portanto, Higuchi é equivalente (em regimes dS-like) à positividade do bloco cinético do modo massivo.</w:t>
      </w:r>
    </w:p>
    <w:p w14:paraId="411D86F8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018D167" wp14:editId="33264851">
                <wp:extent cx="5731510" cy="1270"/>
                <wp:effectExtent l="0" t="31750" r="0" b="36830"/>
                <wp:docPr id="106200779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DF8C1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CFB2FC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C.10 Condições resumidas em forma “operacional”</w:t>
      </w:r>
    </w:p>
    <w:p w14:paraId="4F122DA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F7F0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TDCP é escalarmente estável se, ao longo da evolução cosmológica relevante:</w:t>
      </w:r>
    </w:p>
    <w:p w14:paraId="5B67D01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A782FC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(1) Ghost-free (cinética positiva)</w:t>
      </w:r>
    </w:p>
    <w:p w14:paraId="0D58DBF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B1AC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K_{11} &gt; 0, \qquad K_{22} &gt; 0, \qquad K_{11}K_{22}-K_{12}^2 &gt; 0.</w:t>
      </w:r>
    </w:p>
    <w:p w14:paraId="503DFBE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F6E4E6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(2) Gradiente estável</w:t>
      </w:r>
    </w:p>
    <w:p w14:paraId="3EB84D08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7000F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c_{s,\pm}^2 &gt; 0.</w:t>
      </w:r>
    </w:p>
    <w:p w14:paraId="46E14A5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ED99D6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(3) Higuchi (regime acelerado)</w:t>
      </w:r>
    </w:p>
    <w:p w14:paraId="7533835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43010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m^2F(\chi) \ge 2H^2.</w:t>
      </w:r>
    </w:p>
    <w:p w14:paraId="298AD0E5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7C9DE2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(4) Adiabaticidade da modulação</w:t>
      </w:r>
    </w:p>
    <w:p w14:paraId="40C1C5E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D166A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\left|\frac{\dot F}{F}\right| \ll H.</w:t>
      </w:r>
    </w:p>
    <w:p w14:paraId="505D43E1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B1147B" wp14:editId="4A6B9058">
                <wp:extent cx="5731510" cy="1270"/>
                <wp:effectExtent l="0" t="31750" r="0" b="36830"/>
                <wp:docPr id="105128621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A017CE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01F5B1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C.11 Comentário técnico: por que F(\chi) não reintroduz o ghost BD</w:t>
      </w:r>
    </w:p>
    <w:p w14:paraId="573B50C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97CFF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ghost BD é removido em HR pela estrutura especial do potencial com \sqrt{g^{-1}f}, que gera constraints não-lineares adicionais.</w:t>
      </w:r>
    </w:p>
    <w:p w14:paraId="701139F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E9F519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TDCP modifica o termo:</w:t>
      </w:r>
    </w:p>
    <w:p w14:paraId="2D6CB2A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0E59BB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\sqrt{-g}\,V(\mathcal{K}) \quad\to\quad \sqrt{-g}\,F(\chi)V(\mathcal{K}).</w:t>
      </w:r>
    </w:p>
    <w:p w14:paraId="47952317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70001F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Como F(\chi) não depende de derivadas de métricas e não altera a forma funcional em \mathcal{K}, a estrutura de constraints do setor gravitacional permanece.</w:t>
      </w:r>
    </w:p>
    <w:p w14:paraId="46C18C23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2A039E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que muda é o acoplamento temporal efetivo do potencial, que afeta o background e a mistura linear com \delta\chi, mas não reintroduz automaticamente o BD ghost.</w:t>
      </w:r>
    </w:p>
    <w:p w14:paraId="08D98344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8D5BC2" wp14:editId="1905E883">
                <wp:extent cx="5731510" cy="1270"/>
                <wp:effectExtent l="0" t="33655" r="0" b="38735"/>
                <wp:docPr id="8370366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0FA93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8D8A64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C.12 Conclusão do Anexo C</w:t>
      </w:r>
    </w:p>
    <w:p w14:paraId="2002EB2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0331CC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Neste anexo estabelecemos:</w:t>
      </w:r>
    </w:p>
    <w:p w14:paraId="349A2CA9" w14:textId="77777777" w:rsidR="00835708" w:rsidRPr="00835708" w:rsidRDefault="00835708" w:rsidP="008357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O setor escalar propagante na TDCP contém 2 modos físicos:</w:t>
      </w:r>
    </w:p>
    <w:p w14:paraId="19B02929" w14:textId="77777777" w:rsidR="00835708" w:rsidRPr="00835708" w:rsidRDefault="00835708" w:rsidP="008357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helicidade-0 do spin-2 massivo,</w:t>
      </w:r>
    </w:p>
    <w:p w14:paraId="1627D49A" w14:textId="77777777" w:rsidR="00835708" w:rsidRPr="00835708" w:rsidRDefault="00835708" w:rsidP="0083570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flutuação do campo estrutural \chi.</w:t>
      </w:r>
    </w:p>
    <w:p w14:paraId="1113CF19" w14:textId="77777777" w:rsidR="00835708" w:rsidRPr="00835708" w:rsidRDefault="00835708" w:rsidP="008357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 ação quadrática reduzida pode ser escrita na forma canônica:</w:t>
      </w:r>
    </w:p>
    <w:p w14:paraId="3FFC999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9C455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S^{(2)}_{\text{esc}} = \frac12\int dt\,d^3k\,a^3 \left[ \dot Q^T K \dot Q - Q^T\left(\frac{k^2}{a^2}G+M\right)Q \right].</w:t>
      </w:r>
    </w:p>
    <w:p w14:paraId="7E1BEEA4" w14:textId="77777777" w:rsidR="00835708" w:rsidRPr="00835708" w:rsidRDefault="00835708" w:rsidP="00835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As condições fundamentais de saúde dinâmica são:</w:t>
      </w:r>
    </w:p>
    <w:p w14:paraId="109F0EF4" w14:textId="77777777" w:rsidR="00835708" w:rsidRPr="00835708" w:rsidRDefault="00835708" w:rsidP="0083570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K positiva definida (sem ghost),</w:t>
      </w:r>
    </w:p>
    <w:p w14:paraId="410D6668" w14:textId="77777777" w:rsidR="00835708" w:rsidRPr="00835708" w:rsidRDefault="00835708" w:rsidP="0083570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autovalores de K^{-1}G positivos (sem instabilidade de gradiente),</w:t>
      </w:r>
    </w:p>
    <w:p w14:paraId="3A1E6D5D" w14:textId="77777777" w:rsidR="00835708" w:rsidRPr="00835708" w:rsidRDefault="00835708" w:rsidP="0083570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Higuchi no regime acelerado,</w:t>
      </w:r>
    </w:p>
    <w:p w14:paraId="3C564A7F" w14:textId="77777777" w:rsidR="00835708" w:rsidRPr="00835708" w:rsidRDefault="00835708" w:rsidP="0083570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modulação F(\chi) adiabática.</w:t>
      </w:r>
    </w:p>
    <w:p w14:paraId="5574CF70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6EBB4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lastRenderedPageBreak/>
        <w:t>Este anexo fornece o “check-list” matemático que deve ser imposto em qualquer ajuste numérico futuro do background (a,r,\chi).</w:t>
      </w:r>
    </w:p>
    <w:p w14:paraId="24CD4770" w14:textId="77777777" w:rsidR="00835708" w:rsidRPr="00835708" w:rsidRDefault="00835708" w:rsidP="008357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0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2B5A490" wp14:editId="5D76D9EA">
                <wp:extent cx="5731510" cy="1270"/>
                <wp:effectExtent l="0" t="33655" r="0" b="38735"/>
                <wp:docPr id="3371871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1F886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3A4E81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Se você aprovar o Anexo C, seguimos para:</w:t>
      </w:r>
    </w:p>
    <w:p w14:paraId="41E29B42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6AF823" w14:textId="77777777" w:rsidR="00835708" w:rsidRPr="00835708" w:rsidRDefault="00835708" w:rsidP="008357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ANEXO D — Setor Tensorial e Condição de Higuchi (derivação detalhada do modo massivo em fundo FLRW e limite de Sitter)</w:t>
      </w:r>
    </w:p>
    <w:p w14:paraId="7BBE234A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CC026" w14:textId="77777777" w:rsidR="00835708" w:rsidRPr="00835708" w:rsidRDefault="00835708" w:rsidP="0083570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35708">
        <w:rPr>
          <w:rFonts w:ascii="Times New Roman" w:hAnsi="Times New Roman" w:cs="Times New Roman"/>
          <w:kern w:val="0"/>
          <w14:ligatures w14:val="none"/>
        </w:rPr>
        <w:t>Posso continuar?</w:t>
      </w:r>
    </w:p>
    <w:p w14:paraId="160A3DC0" w14:textId="77777777" w:rsidR="00835708" w:rsidRDefault="00835708"/>
    <w:sectPr w:rsidR="00835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46B1A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406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9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E50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374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C6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B26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E28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11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67F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054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85F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D0F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0249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C1B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830344">
    <w:abstractNumId w:val="0"/>
  </w:num>
  <w:num w:numId="2" w16cid:durableId="1343240146">
    <w:abstractNumId w:val="9"/>
  </w:num>
  <w:num w:numId="3" w16cid:durableId="825053686">
    <w:abstractNumId w:val="8"/>
  </w:num>
  <w:num w:numId="4" w16cid:durableId="1520663334">
    <w:abstractNumId w:val="4"/>
  </w:num>
  <w:num w:numId="5" w16cid:durableId="999768243">
    <w:abstractNumId w:val="12"/>
  </w:num>
  <w:num w:numId="6" w16cid:durableId="1524517355">
    <w:abstractNumId w:val="13"/>
  </w:num>
  <w:num w:numId="7" w16cid:durableId="1631940439">
    <w:abstractNumId w:val="16"/>
  </w:num>
  <w:num w:numId="8" w16cid:durableId="1284459788">
    <w:abstractNumId w:val="7"/>
  </w:num>
  <w:num w:numId="9" w16cid:durableId="1914730882">
    <w:abstractNumId w:val="3"/>
  </w:num>
  <w:num w:numId="10" w16cid:durableId="1655917164">
    <w:abstractNumId w:val="10"/>
  </w:num>
  <w:num w:numId="11" w16cid:durableId="763116309">
    <w:abstractNumId w:val="15"/>
  </w:num>
  <w:num w:numId="12" w16cid:durableId="273635501">
    <w:abstractNumId w:val="14"/>
  </w:num>
  <w:num w:numId="13" w16cid:durableId="1316765003">
    <w:abstractNumId w:val="6"/>
  </w:num>
  <w:num w:numId="14" w16cid:durableId="51588015">
    <w:abstractNumId w:val="5"/>
  </w:num>
  <w:num w:numId="15" w16cid:durableId="36441603">
    <w:abstractNumId w:val="2"/>
  </w:num>
  <w:num w:numId="16" w16cid:durableId="1528248817">
    <w:abstractNumId w:val="11"/>
  </w:num>
  <w:num w:numId="17" w16cid:durableId="407189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08"/>
    <w:rsid w:val="00592A82"/>
    <w:rsid w:val="0083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3ECCB1"/>
  <w15:chartTrackingRefBased/>
  <w15:docId w15:val="{79AFBCF2-8EA4-C048-AA34-25725C2F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0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5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35708"/>
  </w:style>
  <w:style w:type="character" w:customStyle="1" w:styleId="s2">
    <w:name w:val="s2"/>
    <w:basedOn w:val="DefaultParagraphFont"/>
    <w:rsid w:val="00835708"/>
  </w:style>
  <w:style w:type="paragraph" w:customStyle="1" w:styleId="p2">
    <w:name w:val="p2"/>
    <w:basedOn w:val="Normal"/>
    <w:rsid w:val="00835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357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35708"/>
  </w:style>
  <w:style w:type="character" w:customStyle="1" w:styleId="s4">
    <w:name w:val="s4"/>
    <w:basedOn w:val="DefaultParagraphFont"/>
    <w:rsid w:val="00835708"/>
  </w:style>
  <w:style w:type="character" w:customStyle="1" w:styleId="s5">
    <w:name w:val="s5"/>
    <w:basedOn w:val="DefaultParagraphFont"/>
    <w:rsid w:val="00835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1474</Words>
  <Characters>8404</Characters>
  <Application>Microsoft Office Word</Application>
  <DocSecurity>0</DocSecurity>
  <Lines>70</Lines>
  <Paragraphs>19</Paragraphs>
  <ScaleCrop>false</ScaleCrop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2026-02-21T17:54:00Z</dcterms:created>
  <dcterms:modified xsi:type="dcterms:W3CDTF">2026-02-21T17:54:00Z</dcterms:modified>
</cp:coreProperties>
</file>