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40BD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Perfeito. Vamos avançar para o Capítulo 14 — Setor Escalar e Controle de Isocurvatura, mantendo nível técnico rigoroso.</w:t>
      </w:r>
    </w:p>
    <w:p w14:paraId="0E5C6B3B" w14:textId="77777777" w:rsidR="00183A5A" w:rsidRPr="00183A5A" w:rsidRDefault="00183A5A" w:rsidP="00183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A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52066C" wp14:editId="30CD356D">
                <wp:extent cx="5731510" cy="1270"/>
                <wp:effectExtent l="0" t="31750" r="0" b="36830"/>
                <wp:docPr id="60980226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7015B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8A5E60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14</w:t>
      </w:r>
    </w:p>
    <w:p w14:paraId="7953353B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2E06A8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Setor Escalar, Modos Adiabáticos/Isocurvatura e Condições de Estabilidade (F1)</w:t>
      </w:r>
    </w:p>
    <w:p w14:paraId="68C215FF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D2D5F6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Trabalharemos com:</w:t>
      </w:r>
    </w:p>
    <w:p w14:paraId="4B67480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42687D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(\beta_0,\beta_1,\beta_2,0,\beta_4)</w:t>
      </w:r>
    </w:p>
    <w:p w14:paraId="12AF759B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3F67E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no fundo FLRW já definido no Cap.13.</w:t>
      </w:r>
    </w:p>
    <w:p w14:paraId="4B817297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15DFC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Nosso objetivo aqui é:</w:t>
      </w:r>
    </w:p>
    <w:p w14:paraId="22359AE0" w14:textId="77777777" w:rsidR="00183A5A" w:rsidRPr="00183A5A" w:rsidRDefault="00183A5A" w:rsidP="00183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Extrair a ação quadrática no setor escalar.</w:t>
      </w:r>
    </w:p>
    <w:p w14:paraId="7D8339D8" w14:textId="77777777" w:rsidR="00183A5A" w:rsidRPr="00183A5A" w:rsidRDefault="00183A5A" w:rsidP="00183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Identificar os graus físicos (adiabático + isocurvatura).</w:t>
      </w:r>
    </w:p>
    <w:p w14:paraId="2E4F15B2" w14:textId="77777777" w:rsidR="00183A5A" w:rsidRPr="00183A5A" w:rsidRDefault="00183A5A" w:rsidP="00183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Determinar a massa efetiva do modo isocurvatura m_S^2.</w:t>
      </w:r>
    </w:p>
    <w:p w14:paraId="2B001BAB" w14:textId="77777777" w:rsidR="00183A5A" w:rsidRPr="00183A5A" w:rsidRDefault="00183A5A" w:rsidP="00183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Impor condições:</w:t>
      </w:r>
    </w:p>
    <w:p w14:paraId="3E3225F8" w14:textId="77777777" w:rsidR="00183A5A" w:rsidRPr="00183A5A" w:rsidRDefault="00183A5A" w:rsidP="00183A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ausência de fantasma,</w:t>
      </w:r>
    </w:p>
    <w:p w14:paraId="24E77370" w14:textId="77777777" w:rsidR="00183A5A" w:rsidRPr="00183A5A" w:rsidRDefault="00183A5A" w:rsidP="00183A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ausência de instabilidade de gradiente,</w:t>
      </w:r>
    </w:p>
    <w:p w14:paraId="5E444915" w14:textId="77777777" w:rsidR="00183A5A" w:rsidRPr="00183A5A" w:rsidRDefault="00183A5A" w:rsidP="00183A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supressão observacional de isocurvatura.</w:t>
      </w:r>
    </w:p>
    <w:p w14:paraId="7CB489B6" w14:textId="77777777" w:rsidR="00183A5A" w:rsidRPr="00183A5A" w:rsidRDefault="00183A5A" w:rsidP="00183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A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87686B" wp14:editId="24BDB833">
                <wp:extent cx="5731510" cy="1270"/>
                <wp:effectExtent l="0" t="31750" r="0" b="36830"/>
                <wp:docPr id="105016528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E3778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13F837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Perturbações escalares das métricas</w:t>
      </w:r>
    </w:p>
    <w:p w14:paraId="5A261B7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F78024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Escrevemos as perturbações escalares padrão:</w:t>
      </w:r>
    </w:p>
    <w:p w14:paraId="6BFBA07E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49038E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Para g_{\mu\nu}:</w:t>
      </w:r>
    </w:p>
    <w:p w14:paraId="1F1A19B5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58F44B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ds_g^2 = -(1+2\Phi_g)dt^2 +2a\partial_i B_g dx^i dt +a^2\left[(1-2\Psi_g)\delta_{ij} +2\partial_i\partial_j E_g\right]dx^i dx^j</w:t>
      </w:r>
    </w:p>
    <w:p w14:paraId="3AA0BC4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640A98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Para f_{\mu\nu}:</w:t>
      </w:r>
    </w:p>
    <w:p w14:paraId="6FF74D65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611645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ds_f^2 = -\xi^2(1+2\Phi_f)dt^2 +2\xi b\partial_i B_f dx^i dt +b^2\left[(1-2\Psi_f)\delta_{ij} +2\partial_i\partial_j E_f\right]dx^i dx^j</w:t>
      </w:r>
    </w:p>
    <w:p w14:paraId="10A05B9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E57EF2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Incluímos também o campo estrutural:</w:t>
      </w:r>
    </w:p>
    <w:p w14:paraId="69440FBC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1C88DE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\phi(t) \rightarrow \phi(t) + \delta\phi.</w:t>
      </w:r>
    </w:p>
    <w:p w14:paraId="28BBAA3B" w14:textId="77777777" w:rsidR="00183A5A" w:rsidRPr="00183A5A" w:rsidRDefault="00183A5A" w:rsidP="00183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A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504283" wp14:editId="2B146818">
                <wp:extent cx="5731510" cy="1270"/>
                <wp:effectExtent l="0" t="31750" r="0" b="36830"/>
                <wp:docPr id="31803877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7DCDF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7E5D65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Contagem de graus de liberdade</w:t>
      </w:r>
    </w:p>
    <w:p w14:paraId="04D1BBDE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20F4C2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Em bimetric HR:</w:t>
      </w:r>
    </w:p>
    <w:p w14:paraId="745AB0C2" w14:textId="77777777" w:rsidR="00183A5A" w:rsidRPr="00183A5A" w:rsidRDefault="00183A5A" w:rsidP="00183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Existem 2 modos escalares físicos após remover constraints.</w:t>
      </w:r>
    </w:p>
    <w:p w14:paraId="563BED19" w14:textId="77777777" w:rsidR="00183A5A" w:rsidRPr="00183A5A" w:rsidRDefault="00183A5A" w:rsidP="00183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Um deles corresponde ao modo adiabático (curvatura total).</w:t>
      </w:r>
    </w:p>
    <w:p w14:paraId="5403C434" w14:textId="77777777" w:rsidR="00183A5A" w:rsidRPr="00183A5A" w:rsidRDefault="00183A5A" w:rsidP="00183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O outro é o modo relativo (isocurvatura).</w:t>
      </w:r>
    </w:p>
    <w:p w14:paraId="2F8ADCDA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47687D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Definimos combinações úteis:</w:t>
      </w:r>
    </w:p>
    <w:p w14:paraId="378086AF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BBCA67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Modo adiabático:</w:t>
      </w:r>
    </w:p>
    <w:p w14:paraId="3750C1A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224DFB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\zeta = \frac{\rho_g \Psi_g + \rho_f \Psi_f}{\rho_g + \rho_f}</w:t>
      </w:r>
    </w:p>
    <w:p w14:paraId="2F166B0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13D085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Modo relativo (isocurvatura estrutural TDCP):</w:t>
      </w:r>
    </w:p>
    <w:p w14:paraId="353338E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1B1E2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S \propto \Psi_f - \Psi_g.</w:t>
      </w:r>
    </w:p>
    <w:p w14:paraId="705FCFDF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B68FD4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Mais precisamente, o modo físico é combinação canonicamente normalizada dessas variáveis.</w:t>
      </w:r>
    </w:p>
    <w:p w14:paraId="44B88E8F" w14:textId="77777777" w:rsidR="00183A5A" w:rsidRPr="00183A5A" w:rsidRDefault="00183A5A" w:rsidP="00183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A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EA25A7" wp14:editId="59B355B4">
                <wp:extent cx="5731510" cy="1270"/>
                <wp:effectExtent l="0" t="31750" r="0" b="36830"/>
                <wp:docPr id="57590228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3D5CE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41D5EB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14.3 Ação quadrática (estrutura geral)</w:t>
      </w:r>
    </w:p>
    <w:p w14:paraId="33B88DA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1E6408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A ação escalar quadrática assume forma matricial padrão:</w:t>
      </w:r>
    </w:p>
    <w:p w14:paraId="0AF05B2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E4BAC2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S^{(2)} = \frac12 \int dt\, d^3k\, a^3 \left[ \dot{\vec Q}^T K \dot{\vec Q} - \vec Q^T \Omega^2 \vec Q \right]</w:t>
      </w:r>
    </w:p>
    <w:p w14:paraId="7EDD800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85D82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onde:</w:t>
      </w:r>
    </w:p>
    <w:p w14:paraId="33C10B08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D10FB8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\vec Q = \begin{pmatrix} Q_\zeta \\ Q_S \end{pmatrix}</w:t>
      </w:r>
    </w:p>
    <w:p w14:paraId="6254C934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B7B50B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K é matriz cinética, \Omega^2 matriz de massa.</w:t>
      </w:r>
    </w:p>
    <w:p w14:paraId="47A94914" w14:textId="77777777" w:rsidR="00183A5A" w:rsidRPr="00183A5A" w:rsidRDefault="00183A5A" w:rsidP="00183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A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EBB2A8" wp14:editId="2031AFD3">
                <wp:extent cx="5731510" cy="1270"/>
                <wp:effectExtent l="0" t="31750" r="0" b="36830"/>
                <wp:docPr id="15647660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4A05C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655530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14.4 Condição de ausência de fantasma</w:t>
      </w:r>
    </w:p>
    <w:p w14:paraId="7E81F2DE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4F2615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Para ausência de fantasma:</w:t>
      </w:r>
    </w:p>
    <w:p w14:paraId="2974E20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0EE2D6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lastRenderedPageBreak/>
        <w:t>\boxed{ K \ \text{deve ser positiva definida} }</w:t>
      </w:r>
    </w:p>
    <w:p w14:paraId="4A20CE22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90D68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Ou seja:</w:t>
      </w:r>
    </w:p>
    <w:p w14:paraId="3A81D8C6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65E977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\det(K) &gt; 0, \quad {\rm Tr}(K) &gt; 0.</w:t>
      </w:r>
    </w:p>
    <w:p w14:paraId="3ABA434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B4252F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Em bimetric F1, a condição reduz-se a:</w:t>
      </w:r>
    </w:p>
    <w:p w14:paraId="1803318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8EC288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M_{\rm eff}^2 \left(\beta_1 + 2\beta_2 r\right) &gt; 0</w:t>
      </w:r>
    </w:p>
    <w:p w14:paraId="78C9BCBC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5A76A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avaliado no fundo.</w:t>
      </w:r>
    </w:p>
    <w:p w14:paraId="1F85BB68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73522E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Observe que:</w:t>
      </w:r>
    </w:p>
    <w:p w14:paraId="2B24A0E7" w14:textId="77777777" w:rsidR="00183A5A" w:rsidRPr="00183A5A" w:rsidRDefault="00183A5A" w:rsidP="00183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No ramo algébrico temos \beta_1+2\beta_2 r_\star=0.</w:t>
      </w:r>
    </w:p>
    <w:p w14:paraId="373D90DD" w14:textId="77777777" w:rsidR="00183A5A" w:rsidRPr="00183A5A" w:rsidRDefault="00183A5A" w:rsidP="00183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Isso implica que exatamente no ramo algébrico puro o modo relativo pode se tornar fortemente acoplado.</w:t>
      </w:r>
    </w:p>
    <w:p w14:paraId="4FEB4B0C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AAE042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Portanto:</w:t>
      </w:r>
    </w:p>
    <w:p w14:paraId="0669EFBD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1EDC22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Apple Color Emoji" w:hAnsi="Apple Color Emoji" w:cs="Apple Color Emoji"/>
          <w:kern w:val="0"/>
          <w14:ligatures w14:val="none"/>
        </w:rPr>
        <w:t>🔴</w:t>
      </w:r>
      <w:r w:rsidRPr="00183A5A">
        <w:rPr>
          <w:rFonts w:ascii="Times New Roman" w:hAnsi="Times New Roman" w:cs="Times New Roman"/>
          <w:kern w:val="0"/>
          <w14:ligatures w14:val="none"/>
        </w:rPr>
        <w:t xml:space="preserve"> Conclusão técnica importante</w:t>
      </w:r>
    </w:p>
    <w:p w14:paraId="1FEFE037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Para estudar isocurvatura física propagante, precisamos trabalhar ligeiramente fora do ramo algébrico puro ou incluir modulação TDCP.</w:t>
      </w:r>
    </w:p>
    <w:p w14:paraId="50796BFB" w14:textId="77777777" w:rsidR="00183A5A" w:rsidRPr="00183A5A" w:rsidRDefault="00183A5A" w:rsidP="00183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A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32EE7F" wp14:editId="15F4447F">
                <wp:extent cx="5731510" cy="1270"/>
                <wp:effectExtent l="0" t="31750" r="0" b="36830"/>
                <wp:docPr id="85405558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E02EA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305965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14.5 Massa efetiva do modo isocurvatura m_S^2</w:t>
      </w:r>
    </w:p>
    <w:p w14:paraId="22E2500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2522AA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lastRenderedPageBreak/>
        <w:t>A massa escalar efetiva do modo relativo é proporcional à derivada do potencial em relação a r.</w:t>
      </w:r>
    </w:p>
    <w:p w14:paraId="2EAFB2D8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6CCF34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Para F1:</w:t>
      </w:r>
    </w:p>
    <w:p w14:paraId="5A55C35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3415C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U(r)=\beta_0+3\beta_1 r+3\beta_2 r^2</w:t>
      </w:r>
    </w:p>
    <w:p w14:paraId="14347B7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70531A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Logo:</w:t>
      </w:r>
    </w:p>
    <w:p w14:paraId="3C30D70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B4EA9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\frac{dU}{dr}=3\beta_1+6\beta_2 r.</w:t>
      </w:r>
    </w:p>
    <w:p w14:paraId="0F97DF8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65D9A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A massa efetiva do modo relativo assume forma típica:</w:t>
      </w:r>
    </w:p>
    <w:p w14:paraId="6E5C1005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DF71AC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\boxed{ m_S^2 \sim m^2 F(\phi)\, \left(\beta_1+2\beta_2 r\right) }</w:t>
      </w:r>
    </w:p>
    <w:p w14:paraId="0318B5DF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05CC14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(omito fatores de normalização dependentes de M_g,M_f,r, que são positivos.)</w:t>
      </w:r>
    </w:p>
    <w:p w14:paraId="07731195" w14:textId="77777777" w:rsidR="00183A5A" w:rsidRPr="00183A5A" w:rsidRDefault="00183A5A" w:rsidP="00183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A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F4851E" wp14:editId="7DA3A696">
                <wp:extent cx="5731510" cy="1270"/>
                <wp:effectExtent l="0" t="31750" r="0" b="36830"/>
                <wp:docPr id="69490840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0FCE6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764456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14.6 Interpretação crítica</w:t>
      </w:r>
    </w:p>
    <w:p w14:paraId="282894D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E2269D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Observe:</w:t>
      </w:r>
    </w:p>
    <w:p w14:paraId="79F02535" w14:textId="77777777" w:rsidR="00183A5A" w:rsidRPr="00183A5A" w:rsidRDefault="00183A5A" w:rsidP="00183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O mesmo fator que define o ramo algébrico</w:t>
      </w:r>
    </w:p>
    <w:p w14:paraId="0CD049BC" w14:textId="77777777" w:rsidR="00183A5A" w:rsidRPr="00183A5A" w:rsidRDefault="00183A5A" w:rsidP="00183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é o fator que controla a massa do modo isocurvatura.</w:t>
      </w:r>
    </w:p>
    <w:p w14:paraId="2DA95EEE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AB9BB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\boxed{ m_S^2 \propto \beta_1+2\beta_2 r. }</w:t>
      </w:r>
    </w:p>
    <w:p w14:paraId="338096DD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2873A6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Portanto:</w:t>
      </w:r>
    </w:p>
    <w:p w14:paraId="15E99F91" w14:textId="77777777" w:rsidR="00183A5A" w:rsidRPr="00183A5A" w:rsidRDefault="00183A5A" w:rsidP="00183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lastRenderedPageBreak/>
        <w:t>No ramo algébrico puro → m_S^2 = 0.</w:t>
      </w:r>
    </w:p>
    <w:p w14:paraId="3E9B459B" w14:textId="77777777" w:rsidR="00183A5A" w:rsidRPr="00183A5A" w:rsidRDefault="00183A5A" w:rsidP="00183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No ramo dinâmico → m_S^2 \neq 0.</w:t>
      </w:r>
    </w:p>
    <w:p w14:paraId="65CA3388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27DBA6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Isso é estrutural no HR.</w:t>
      </w:r>
    </w:p>
    <w:p w14:paraId="292230B8" w14:textId="77777777" w:rsidR="00183A5A" w:rsidRPr="00183A5A" w:rsidRDefault="00183A5A" w:rsidP="00183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A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3ACEC4" wp14:editId="0D1AFBDD">
                <wp:extent cx="5731510" cy="1270"/>
                <wp:effectExtent l="0" t="31750" r="0" b="36830"/>
                <wp:docPr id="187234489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83BE6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B3CC47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14.7 Condição de supressão observacional</w:t>
      </w:r>
    </w:p>
    <w:p w14:paraId="4FB0739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4E6F3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Dados CMB exigem:</w:t>
      </w:r>
    </w:p>
    <w:p w14:paraId="3F0DA69D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BDA4C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\frac{P_S}{P_\zeta} \ll 1.</w:t>
      </w:r>
    </w:p>
    <w:p w14:paraId="4B668A8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DC638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Para campo pesado:</w:t>
      </w:r>
    </w:p>
    <w:p w14:paraId="1CE25A9B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BAA0C2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\boxed{ m_S^2 \gg H^2 }</w:t>
      </w:r>
    </w:p>
    <w:p w14:paraId="3CB6120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DDC745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então</w:t>
      </w:r>
    </w:p>
    <w:p w14:paraId="6A32752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C59098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S \propto a^{-3/2} e^{-m_S t}</w:t>
      </w:r>
    </w:p>
    <w:p w14:paraId="3248E3DF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5AB4E2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decai exponencialmente.</w:t>
      </w:r>
    </w:p>
    <w:p w14:paraId="7FDA17E4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D38534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Logo condição matemática fundamental:</w:t>
      </w:r>
    </w:p>
    <w:p w14:paraId="09AA140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CE246E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\boxed{ m^2 F(\phi) \left(\beta_1+2\beta_2 r\right) \gg H^2. }</w:t>
      </w:r>
    </w:p>
    <w:p w14:paraId="6B588765" w14:textId="77777777" w:rsidR="00183A5A" w:rsidRPr="00183A5A" w:rsidRDefault="00183A5A" w:rsidP="00183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A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3D0BC6" wp14:editId="43F99780">
                <wp:extent cx="5731510" cy="1270"/>
                <wp:effectExtent l="0" t="31750" r="0" b="36830"/>
                <wp:docPr id="36460583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BCCC5C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4F1C10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14.8 Relação com F1 e restrições já obtidas</w:t>
      </w:r>
    </w:p>
    <w:p w14:paraId="7BF45AB7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49149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Recordando:</w:t>
      </w:r>
    </w:p>
    <w:p w14:paraId="56A6E2B4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54000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r_\star=-\frac{\beta_1}{2\beta_2}.</w:t>
      </w:r>
    </w:p>
    <w:p w14:paraId="409241A5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ED31C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Então:</w:t>
      </w:r>
    </w:p>
    <w:p w14:paraId="379A98A6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DEE27C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\beta_1+2\beta_2 r = 2\beta_2 (r-r_\star).</w:t>
      </w:r>
    </w:p>
    <w:p w14:paraId="41A38224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C489C7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Logo:</w:t>
      </w:r>
    </w:p>
    <w:p w14:paraId="66E663F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950DC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\boxed{ m_S^2 \propto 2\beta_2 (r-r_\star). }</w:t>
      </w:r>
    </w:p>
    <w:p w14:paraId="043EADD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9EDD9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Interpretação:</w:t>
      </w:r>
    </w:p>
    <w:p w14:paraId="30A74883" w14:textId="77777777" w:rsidR="00183A5A" w:rsidRPr="00183A5A" w:rsidRDefault="00183A5A" w:rsidP="00183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Se r evolui ligeiramente ao redor de r_\star,</w:t>
      </w:r>
    </w:p>
    <w:p w14:paraId="1C95AA06" w14:textId="77777777" w:rsidR="00183A5A" w:rsidRPr="00183A5A" w:rsidRDefault="00183A5A" w:rsidP="00183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o modo isocurvatura adquire massa proporcional ao desvio estrutural.</w:t>
      </w:r>
    </w:p>
    <w:p w14:paraId="34A8794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407A9F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Isso é coerente com TDCP:</w:t>
      </w:r>
    </w:p>
    <w:p w14:paraId="4AACEE97" w14:textId="77777777" w:rsidR="00183A5A" w:rsidRPr="00183A5A" w:rsidRDefault="00183A5A" w:rsidP="0018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no momento de bifurcação → r pode deslocar-se,</w:t>
      </w:r>
    </w:p>
    <w:p w14:paraId="674A05F9" w14:textId="77777777" w:rsidR="00183A5A" w:rsidRPr="00183A5A" w:rsidRDefault="00183A5A" w:rsidP="0018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posteriormente → relaxa para r_\star,</w:t>
      </w:r>
    </w:p>
    <w:p w14:paraId="1DD4099C" w14:textId="77777777" w:rsidR="00183A5A" w:rsidRPr="00183A5A" w:rsidRDefault="00183A5A" w:rsidP="0018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tornando m_S^2 grande e suprimindo isocurvatura.</w:t>
      </w:r>
    </w:p>
    <w:p w14:paraId="6A816B94" w14:textId="77777777" w:rsidR="00183A5A" w:rsidRPr="00183A5A" w:rsidRDefault="00183A5A" w:rsidP="00183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A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35EAE8" wp14:editId="0481A538">
                <wp:extent cx="5731510" cy="1270"/>
                <wp:effectExtent l="0" t="31750" r="0" b="36830"/>
                <wp:docPr id="10997409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6F08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08F8AB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14.9 Condição final fechada para F1</w:t>
      </w:r>
    </w:p>
    <w:p w14:paraId="2D385AD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00BB3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Para controle completo precisamos impor:</w:t>
      </w:r>
    </w:p>
    <w:p w14:paraId="451B6C7F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1E2877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(1) Ausência de fantasma:</w:t>
      </w:r>
    </w:p>
    <w:p w14:paraId="48033F6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A390DB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\beta_1+2\beta_2 r &gt; 0.</w:t>
      </w:r>
    </w:p>
    <w:p w14:paraId="00F8FDE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302575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(2) Supressão de isocurvatura:</w:t>
      </w:r>
    </w:p>
    <w:p w14:paraId="3119E45B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5A36D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m^2 F(\phi)(\beta_1+2\beta_2 r) \gg H^2.</w:t>
      </w:r>
    </w:p>
    <w:p w14:paraId="24F6063C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59ED83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(3) Consistência com Cap.13:</w:t>
      </w:r>
    </w:p>
    <w:p w14:paraId="4DF97987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B8200F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\beta_1\beta_2&lt;0, \quad \beta_0-\frac{3\beta_1^2}{4\beta_2}&gt;0.</w:t>
      </w:r>
    </w:p>
    <w:p w14:paraId="10B2CE7F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A898F5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Essas três já delimitam fortemente o espaço F1.</w:t>
      </w:r>
    </w:p>
    <w:p w14:paraId="7D00B908" w14:textId="77777777" w:rsidR="00183A5A" w:rsidRPr="00183A5A" w:rsidRDefault="00183A5A" w:rsidP="00183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A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AC0E23" wp14:editId="6FA748C7">
                <wp:extent cx="5731510" cy="1270"/>
                <wp:effectExtent l="0" t="31750" r="0" b="36830"/>
                <wp:docPr id="2685400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A41629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C7536E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14.10 Resultado estrutural importante</w:t>
      </w:r>
    </w:p>
    <w:p w14:paraId="3CD86F9D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3EACE8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No modelo F1:</w:t>
      </w:r>
    </w:p>
    <w:p w14:paraId="3D7C1613" w14:textId="77777777" w:rsidR="00183A5A" w:rsidRPr="00183A5A" w:rsidRDefault="00183A5A" w:rsidP="00183A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O controle de isocurvatura,</w:t>
      </w:r>
    </w:p>
    <w:p w14:paraId="5C67AFEA" w14:textId="77777777" w:rsidR="00183A5A" w:rsidRPr="00183A5A" w:rsidRDefault="00183A5A" w:rsidP="00183A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a estabilidade escalar,</w:t>
      </w:r>
    </w:p>
    <w:p w14:paraId="10D49C1F" w14:textId="77777777" w:rsidR="00183A5A" w:rsidRPr="00183A5A" w:rsidRDefault="00183A5A" w:rsidP="00183A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e a existência do ramo,</w:t>
      </w:r>
    </w:p>
    <w:p w14:paraId="47760B42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9AAD15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estão todos ligados ao mesmo fator:</w:t>
      </w:r>
    </w:p>
    <w:p w14:paraId="46EECAC2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E53CEE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\beta_1+2\beta_2 r.</w:t>
      </w:r>
    </w:p>
    <w:p w14:paraId="625F6919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4FE0D7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Isso significa que o ajuste de F1 é altamente não trivial:</w:t>
      </w:r>
    </w:p>
    <w:p w14:paraId="70715C2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não é possível escolher \beta_n arbitrariamente sem afetar simultaneamente:</w:t>
      </w:r>
    </w:p>
    <w:p w14:paraId="47E8A839" w14:textId="77777777" w:rsidR="00183A5A" w:rsidRPr="00183A5A" w:rsidRDefault="00183A5A" w:rsidP="00183A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fundo cosmológico,</w:t>
      </w:r>
    </w:p>
    <w:p w14:paraId="438A5B2A" w14:textId="77777777" w:rsidR="00183A5A" w:rsidRPr="00183A5A" w:rsidRDefault="00183A5A" w:rsidP="00183A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setor escalar,</w:t>
      </w:r>
    </w:p>
    <w:p w14:paraId="2DD82689" w14:textId="77777777" w:rsidR="00183A5A" w:rsidRPr="00183A5A" w:rsidRDefault="00183A5A" w:rsidP="00183A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estabilidade.</w:t>
      </w:r>
    </w:p>
    <w:p w14:paraId="584B2C29" w14:textId="77777777" w:rsidR="00183A5A" w:rsidRPr="00183A5A" w:rsidRDefault="00183A5A" w:rsidP="00183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A5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9FE211" wp14:editId="33B0960B">
                <wp:extent cx="5731510" cy="1270"/>
                <wp:effectExtent l="0" t="33655" r="0" b="38735"/>
                <wp:docPr id="19998600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15C1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EA0B4B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passo lógico</w:t>
      </w:r>
    </w:p>
    <w:p w14:paraId="6BC0136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B4A052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Agora temos duas direções técnicas:</w:t>
      </w:r>
    </w:p>
    <w:p w14:paraId="26773E16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9592BB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Calcular explicitamente o espectro P_S e P_\zeta</w:t>
      </w:r>
    </w:p>
    <w:p w14:paraId="502AE76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FB26BE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(inflação TDCP e geração primordial)</w:t>
      </w:r>
    </w:p>
    <w:p w14:paraId="760A0AD5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4E75FA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ou</w:t>
      </w:r>
    </w:p>
    <w:p w14:paraId="2F10E78A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8F6C61" w14:textId="77777777" w:rsidR="00183A5A" w:rsidRPr="00183A5A" w:rsidRDefault="00183A5A" w:rsidP="00183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3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Avançar para Cap.15: Massa do gravitón e Higuchi</w:t>
      </w:r>
    </w:p>
    <w:p w14:paraId="373D978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EA4100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(necessário para fechar consistência tensorial)</w:t>
      </w:r>
    </w:p>
    <w:p w14:paraId="45CC709F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095283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t>Dado que o controle escalar depende fortemente da massa efetiva m_T^2 também, o caminho matematicamente mais consistente é:</w:t>
      </w:r>
    </w:p>
    <w:p w14:paraId="33AF41C2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7A84F8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Apple Color Emoji" w:hAnsi="Apple Color Emoji" w:cs="Apple Color Emoji"/>
          <w:kern w:val="0"/>
          <w14:ligatures w14:val="none"/>
        </w:rPr>
        <w:t>👉</w:t>
      </w:r>
      <w:r w:rsidRPr="00183A5A">
        <w:rPr>
          <w:rFonts w:ascii="Times New Roman" w:hAnsi="Times New Roman" w:cs="Times New Roman"/>
          <w:kern w:val="0"/>
          <w14:ligatures w14:val="none"/>
        </w:rPr>
        <w:t xml:space="preserve"> Ir para Cap.15 — Setor Tensorial e Limites na Massa do Gravitón.</w:t>
      </w:r>
    </w:p>
    <w:p w14:paraId="284C019A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E62CD1" w14:textId="77777777" w:rsidR="00183A5A" w:rsidRPr="00183A5A" w:rsidRDefault="00183A5A" w:rsidP="00183A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3A5A">
        <w:rPr>
          <w:rFonts w:ascii="Times New Roman" w:hAnsi="Times New Roman" w:cs="Times New Roman"/>
          <w:kern w:val="0"/>
          <w14:ligatures w14:val="none"/>
        </w:rPr>
        <w:lastRenderedPageBreak/>
        <w:t>Se você confirmar, começo imediatamente.</w:t>
      </w:r>
    </w:p>
    <w:p w14:paraId="48EC47CE" w14:textId="77777777" w:rsidR="00183A5A" w:rsidRDefault="00183A5A"/>
    <w:sectPr w:rsidR="00183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50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07F7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858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A61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D51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423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B32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772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E36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254235">
    <w:abstractNumId w:val="1"/>
  </w:num>
  <w:num w:numId="2" w16cid:durableId="1468083713">
    <w:abstractNumId w:val="5"/>
  </w:num>
  <w:num w:numId="3" w16cid:durableId="208229169">
    <w:abstractNumId w:val="2"/>
  </w:num>
  <w:num w:numId="4" w16cid:durableId="1525093672">
    <w:abstractNumId w:val="3"/>
  </w:num>
  <w:num w:numId="5" w16cid:durableId="651253727">
    <w:abstractNumId w:val="4"/>
  </w:num>
  <w:num w:numId="6" w16cid:durableId="128086634">
    <w:abstractNumId w:val="6"/>
  </w:num>
  <w:num w:numId="7" w16cid:durableId="1295793998">
    <w:abstractNumId w:val="0"/>
  </w:num>
  <w:num w:numId="8" w16cid:durableId="1259604181">
    <w:abstractNumId w:val="7"/>
  </w:num>
  <w:num w:numId="9" w16cid:durableId="8057019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5A"/>
    <w:rsid w:val="00183A5A"/>
    <w:rsid w:val="005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80C70C"/>
  <w15:chartTrackingRefBased/>
  <w15:docId w15:val="{54F0E470-0D4C-0D45-BEBF-C66B31799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A5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83A5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83A5A"/>
  </w:style>
  <w:style w:type="character" w:customStyle="1" w:styleId="s2">
    <w:name w:val="s2"/>
    <w:basedOn w:val="DefaultParagraphFont"/>
    <w:rsid w:val="00183A5A"/>
  </w:style>
  <w:style w:type="paragraph" w:customStyle="1" w:styleId="p2">
    <w:name w:val="p2"/>
    <w:basedOn w:val="Normal"/>
    <w:rsid w:val="00183A5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83A5A"/>
  </w:style>
  <w:style w:type="paragraph" w:customStyle="1" w:styleId="p3">
    <w:name w:val="p3"/>
    <w:basedOn w:val="Normal"/>
    <w:rsid w:val="00183A5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183A5A"/>
  </w:style>
  <w:style w:type="character" w:customStyle="1" w:styleId="s5">
    <w:name w:val="s5"/>
    <w:basedOn w:val="DefaultParagraphFont"/>
    <w:rsid w:val="00183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784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2026-02-21T22:20:00Z</dcterms:created>
  <dcterms:modified xsi:type="dcterms:W3CDTF">2026-02-21T22:20:00Z</dcterms:modified>
</cp:coreProperties>
</file>