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244C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Perfeito. Vamos fechar o bloco de validação com o Capítulo 16 — Consistência UV e Estrutura de Teoria Efetiva (EFT), mantendo foco técnico e critérios verificáveis.</w:t>
      </w:r>
    </w:p>
    <w:p w14:paraId="0296696E" w14:textId="77777777" w:rsidR="00552668" w:rsidRPr="00552668" w:rsidRDefault="00552668" w:rsidP="005526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66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C141EC" wp14:editId="690ACDFA">
                <wp:extent cx="5731510" cy="1270"/>
                <wp:effectExtent l="0" t="31750" r="0" b="36830"/>
                <wp:docPr id="116199864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5B731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575123" w14:textId="77777777" w:rsidR="00552668" w:rsidRPr="00552668" w:rsidRDefault="00552668" w:rsidP="0055266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6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16</w:t>
      </w:r>
    </w:p>
    <w:p w14:paraId="33D0A40E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326CA0" w14:textId="77777777" w:rsidR="00552668" w:rsidRPr="00552668" w:rsidRDefault="00552668" w:rsidP="005526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6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Consistência UV, Escala de Forte Acoplamento e Estrutura EFT (F1)</w:t>
      </w:r>
    </w:p>
    <w:p w14:paraId="377E112A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654654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Continuamos com:</w:t>
      </w:r>
    </w:p>
    <w:p w14:paraId="1A480F10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7686BE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(\beta_0,\beta_1,\beta_2,0,\beta_4), \quad V \to F(\phi)V,</w:t>
      </w:r>
    </w:p>
    <w:p w14:paraId="331C0E20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56B911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e fundo FLRW já estabelecido.</w:t>
      </w:r>
    </w:p>
    <w:p w14:paraId="58069A0A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505BCF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Objetivos:</w:t>
      </w:r>
    </w:p>
    <w:p w14:paraId="75DED66F" w14:textId="77777777" w:rsidR="00552668" w:rsidRPr="00552668" w:rsidRDefault="00552668" w:rsidP="00552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Determinar a escala de forte acoplamento.</w:t>
      </w:r>
    </w:p>
    <w:p w14:paraId="00D5500C" w14:textId="77777777" w:rsidR="00552668" w:rsidRPr="00552668" w:rsidRDefault="00552668" w:rsidP="00552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Verificar ausência de novos fantasmas abaixo do cutoff.</w:t>
      </w:r>
    </w:p>
    <w:p w14:paraId="126C893F" w14:textId="77777777" w:rsidR="00552668" w:rsidRPr="00552668" w:rsidRDefault="00552668" w:rsidP="00552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Definir domínio de validade da teoria.</w:t>
      </w:r>
    </w:p>
    <w:p w14:paraId="68D9E1CB" w14:textId="77777777" w:rsidR="00552668" w:rsidRPr="00552668" w:rsidRDefault="00552668" w:rsidP="00552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Avaliar estabilidade radiativa (naturalidade).</w:t>
      </w:r>
    </w:p>
    <w:p w14:paraId="09B81F06" w14:textId="77777777" w:rsidR="00552668" w:rsidRPr="00552668" w:rsidRDefault="00552668" w:rsidP="005526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66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8CE874" wp14:editId="5EBE94E9">
                <wp:extent cx="5731510" cy="1270"/>
                <wp:effectExtent l="0" t="31750" r="0" b="36830"/>
                <wp:docPr id="138179414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2635E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8AE51F" w14:textId="77777777" w:rsidR="00552668" w:rsidRPr="00552668" w:rsidRDefault="00552668" w:rsidP="0055266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16.1 Estrutura EFT do setor massivo</w:t>
      </w:r>
    </w:p>
    <w:p w14:paraId="2684BC17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309280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Em teorias de gravidade massiva/bimetric, a escala de forte acoplamento típica (no setor helicity-0 do modo massivo) é:</w:t>
      </w:r>
    </w:p>
    <w:p w14:paraId="5B7111AA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BF8672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\boxed{ \Lambda_3 \sim (m^2 M_{\rm Pl})^{1/3}. }</w:t>
      </w:r>
    </w:p>
    <w:p w14:paraId="1D95752B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BCBD7A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Aqui, com dois setores, substituímos M_{\rm Pl}\to M_{\rm eff}.</w:t>
      </w:r>
    </w:p>
    <w:p w14:paraId="28BDB668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0B7965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Logo:</w:t>
      </w:r>
    </w:p>
    <w:p w14:paraId="003CC15B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D2733C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\boxed{ \Lambda_{\rm TDCP} \sim (m^2 M_{\rm eff})^{1/3}. }</w:t>
      </w:r>
    </w:p>
    <w:p w14:paraId="659BA0F5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7ACF44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Essa é a escala onde interações não-lineares do modo helicity-0 tornam-se relevantes.</w:t>
      </w:r>
    </w:p>
    <w:p w14:paraId="686E2BA2" w14:textId="77777777" w:rsidR="00552668" w:rsidRPr="00552668" w:rsidRDefault="00552668" w:rsidP="005526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66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63A8A1" wp14:editId="1A48F73E">
                <wp:extent cx="5731510" cy="1270"/>
                <wp:effectExtent l="0" t="31750" r="0" b="36830"/>
                <wp:docPr id="173862160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4BD17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8CCE13" w14:textId="77777777" w:rsidR="00552668" w:rsidRPr="00552668" w:rsidRDefault="00552668" w:rsidP="0055266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16.2 Condição básica de validade EFT</w:t>
      </w:r>
    </w:p>
    <w:p w14:paraId="65CAA224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BB26DB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Para que a teoria seja consistente como EFT:</w:t>
      </w:r>
    </w:p>
    <w:p w14:paraId="0BCE68FE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9E8C0D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\boxed{ H \ll \Lambda_{\rm TDCP}. }</w:t>
      </w:r>
    </w:p>
    <w:p w14:paraId="456F95E8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D6AE2F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ou seja, a expansão cosmológica deve ocorrer bem abaixo da escala de forte acoplamento.</w:t>
      </w:r>
    </w:p>
    <w:p w14:paraId="1AE5372A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8203EC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Substituindo:</w:t>
      </w:r>
    </w:p>
    <w:p w14:paraId="24DD6162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EDAE9D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H \ll (m^2 M_{\rm eff})^{1/3}.</w:t>
      </w:r>
    </w:p>
    <w:p w14:paraId="485097D9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DE3F5D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Elevando ao cubo:</w:t>
      </w:r>
    </w:p>
    <w:p w14:paraId="2731C354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1F409D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H^3 \ll m^2 M_{\rm eff}.</w:t>
      </w:r>
    </w:p>
    <w:p w14:paraId="38FE8B5F" w14:textId="77777777" w:rsidR="00552668" w:rsidRPr="00552668" w:rsidRDefault="00552668" w:rsidP="005526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66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41B553" wp14:editId="7FD62D01">
                <wp:extent cx="5731510" cy="1270"/>
                <wp:effectExtent l="0" t="31750" r="0" b="36830"/>
                <wp:docPr id="179760915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F03172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35882B" w14:textId="77777777" w:rsidR="00552668" w:rsidRPr="00552668" w:rsidRDefault="00552668" w:rsidP="0055266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16.3 Conexão com Higuchi</w:t>
      </w:r>
    </w:p>
    <w:p w14:paraId="58B58621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E775C8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Lembrando que:</w:t>
      </w:r>
    </w:p>
    <w:p w14:paraId="389E52AC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D6623C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m_T^2 \sim m^2 F(\phi) r(\beta_1+2\beta_2 r).</w:t>
      </w:r>
    </w:p>
    <w:p w14:paraId="378351CB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E5A2DA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E Higuchi exige:</w:t>
      </w:r>
    </w:p>
    <w:p w14:paraId="5BA55152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2DA59B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m_T^2 \ge 2H^2.</w:t>
      </w:r>
    </w:p>
    <w:p w14:paraId="22371DF3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84C9AC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Portanto:</w:t>
      </w:r>
    </w:p>
    <w:p w14:paraId="7C398F84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43B875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m^2 \gtrsim \frac{2H^2}{F(\phi) r(\beta_1+2\beta_2 r)}.</w:t>
      </w:r>
    </w:p>
    <w:p w14:paraId="0C0843F0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230317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Substituindo na escala EFT:</w:t>
      </w:r>
    </w:p>
    <w:p w14:paraId="3E3A45F9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9B3946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\Lambda_{\rm TDCP} \sim \left( \frac{2H^2}{F r(\beta_1+2\beta_2 r)} M_{\rm eff} \right)^{1/3}.</w:t>
      </w:r>
    </w:p>
    <w:p w14:paraId="49F107C6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C40C80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Para consistência UV precisamos:</w:t>
      </w:r>
    </w:p>
    <w:p w14:paraId="02204E9D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7494C9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H \ll \left( \frac{2H^2 M_{\rm eff}} {F r(\beta_1+2\beta_2 r)} \right)^{1/3}.</w:t>
      </w:r>
    </w:p>
    <w:p w14:paraId="0F7C9BE5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756580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Elevando ao cubo e simplificando:</w:t>
      </w:r>
    </w:p>
    <w:p w14:paraId="44C3BA03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C3EF1E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lastRenderedPageBreak/>
        <w:t>H^3 \ll \frac{2H^2 M_{\rm eff}} {F r(\beta_1+2\beta_2 r)}.</w:t>
      </w:r>
    </w:p>
    <w:p w14:paraId="2EB90633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2FA421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Cancelando H^2:</w:t>
      </w:r>
    </w:p>
    <w:p w14:paraId="3DB8320C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64C8B4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\boxed{ H \ll \frac{2 M_{\rm eff}} {F r(\beta_1+2\beta_2 r)}. }</w:t>
      </w:r>
    </w:p>
    <w:p w14:paraId="5B749321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3D4EDA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Como M_{\rm eff}\sim M_{\rm Pl} é enorme comparado a H, essa condição é facilmente satisfeita para valores naturais de \beta_n.</w:t>
      </w:r>
    </w:p>
    <w:p w14:paraId="2506D052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72AC70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Conclusão:</w:t>
      </w:r>
    </w:p>
    <w:p w14:paraId="774E0593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38BDC9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Apple Color Emoji" w:hAnsi="Apple Color Emoji" w:cs="Apple Color Emoji"/>
          <w:kern w:val="0"/>
          <w14:ligatures w14:val="none"/>
        </w:rPr>
        <w:t>✔</w:t>
      </w:r>
      <w:r w:rsidRPr="00552668">
        <w:rPr>
          <w:rFonts w:ascii="Times New Roman" w:hAnsi="Times New Roman" w:cs="Times New Roman"/>
          <w:kern w:val="0"/>
          <w14:ligatures w14:val="none"/>
        </w:rPr>
        <w:t xml:space="preserve"> Higuchi não força a teoria fora do regime EFT</w:t>
      </w:r>
    </w:p>
    <w:p w14:paraId="26D5725B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Apple Color Emoji" w:hAnsi="Apple Color Emoji" w:cs="Apple Color Emoji"/>
          <w:kern w:val="0"/>
          <w14:ligatures w14:val="none"/>
        </w:rPr>
        <w:t>✔</w:t>
      </w:r>
      <w:r w:rsidRPr="00552668">
        <w:rPr>
          <w:rFonts w:ascii="Times New Roman" w:hAnsi="Times New Roman" w:cs="Times New Roman"/>
          <w:kern w:val="0"/>
          <w14:ligatures w14:val="none"/>
        </w:rPr>
        <w:t xml:space="preserve"> Existe janela paramétrica consistente</w:t>
      </w:r>
    </w:p>
    <w:p w14:paraId="6590D896" w14:textId="77777777" w:rsidR="00552668" w:rsidRPr="00552668" w:rsidRDefault="00552668" w:rsidP="005526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66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89894E" wp14:editId="75655E9B">
                <wp:extent cx="5731510" cy="1270"/>
                <wp:effectExtent l="0" t="31750" r="0" b="36830"/>
                <wp:docPr id="199088157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1AE74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D1CFEF" w14:textId="77777777" w:rsidR="00552668" w:rsidRPr="00552668" w:rsidRDefault="00552668" w:rsidP="0055266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16.4 Estrutura helicity-0 e ausência de Boulware-Deser ghost</w:t>
      </w:r>
    </w:p>
    <w:p w14:paraId="0C22A459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07975E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O formalismo HR garante ausência do ghost Boulware-Deser no nível não-linear, desde que:</w:t>
      </w:r>
    </w:p>
    <w:p w14:paraId="4646B67F" w14:textId="77777777" w:rsidR="00552668" w:rsidRPr="00552668" w:rsidRDefault="00552668" w:rsidP="00552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O potencial tenha estrutura HR exata.</w:t>
      </w:r>
    </w:p>
    <w:p w14:paraId="21D3F0F4" w14:textId="77777777" w:rsidR="00552668" w:rsidRPr="00552668" w:rsidRDefault="00552668" w:rsidP="00552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Não haja acoplamento duplo da matéria às duas métricas.</w:t>
      </w:r>
    </w:p>
    <w:p w14:paraId="5ACF9575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A59B05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No TDCP estamos assumindo:</w:t>
      </w:r>
    </w:p>
    <w:p w14:paraId="3438EFC6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535A6C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S_m = S_m[g,\psi]</w:t>
      </w:r>
    </w:p>
    <w:p w14:paraId="23C08C65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D6CA25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(acoplamento mínimo apenas a g_{\mu\nu}).</w:t>
      </w:r>
    </w:p>
    <w:p w14:paraId="4715C3E9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098CA6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Logo:</w:t>
      </w:r>
    </w:p>
    <w:p w14:paraId="6E658F53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3846E2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\boxed{\text{Sem BD ghost abaixo de } \Lambda_{\rm TDCP}.}</w:t>
      </w:r>
    </w:p>
    <w:p w14:paraId="0F041CF4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D76FBE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Se incluirmos \beta_n(\phi), devemos garantir que a modulação preserve a estrutura simétrica do potencial.</w:t>
      </w:r>
    </w:p>
    <w:p w14:paraId="02E6A139" w14:textId="77777777" w:rsidR="00552668" w:rsidRPr="00552668" w:rsidRDefault="00552668" w:rsidP="005526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66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EB6861" wp14:editId="7E1025AE">
                <wp:extent cx="5731510" cy="1270"/>
                <wp:effectExtent l="0" t="31750" r="0" b="36830"/>
                <wp:docPr id="110852182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F91B3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C3A8F9" w14:textId="77777777" w:rsidR="00552668" w:rsidRPr="00552668" w:rsidRDefault="00552668" w:rsidP="0055266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16.5 Correções radiativas</w:t>
      </w:r>
    </w:p>
    <w:p w14:paraId="41364B2D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EECB59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A preocupação:</w:t>
      </w:r>
    </w:p>
    <w:p w14:paraId="15FBF28C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9496D5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Loops quânticos podem gerar:</w:t>
      </w:r>
    </w:p>
    <w:p w14:paraId="486B6F80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A16095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\delta \beta_n \sim \frac{\Lambda_{\rm cut}^4}{16\pi^2 M_{\rm eff}^2 m^2}.</w:t>
      </w:r>
    </w:p>
    <w:p w14:paraId="3603213A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1E7388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Para estabilidade radiativa precisamos:</w:t>
      </w:r>
    </w:p>
    <w:p w14:paraId="7842EA7D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2AC58E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\delta \beta_n \ll \beta_n.</w:t>
      </w:r>
    </w:p>
    <w:p w14:paraId="15E9B414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AE0E6D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Se a teoria for válida até \Lambda_{\rm TDCP}, então:</w:t>
      </w:r>
    </w:p>
    <w:p w14:paraId="4D6C370D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88C431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\Lambda_{\rm cut}\sim \Lambda_{\rm TDCP}.</w:t>
      </w:r>
    </w:p>
    <w:p w14:paraId="58DB56CE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9DEFDB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Substituindo:</w:t>
      </w:r>
    </w:p>
    <w:p w14:paraId="5307884A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044FBB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\delta \beta_n \sim \frac{(m^2 M_{\rm eff})^{4/3}} {16\pi^2 M_{\rm eff}^2 m^2} = \frac{m^{2/3}} {16\pi^2 M_{\rm eff}^{2/3}}.</w:t>
      </w:r>
    </w:p>
    <w:p w14:paraId="37739266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C4283F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Como M_{\rm eff}\sim M_{\rm Pl} é enorme:</w:t>
      </w:r>
    </w:p>
    <w:p w14:paraId="6B48E6E1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CE3874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\boxed{ \delta \beta_n \ll 1 }</w:t>
      </w:r>
    </w:p>
    <w:p w14:paraId="10589794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BBCFA6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para m\ll M_{\rm Pl}, que é exatamente o regime cosmológico.</w:t>
      </w:r>
    </w:p>
    <w:p w14:paraId="0D19E6B4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B4413C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Conclusão:</w:t>
      </w:r>
    </w:p>
    <w:p w14:paraId="5F377D53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CFD3E2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Apple Color Emoji" w:hAnsi="Apple Color Emoji" w:cs="Apple Color Emoji"/>
          <w:kern w:val="0"/>
          <w14:ligatures w14:val="none"/>
        </w:rPr>
        <w:t>✔</w:t>
      </w:r>
      <w:r w:rsidRPr="00552668">
        <w:rPr>
          <w:rFonts w:ascii="Times New Roman" w:hAnsi="Times New Roman" w:cs="Times New Roman"/>
          <w:kern w:val="0"/>
          <w14:ligatures w14:val="none"/>
        </w:rPr>
        <w:t xml:space="preserve"> F1 é tecnicamente natural como EFT cosmológica.</w:t>
      </w:r>
    </w:p>
    <w:p w14:paraId="3600732C" w14:textId="77777777" w:rsidR="00552668" w:rsidRPr="00552668" w:rsidRDefault="00552668" w:rsidP="005526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66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827940" wp14:editId="44725B73">
                <wp:extent cx="5731510" cy="1270"/>
                <wp:effectExtent l="0" t="31750" r="0" b="36830"/>
                <wp:docPr id="55323579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B3FC71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4F3261" w14:textId="77777777" w:rsidR="00552668" w:rsidRPr="00552668" w:rsidRDefault="00552668" w:rsidP="0055266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16.6 Domínio de validade cosmológica</w:t>
      </w:r>
    </w:p>
    <w:p w14:paraId="5B4C9372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C15EF2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A TDCP deve ser tratada como válida:</w:t>
      </w:r>
    </w:p>
    <w:p w14:paraId="4C643E48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B63E3A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H \lesssim \Lambda_{\rm TDCP}</w:t>
      </w:r>
    </w:p>
    <w:p w14:paraId="367E0A64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617792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ou seja:</w:t>
      </w:r>
    </w:p>
    <w:p w14:paraId="6234DC53" w14:textId="77777777" w:rsidR="00552668" w:rsidRPr="00552668" w:rsidRDefault="00552668" w:rsidP="00552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Pós-bifurcação.</w:t>
      </w:r>
    </w:p>
    <w:p w14:paraId="20F55683" w14:textId="77777777" w:rsidR="00552668" w:rsidRPr="00552668" w:rsidRDefault="00552668" w:rsidP="00552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Não necessariamente válida na escala de Planck.</w:t>
      </w:r>
    </w:p>
    <w:p w14:paraId="7F04AAD0" w14:textId="77777777" w:rsidR="00552668" w:rsidRPr="00552668" w:rsidRDefault="00552668" w:rsidP="00552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Não descreve a singularidade original.</w:t>
      </w:r>
    </w:p>
    <w:p w14:paraId="7119FBD9" w14:textId="77777777" w:rsidR="00552668" w:rsidRPr="00552668" w:rsidRDefault="00552668" w:rsidP="00552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É EFT gravitacional infravermelha modificada.</w:t>
      </w:r>
    </w:p>
    <w:p w14:paraId="0CDFB1A4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AE9327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Isso é cientificamente aceitável e padrão em cosmologia moderna.</w:t>
      </w:r>
    </w:p>
    <w:p w14:paraId="5050304F" w14:textId="77777777" w:rsidR="00552668" w:rsidRPr="00552668" w:rsidRDefault="00552668" w:rsidP="005526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66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22B2464" wp14:editId="7C1FF374">
                <wp:extent cx="5731510" cy="1270"/>
                <wp:effectExtent l="0" t="31750" r="0" b="36830"/>
                <wp:docPr id="133398718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0FE21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5A2B2E" w14:textId="77777777" w:rsidR="00552668" w:rsidRPr="00552668" w:rsidRDefault="00552668" w:rsidP="0055266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6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16.7 Resultado final do bloco de validação</w:t>
      </w:r>
    </w:p>
    <w:p w14:paraId="31374D71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A2B7B3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Reunindo Cap.13–16, temos:</w:t>
      </w:r>
    </w:p>
    <w:p w14:paraId="4A6E2B17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77DBC1" w14:textId="77777777" w:rsidR="00552668" w:rsidRPr="00552668" w:rsidRDefault="00552668" w:rsidP="00552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Fundo:</w:t>
      </w:r>
    </w:p>
    <w:p w14:paraId="3436897A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44EBA8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\beta_1\beta_2&lt;0, \quad \beta_0-\frac{3\beta_1^2}{4\beta_2}&gt;0.</w:t>
      </w:r>
    </w:p>
    <w:p w14:paraId="0E1159CF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AF2281" w14:textId="77777777" w:rsidR="00552668" w:rsidRPr="00552668" w:rsidRDefault="00552668" w:rsidP="00552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Escalar:</w:t>
      </w:r>
    </w:p>
    <w:p w14:paraId="3BCB9391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E90050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\beta_1+2\beta_2 r &gt; 0, \quad m_S^2 \gg H^2.</w:t>
      </w:r>
    </w:p>
    <w:p w14:paraId="04BDC05A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88F483" w14:textId="77777777" w:rsidR="00552668" w:rsidRPr="00552668" w:rsidRDefault="00552668" w:rsidP="00552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Tensor:</w:t>
      </w:r>
    </w:p>
    <w:p w14:paraId="67195227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719914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m_T^2 \ge 2H^2, \quad m_T^2 \lesssim H_0^2 \text{ hoje}.</w:t>
      </w:r>
    </w:p>
    <w:p w14:paraId="0E0A7839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B2E206" w14:textId="77777777" w:rsidR="00552668" w:rsidRPr="00552668" w:rsidRDefault="00552668" w:rsidP="00552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26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UV:</w:t>
      </w:r>
    </w:p>
    <w:p w14:paraId="6395C650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E5C581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H \ll (m^2 M_{\rm eff})^{1/3}.</w:t>
      </w:r>
    </w:p>
    <w:p w14:paraId="20D6A28F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27005E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Não há inconsistência estrutural evidente dentro de F1 sob essas condições.</w:t>
      </w:r>
    </w:p>
    <w:p w14:paraId="24460DBC" w14:textId="77777777" w:rsidR="00552668" w:rsidRPr="00552668" w:rsidRDefault="00552668" w:rsidP="005526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66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CBB554" wp14:editId="51F85206">
                <wp:extent cx="5731510" cy="1270"/>
                <wp:effectExtent l="0" t="33655" r="0" b="38735"/>
                <wp:docPr id="43504092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083E75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89BB3E" w14:textId="77777777" w:rsidR="00552668" w:rsidRPr="00552668" w:rsidRDefault="00552668" w:rsidP="0055266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6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Estado Atual da Teoria</w:t>
      </w:r>
    </w:p>
    <w:p w14:paraId="74E0FA1C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E7F409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Com F1:</w:t>
      </w:r>
    </w:p>
    <w:p w14:paraId="5E8A04D0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E79007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Apple Color Emoji" w:hAnsi="Apple Color Emoji" w:cs="Apple Color Emoji"/>
          <w:kern w:val="0"/>
          <w14:ligatures w14:val="none"/>
        </w:rPr>
        <w:t>✔</w:t>
      </w:r>
      <w:r w:rsidRPr="00552668">
        <w:rPr>
          <w:rFonts w:ascii="Times New Roman" w:hAnsi="Times New Roman" w:cs="Times New Roman"/>
          <w:kern w:val="0"/>
          <w14:ligatures w14:val="none"/>
        </w:rPr>
        <w:t xml:space="preserve"> Fundo cosmológico consistente</w:t>
      </w:r>
    </w:p>
    <w:p w14:paraId="218D4F09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Apple Color Emoji" w:hAnsi="Apple Color Emoji" w:cs="Apple Color Emoji"/>
          <w:kern w:val="0"/>
          <w14:ligatures w14:val="none"/>
        </w:rPr>
        <w:t>✔</w:t>
      </w:r>
      <w:r w:rsidRPr="00552668">
        <w:rPr>
          <w:rFonts w:ascii="Times New Roman" w:hAnsi="Times New Roman" w:cs="Times New Roman"/>
          <w:kern w:val="0"/>
          <w14:ligatures w14:val="none"/>
        </w:rPr>
        <w:t xml:space="preserve"> Setor escalar estável e controlável</w:t>
      </w:r>
    </w:p>
    <w:p w14:paraId="451DD4BA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Apple Color Emoji" w:hAnsi="Apple Color Emoji" w:cs="Apple Color Emoji"/>
          <w:kern w:val="0"/>
          <w14:ligatures w14:val="none"/>
        </w:rPr>
        <w:t>✔</w:t>
      </w:r>
      <w:r w:rsidRPr="00552668">
        <w:rPr>
          <w:rFonts w:ascii="Times New Roman" w:hAnsi="Times New Roman" w:cs="Times New Roman"/>
          <w:kern w:val="0"/>
          <w14:ligatures w14:val="none"/>
        </w:rPr>
        <w:t xml:space="preserve"> Higuchi satisfeita</w:t>
      </w:r>
    </w:p>
    <w:p w14:paraId="2476AFD9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Apple Color Emoji" w:hAnsi="Apple Color Emoji" w:cs="Apple Color Emoji"/>
          <w:kern w:val="0"/>
          <w14:ligatures w14:val="none"/>
        </w:rPr>
        <w:t>✔</w:t>
      </w:r>
      <w:r w:rsidRPr="00552668">
        <w:rPr>
          <w:rFonts w:ascii="Times New Roman" w:hAnsi="Times New Roman" w:cs="Times New Roman"/>
          <w:kern w:val="0"/>
          <w14:ligatures w14:val="none"/>
        </w:rPr>
        <w:t xml:space="preserve"> Estrutura EFT consistente</w:t>
      </w:r>
    </w:p>
    <w:p w14:paraId="7844EE39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Apple Color Emoji" w:hAnsi="Apple Color Emoji" w:cs="Apple Color Emoji"/>
          <w:kern w:val="0"/>
          <w14:ligatures w14:val="none"/>
        </w:rPr>
        <w:t>✔</w:t>
      </w:r>
      <w:r w:rsidRPr="00552668">
        <w:rPr>
          <w:rFonts w:ascii="Times New Roman" w:hAnsi="Times New Roman" w:cs="Times New Roman"/>
          <w:kern w:val="0"/>
          <w14:ligatures w14:val="none"/>
        </w:rPr>
        <w:t xml:space="preserve"> Ausência de ghost</w:t>
      </w:r>
    </w:p>
    <w:p w14:paraId="0773EB1C" w14:textId="77777777" w:rsidR="00552668" w:rsidRPr="00552668" w:rsidRDefault="00552668" w:rsidP="005526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66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6F896B" wp14:editId="57F7B486">
                <wp:extent cx="5731510" cy="1270"/>
                <wp:effectExtent l="0" t="33655" r="0" b="38735"/>
                <wp:docPr id="112161735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088B9F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0F41F4" w14:textId="77777777" w:rsidR="00552668" w:rsidRPr="00552668" w:rsidRDefault="00552668" w:rsidP="0055266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6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Próxima etapa lógica</w:t>
      </w:r>
    </w:p>
    <w:p w14:paraId="3561EAA2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731D26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Agora existem duas direções naturais:</w:t>
      </w:r>
    </w:p>
    <w:p w14:paraId="4331FB8B" w14:textId="77777777" w:rsidR="00552668" w:rsidRPr="00552668" w:rsidRDefault="00552668" w:rsidP="00552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Construir modelo explícito para F(\phi)</w:t>
      </w:r>
    </w:p>
    <w:p w14:paraId="6F8BDAEF" w14:textId="77777777" w:rsidR="00552668" w:rsidRPr="00552668" w:rsidRDefault="00552668" w:rsidP="0055266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(dinâmica concreta que realiza as condições acima)</w:t>
      </w:r>
    </w:p>
    <w:p w14:paraId="635B020D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6A96E6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ou</w:t>
      </w:r>
    </w:p>
    <w:p w14:paraId="552BB7CA" w14:textId="77777777" w:rsidR="00552668" w:rsidRPr="00552668" w:rsidRDefault="00552668" w:rsidP="00552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Comparação quantitativa com ΛCDM via equação de crescimento \mu(k,a)</w:t>
      </w:r>
    </w:p>
    <w:p w14:paraId="0936B01B" w14:textId="77777777" w:rsidR="00552668" w:rsidRPr="00552668" w:rsidRDefault="00552668" w:rsidP="0055266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(testabilidade observacional)</w:t>
      </w:r>
    </w:p>
    <w:p w14:paraId="120EA89E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6780B3" w14:textId="77777777" w:rsidR="00552668" w:rsidRPr="00552668" w:rsidRDefault="00552668" w:rsidP="005526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668">
        <w:rPr>
          <w:rFonts w:ascii="Times New Roman" w:hAnsi="Times New Roman" w:cs="Times New Roman"/>
          <w:kern w:val="0"/>
          <w14:ligatures w14:val="none"/>
        </w:rPr>
        <w:t>Qual você prefere abordar agora?</w:t>
      </w:r>
    </w:p>
    <w:p w14:paraId="0E46D1EB" w14:textId="77777777" w:rsidR="00552668" w:rsidRDefault="00552668"/>
    <w:sectPr w:rsidR="00552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C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D269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E31346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3765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B616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51309">
    <w:abstractNumId w:val="1"/>
  </w:num>
  <w:num w:numId="2" w16cid:durableId="726954711">
    <w:abstractNumId w:val="0"/>
  </w:num>
  <w:num w:numId="3" w16cid:durableId="1653756431">
    <w:abstractNumId w:val="4"/>
  </w:num>
  <w:num w:numId="4" w16cid:durableId="803347425">
    <w:abstractNumId w:val="3"/>
  </w:num>
  <w:num w:numId="5" w16cid:durableId="454369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68"/>
    <w:rsid w:val="00552668"/>
    <w:rsid w:val="0059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47A765"/>
  <w15:chartTrackingRefBased/>
  <w15:docId w15:val="{C0EFFE36-27FC-4E41-B561-EC6F33A19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2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66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526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52668"/>
  </w:style>
  <w:style w:type="character" w:customStyle="1" w:styleId="s2">
    <w:name w:val="s2"/>
    <w:basedOn w:val="DefaultParagraphFont"/>
    <w:rsid w:val="00552668"/>
  </w:style>
  <w:style w:type="paragraph" w:customStyle="1" w:styleId="p2">
    <w:name w:val="p2"/>
    <w:basedOn w:val="Normal"/>
    <w:rsid w:val="005526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552668"/>
  </w:style>
  <w:style w:type="paragraph" w:customStyle="1" w:styleId="p3">
    <w:name w:val="p3"/>
    <w:basedOn w:val="Normal"/>
    <w:rsid w:val="005526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552668"/>
  </w:style>
  <w:style w:type="character" w:customStyle="1" w:styleId="s5">
    <w:name w:val="s5"/>
    <w:basedOn w:val="DefaultParagraphFont"/>
    <w:rsid w:val="00552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2026-02-21T22:23:00Z</dcterms:created>
  <dcterms:modified xsi:type="dcterms:W3CDTF">2026-02-21T22:23:00Z</dcterms:modified>
</cp:coreProperties>
</file>