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C0CA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20 — Solução Estática Completa + Limites PPN na TDCP-F1</w:t>
      </w:r>
    </w:p>
    <w:p w14:paraId="7CD0E6C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32B250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20.1 Objetivo e estratégia</w:t>
      </w:r>
    </w:p>
    <w:p w14:paraId="34EFACA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BFA423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 Cap.19 mostrou que o helicity-0 do modo massivo (representado por \pi) entra em regime Vainshtein e suprime a quinta força em escalas solares. Agora precisamos fechar o bloco solar de maneira formal:</w:t>
      </w:r>
    </w:p>
    <w:p w14:paraId="7808BD43" w14:textId="77777777" w:rsidR="00643D72" w:rsidRPr="00643D72" w:rsidRDefault="00643D72" w:rsidP="00643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Construir a solução estática fraca no gauge isotrópico para g_{\mu\nu} (métrica física acoplada à matéria).</w:t>
      </w:r>
    </w:p>
    <w:p w14:paraId="0251986C" w14:textId="77777777" w:rsidR="00643D72" w:rsidRPr="00643D72" w:rsidRDefault="00643D72" w:rsidP="00643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Expressar as correções induzidas por \pi nos potenciais \Phi(r), \Psi(r).</w:t>
      </w:r>
    </w:p>
    <w:p w14:paraId="0F511C10" w14:textId="77777777" w:rsidR="00643D72" w:rsidRPr="00643D72" w:rsidRDefault="00643D72" w:rsidP="00643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Traduzir isso nos parâmetros PPN, principalmente</w:t>
      </w:r>
    </w:p>
    <w:p w14:paraId="35AE4777" w14:textId="77777777" w:rsidR="00643D72" w:rsidRPr="00643D72" w:rsidRDefault="00643D72" w:rsidP="00643D7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\gamma_{\rm PPN}(r)=\frac{\Psi(r)}{\Phi(r)}\,,\qquad \beta_{\rm PPN}.</w:t>
      </w:r>
    </w:p>
    <w:p w14:paraId="79F86CCE" w14:textId="77777777" w:rsidR="00643D72" w:rsidRPr="00643D72" w:rsidRDefault="00643D72" w:rsidP="00643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Obter desigualdades paramétricas (em termos de \alpha_V, Z, c_3, m^2F(\phi)) que garantem compatibilidade com limites solares (Cassini etc.).</w:t>
      </w:r>
    </w:p>
    <w:p w14:paraId="4A730D1A" w14:textId="77777777" w:rsidR="00643D72" w:rsidRPr="00643D72" w:rsidRDefault="00643D72" w:rsidP="00643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Incorporar corretamente o efeito de F(\phi) e controlar a possibilidade de “quinta força” adicional via \phi.</w:t>
      </w:r>
    </w:p>
    <w:p w14:paraId="3ACA786F" w14:textId="77777777" w:rsidR="00643D72" w:rsidRPr="00643D72" w:rsidRDefault="00643D72" w:rsidP="00643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D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B3C338" wp14:editId="59551209">
                <wp:extent cx="5731510" cy="1270"/>
                <wp:effectExtent l="0" t="31750" r="0" b="36830"/>
                <wp:docPr id="45497409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303F5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7B19F0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20.2 Ansätze: métrica estática isotrópica e regime fraco</w:t>
      </w:r>
    </w:p>
    <w:p w14:paraId="019EB6FA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DE3D6F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Assumimos, para o setor g_{\mu\nu} (métrica física), um ansatz estático e fraco (PN de primeira ordem):</w:t>
      </w:r>
    </w:p>
    <w:p w14:paraId="28E7900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8D7DDD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ds_g^2 = -(1+2\Phi(r))\,dt^2 + (1-2\Psi(r))\,(dr^2 + r^2 d\Omega^2),</w:t>
      </w:r>
    </w:p>
    <w:p w14:paraId="0D2263E6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com |\Phi|,|\Psi|\ll 1.</w:t>
      </w:r>
    </w:p>
    <w:p w14:paraId="7B5F3582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4BCF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A matéria é não-relativística, T_{00}\simeq \rho, T\simeq -\rho.</w:t>
      </w:r>
    </w:p>
    <w:p w14:paraId="7B21B8B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89A7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lastRenderedPageBreak/>
        <w:t>A teoria contém, além do modo sem massa (gráviton usual), um setor massivo cujo helicity-0 efetivo \pi mistura com h_{\mu\nu}. Na linguagem do limite de desacoplamento (Cap.19), o acoplamento efetivo é:</w:t>
      </w:r>
    </w:p>
    <w:p w14:paraId="600B0B2B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B84A16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\mathcal{L}_{\pi T} \simeq \frac{\alpha_V}{M_{\rm Pl}}\pi\,T.</w:t>
      </w:r>
    </w:p>
    <w:p w14:paraId="12FF033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2A1011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A modulação TDCP-F1 entra por:</w:t>
      </w:r>
    </w:p>
    <w:p w14:paraId="54B74EE4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5A5E31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m_{\rm eff}^2 = m^2 F(\phi),\qquad \Lambda_3^3 \sim m^2F(\phi)\,M_{\rm eff}.</w:t>
      </w:r>
    </w:p>
    <w:p w14:paraId="00DC3DB8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386D0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No Sistema Solar, tomamos \phi\simeq \phi_0 + \delta\phi(r) e trataremos \delta\phi como subdominante (a consistência disso será explicitada em 20.7).</w:t>
      </w:r>
    </w:p>
    <w:p w14:paraId="3BBA5279" w14:textId="77777777" w:rsidR="00643D72" w:rsidRPr="00643D72" w:rsidRDefault="00643D72" w:rsidP="00643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D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A1C32E" wp14:editId="6BC9825E">
                <wp:extent cx="5731510" cy="1270"/>
                <wp:effectExtent l="0" t="31750" r="0" b="36830"/>
                <wp:docPr id="4665141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C303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FAB725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20.3 Potenciais em presença de um escalar acoplado: decomposição física</w:t>
      </w:r>
    </w:p>
    <w:p w14:paraId="2E50FE1A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31086E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Em teorias com um grau escalar que acopla ao traço T, a correção à gravitação newtoniana pode ser parametrizada por um fator “quinta força” Q(r), definido por:</w:t>
      </w:r>
    </w:p>
    <w:p w14:paraId="181D4DC3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3CF79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\frac{d\Phi}{dr} = \frac{GM}{r^2}\big[1+Q(r)\big], \qquad \frac{d\Psi}{dr} = \frac{GM}{r^2}\big[1+\tilde Q(r)\big].</w:t>
      </w:r>
    </w:p>
    <w:p w14:paraId="38F3868B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7D53CA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No GR puro, Q=\tilde Q=0 e \Phi=\Psi=-GM/r.</w:t>
      </w:r>
    </w:p>
    <w:p w14:paraId="70046FA8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3C62DC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Na TDCP-F1, a origem de Q,\tilde Q é o setor massivo (helicity-0) e sua mistura com o modo tensorial. Para fontes solares e r\ll m_S^{-1}, o Yukawa não corta nada; a supressão vem do Vainshtein, então:</w:t>
      </w:r>
    </w:p>
    <w:p w14:paraId="28A9823E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F642CB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Q(r)\propto \left(\frac{r}{r_V}\right)^{3/2} \quad (r\ll r_V).</w:t>
      </w:r>
    </w:p>
    <w:p w14:paraId="476D170C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1A1521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 ponto PPN é que o parâmetro \gamma é sensível à diferença entre \Psi e \Phi.</w:t>
      </w:r>
    </w:p>
    <w:p w14:paraId="66A970CC" w14:textId="77777777" w:rsidR="00643D72" w:rsidRPr="00643D72" w:rsidRDefault="00643D72" w:rsidP="00643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D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9B3501" wp14:editId="594D2D92">
                <wp:extent cx="5731510" cy="1270"/>
                <wp:effectExtent l="0" t="31750" r="0" b="36830"/>
                <wp:docPr id="145141021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C6B04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592BD6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20.4 Relação entre \Phi,\Psi e o helicity-0 no limite de desacoplamento</w:t>
      </w:r>
    </w:p>
    <w:p w14:paraId="30F36F8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0A967E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No limite de desacoplamento de teorias HR/dRGT-like, após diagonalizar o modo massless (GR) e o setor massivo, a métrica física pode ser escrita esquematicamente como:</w:t>
      </w:r>
    </w:p>
    <w:p w14:paraId="5F3C0A5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653F5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g_{\mu\nu} = \eta_{\mu\nu} +\frac{1}{M_{\rm Pl}}\Big(h^{(0)}_{\mu\nu} + \kappa\,h^{(m)}_{\mu\nu}\Big) +\frac{\kappa_\pi}{M_{\rm Pl}}\pi\,\eta_{\mu\nu} +\cdots</w:t>
      </w:r>
    </w:p>
    <w:p w14:paraId="503AB122" w14:textId="77777777" w:rsidR="00643D72" w:rsidRPr="00643D72" w:rsidRDefault="00643D72" w:rsidP="00643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h^{(0)}_{\mu\nu}: modo massless (gera o potencial GR).</w:t>
      </w:r>
    </w:p>
    <w:p w14:paraId="76AA53B8" w14:textId="77777777" w:rsidR="00643D72" w:rsidRPr="00643D72" w:rsidRDefault="00643D72" w:rsidP="00643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h^{(m)}_{\mu\nu}: modo massivo tensorial (Yukawa no regime linear).</w:t>
      </w:r>
    </w:p>
    <w:p w14:paraId="7F5AA909" w14:textId="77777777" w:rsidR="00643D72" w:rsidRPr="00643D72" w:rsidRDefault="00643D72" w:rsidP="00643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\pi: helicity-0 associado ao modo massivo, com acoplamento efetivo \sim \alpha_V.</w:t>
      </w:r>
    </w:p>
    <w:p w14:paraId="5413AD63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EF9731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No regime solar relevante para screening:</w:t>
      </w:r>
    </w:p>
    <w:p w14:paraId="2F87FFAE" w14:textId="77777777" w:rsidR="00643D72" w:rsidRPr="00643D72" w:rsidRDefault="00643D72" w:rsidP="00643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 tensor massivo é suprimido por mistura (e/ou Yukawa se m não for ultraleve)</w:t>
      </w:r>
    </w:p>
    <w:p w14:paraId="0F6877A0" w14:textId="77777777" w:rsidR="00643D72" w:rsidRPr="00643D72" w:rsidRDefault="00643D72" w:rsidP="00643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 helicity-0 domina a correção potencial, mas é screened por auto-interações.</w:t>
      </w:r>
    </w:p>
    <w:p w14:paraId="35C1FE8E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4F67B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Para uma fonte esférica, a solução screened do Cap.19 fornece:</w:t>
      </w:r>
    </w:p>
    <w:p w14:paraId="774B11C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F4E20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\frac{F_\pi}{F_N} \equiv \frac{\pi'/M_{\rm Pl}}{GM/r^2} \sim \alpha_V^2\left(\frac{r}{r_V}\right)^{3/2}, \qquad (r\ll r_V).</w:t>
      </w:r>
    </w:p>
    <w:p w14:paraId="6E8FA99D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6AD70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Logo, o efeito do helicity-0 sobre os potenciais pode ser capturado por:</w:t>
      </w:r>
    </w:p>
    <w:p w14:paraId="55C8366E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D02B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\Phi(r)= -\frac{GM}{r}\left[1+\epsilon_\Phi(r)\right],\qquad \Psi(r)= -\frac{GM}{r}\left[1+\epsilon_\Psi(r)\right],</w:t>
      </w:r>
    </w:p>
    <w:p w14:paraId="45BDD76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com \epsilon_{\Phi,\Psi}(r)\sim \mathcal{O}(F_\pi/F_N).</w:t>
      </w:r>
    </w:p>
    <w:p w14:paraId="1EFDA226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425ED4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Em modelos dRGT/HR-like, a estrutura típica é:</w:t>
      </w:r>
    </w:p>
    <w:p w14:paraId="243CA862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14886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\epsilon_\Phi(r) = +c_\Phi\,\frac{F_\pi}{F_N},\qquad \epsilon_\Psi(r) = +c_\Psi\,\frac{F_\pi}{F_N},</w:t>
      </w:r>
    </w:p>
    <w:p w14:paraId="1CC0B46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onde c_\Phi,c_\Psi são números \mathcal{O}(1) determinados pela mistura e pelo gauge escolhido.</w:t>
      </w:r>
    </w:p>
    <w:p w14:paraId="27D4972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B66EB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Portanto, o parâmetro PPN \gamma é:</w:t>
      </w:r>
    </w:p>
    <w:p w14:paraId="6EC1E58D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903D3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\gamma(r)\equiv\frac{\Psi}{\Phi} = \frac{1+\epsilon_\Psi(r)}{1+\epsilon_\Phi(r)} \simeq 1+\left[\epsilon_\Psi(r)-\epsilon_\Phi(r)\right] \quad (\text{em ordem linear}).</w:t>
      </w:r>
    </w:p>
    <w:p w14:paraId="7B8975DE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7BAE6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Logo:</w:t>
      </w:r>
    </w:p>
    <w:p w14:paraId="1ADE565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A35F42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\boxed{ \gamma(r)-1 \simeq (c_\Psi-c_\Phi)\,\alpha_V^2\left(\frac{r}{r_V}\right)^{3/2}. }</w:t>
      </w:r>
    </w:p>
    <w:p w14:paraId="3C8A596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94392E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Este é o resultado operacional principal: \gamma-1 é proporcional ao mesmo fator screened, com coeficiente \mathcal{O}(1).</w:t>
      </w:r>
    </w:p>
    <w:p w14:paraId="2B626A1C" w14:textId="77777777" w:rsidR="00643D72" w:rsidRPr="00643D72" w:rsidRDefault="00643D72" w:rsidP="00643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D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DA1B73" wp14:editId="4A5BC359">
                <wp:extent cx="5731510" cy="1270"/>
                <wp:effectExtent l="0" t="31750" r="0" b="36830"/>
                <wp:docPr id="92831710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23DDE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8D8A30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20.5 Inclusão correta de F(\phi) no raio de Vainshtein e nos limites</w:t>
      </w:r>
    </w:p>
    <w:p w14:paraId="45FB415B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072BE1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Do Cap.19 consolidado:</w:t>
      </w:r>
    </w:p>
    <w:p w14:paraId="552B3F3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23F637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r_V \sim \left(\frac{GM}{m^2F_0}\right)^{1/3}\left(\frac{\alpha_V c_3}{Z^2}\right)^{1/3}, \qquad F_0\equiv F(\phi_0).</w:t>
      </w:r>
    </w:p>
    <w:p w14:paraId="39A99DC2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15E608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lastRenderedPageBreak/>
        <w:t>Assim, para r\ll r_V:</w:t>
      </w:r>
    </w:p>
    <w:p w14:paraId="5226907B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8194C7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\gamma(r)-1 \sim (c_\Psi-c_\Phi)\,\alpha_V^2 \left[ \frac{r^3\,m^2F_0}{GM} \left(\frac{Z^2}{\alpha_V c_3}\right) \right]^{1/2}.</w:t>
      </w:r>
    </w:p>
    <w:p w14:paraId="023564D2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698D8D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Ou seja:</w:t>
      </w:r>
    </w:p>
    <w:p w14:paraId="4D683C1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D5C4A7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\boxed{ |\gamma(r)-1| \;\propto\; \alpha_V^{3/2}\, \left(\frac{Z}{\sqrt{c_3}}\right)\, \left(\frac{m\sqrt{F_0}\,r^{3/2}}{\sqrt{GM}}\right). }</w:t>
      </w:r>
    </w:p>
    <w:p w14:paraId="4DE5F80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9420C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A dependência em F_0 é suave: r_V\propto F_0^{-1/3} e, portanto, o screening melhora se F_0 cresce.</w:t>
      </w:r>
    </w:p>
    <w:p w14:paraId="0317727F" w14:textId="77777777" w:rsidR="00643D72" w:rsidRPr="00643D72" w:rsidRDefault="00643D72" w:rsidP="00643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D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620C7E" wp14:editId="758616EF">
                <wp:extent cx="5731510" cy="1270"/>
                <wp:effectExtent l="0" t="31750" r="0" b="36830"/>
                <wp:docPr id="196444039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E309B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902517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20.6 Bound de Cassini: desigualdade paramétrica explícita</w:t>
      </w:r>
    </w:p>
    <w:p w14:paraId="75EBAA9D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FD2FE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 limite clássico de Cassini (tomado como referência) é, em ordem de grandeza:</w:t>
      </w:r>
    </w:p>
    <w:p w14:paraId="4823E69E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5327AC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|\gamma-1| \lesssim 2.3\times 10^{-5}.</w:t>
      </w:r>
    </w:p>
    <w:p w14:paraId="2525B70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EB03DF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Aplique em r\simeq r_{\rm AU} (ou em raio de impacto solar típico; aqui usamos AU como estimativa conservadora).</w:t>
      </w:r>
    </w:p>
    <w:p w14:paraId="7D005FAB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632546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Usando:</w:t>
      </w:r>
    </w:p>
    <w:p w14:paraId="0099B58A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D63112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|\gamma(r)-1| \simeq \mathcal{C}_\gamma\, \alpha_V^2\left(\frac{r}{r_V}\right)^{3/2}, \qquad \mathcal{C}_\gamma \equiv |c_\Psi-c_\Phi|\sim \mathcal{O}(1),</w:t>
      </w:r>
    </w:p>
    <w:p w14:paraId="6B255362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FCC5C3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lastRenderedPageBreak/>
        <w:t>obtemos o critério:</w:t>
      </w:r>
    </w:p>
    <w:p w14:paraId="293B7BF8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0FA06C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\boxed{ r_V \gtrsim r_{\rm AU} \left(\frac{\mathcal{C}_\gamma\,\alpha_V^2}{2.3\times10^{-5}}\right)^{2/3}. }</w:t>
      </w:r>
    </w:p>
    <w:p w14:paraId="748A4C7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A35287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Como r_V^\odot\sim 5\text{–}120 pc (para m\sim 100\text{–}1\,H_0/c e F_0\sim\mathcal{O}(1)), isso satisfaz a desigualdade com margem enorme mesmo para \alpha_V\sim 1.</w:t>
      </w:r>
    </w:p>
    <w:p w14:paraId="2CA21030" w14:textId="77777777" w:rsidR="00643D72" w:rsidRPr="00643D72" w:rsidRDefault="00643D72" w:rsidP="00643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D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2AD4DF" wp14:editId="6A354733">
                <wp:extent cx="5731510" cy="1270"/>
                <wp:effectExtent l="0" t="31750" r="0" b="36830"/>
                <wp:docPr id="115229267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950B2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53C0C0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20.7 Quinta força adicional via \phi: condição de inocuidade local</w:t>
      </w:r>
    </w:p>
    <w:p w14:paraId="0816724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29B553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A TDCP-F1 contém um escalar \phi que modula a massa efetiva:</w:t>
      </w:r>
    </w:p>
    <w:p w14:paraId="3B1E143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FA140B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m_{\rm eff}^2 = m^2F(\phi).</w:t>
      </w:r>
    </w:p>
    <w:p w14:paraId="13DF94DC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5E6B81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Existem duas vias potenciais de violação solar:</w:t>
      </w:r>
    </w:p>
    <w:p w14:paraId="584EF473" w14:textId="77777777" w:rsidR="00643D72" w:rsidRPr="00643D72" w:rsidRDefault="00643D72" w:rsidP="00643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\phi acoplar diretamente à matéria (termo do tipo \phi T/M).</w:t>
      </w:r>
    </w:p>
    <w:p w14:paraId="6804CFA5" w14:textId="77777777" w:rsidR="00643D72" w:rsidRPr="00643D72" w:rsidRDefault="00643D72" w:rsidP="00643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\phi gerar gradientes locais que alteram F(\phi) e, portanto, r_V ou a força extra.</w:t>
      </w:r>
    </w:p>
    <w:p w14:paraId="1B9ECE0D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538BC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Pela construção fornecida, a matéria acopla apenas a g:</w:t>
      </w:r>
    </w:p>
    <w:p w14:paraId="3E26674D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55C12C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\mathcal{L}_m[g],</w:t>
      </w:r>
    </w:p>
    <w:p w14:paraId="0EE0AAC6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logo não há acoplamento conforme direto de \phi à matéria no nível fundamental, a menos que \mathcal{L}_\phi introduza explicitamente tal termo (o que não foi assumido).</w:t>
      </w:r>
    </w:p>
    <w:p w14:paraId="5C043616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9BC0C3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 efeito residual vem apenas de F(\phi) na interação bimetric. Para ser inócuo no Sistema Solar, basta garantir que:</w:t>
      </w:r>
    </w:p>
    <w:p w14:paraId="7A3EB95A" w14:textId="77777777" w:rsidR="00643D72" w:rsidRPr="00643D72" w:rsidRDefault="00643D72" w:rsidP="00643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lastRenderedPageBreak/>
        <w:t>\delta\phi(r) seja pequena no entorno solar, ou</w:t>
      </w:r>
    </w:p>
    <w:p w14:paraId="53599A98" w14:textId="77777777" w:rsidR="00643D72" w:rsidRPr="00643D72" w:rsidRDefault="00643D72" w:rsidP="00643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que F(\phi) varie lentamente: |\nabla F|/F \ll 1/r_{\rm AU}.</w:t>
      </w:r>
    </w:p>
    <w:p w14:paraId="2F8C9E73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A76477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Um critério operacional é:</w:t>
      </w:r>
    </w:p>
    <w:p w14:paraId="70C5F608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7C71B6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\boxed{ \left|\frac{\delta F}{F_0}\right|_{r\sim {\rm AU}} \ll 1 \quad\Rightarrow\quad \delta r_V/r_V \simeq -\frac{1}{3}\,\delta F/F_0 \ \text{desprezível}. }</w:t>
      </w:r>
    </w:p>
    <w:p w14:paraId="42234708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8D7BE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Em termos da dinâmica de \phi, uma condição suficiente típica é:</w:t>
      </w:r>
    </w:p>
    <w:p w14:paraId="77298C0E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EEF4D8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m_\phi^2 \gg \frac{1}{{\rm AU}^2}</w:t>
      </w:r>
    </w:p>
    <w:p w14:paraId="5D33AA67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(ou, equivalentemente, \lambda_\phi\ll {\rm AU}), pois isso impede perfis longos de \phi em torno do Sol. Mesmo se m_\phi for leve cosmologicamente, outra possibilidade é que \phi seja “stiff” localmente (grande Z_\phi).</w:t>
      </w:r>
    </w:p>
    <w:p w14:paraId="221D2A81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F45EB8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Resumo: o Cap.20 fecha o bloco solar exigindo que \phi não introduza uma nova quinta força não-screened. Na TDCP-F1, isso é obtido se \phi não acopla diretamente à matéria e suas variações locais forem pequenas.</w:t>
      </w:r>
    </w:p>
    <w:p w14:paraId="60E29A19" w14:textId="77777777" w:rsidR="00643D72" w:rsidRPr="00643D72" w:rsidRDefault="00643D72" w:rsidP="00643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D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F967B7" wp14:editId="330C9872">
                <wp:extent cx="5731510" cy="1270"/>
                <wp:effectExtent l="0" t="31750" r="0" b="36830"/>
                <wp:docPr id="79193825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0ED97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3EA871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20.8 Parâmetro \beta_{\rm PPN}: estrutura e hierarquia esperada</w:t>
      </w:r>
    </w:p>
    <w:p w14:paraId="2ED0DE74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F2D518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 parâmetro \beta_{\rm PPN} mede não-linearidades de segunda ordem no potencial (ordem \Phi^2). Em teorias com screening forte, a expectativa é:</w:t>
      </w:r>
    </w:p>
    <w:p w14:paraId="07E5C21A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5424C2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\beta_{\rm PPN}-1 \sim \mathcal{O}\!\left(\left(\frac{F_\pi}{F_N}\right)^2\right) \sim \alpha_V^4\left(\frac{r}{r_V}\right)^3,</w:t>
      </w:r>
    </w:p>
    <w:p w14:paraId="7B12DAA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portanto ainda mais suprimido que \gamma-1.</w:t>
      </w:r>
    </w:p>
    <w:p w14:paraId="1D5A1627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108A8B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lastRenderedPageBreak/>
        <w:t>Assim, para r\sim {\rm AU} e r_V^\odot\gg{\rm AU}, espera-se:</w:t>
      </w:r>
    </w:p>
    <w:p w14:paraId="299FCF1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D7671C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\boxed{ |\beta_{\rm PPN}-1|\ll |\gamma_{\rm PPN}-1| }</w:t>
      </w:r>
    </w:p>
    <w:p w14:paraId="4C9B9641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e o bound dominante é o de \gamma.</w:t>
      </w:r>
    </w:p>
    <w:p w14:paraId="07E029D6" w14:textId="77777777" w:rsidR="00643D72" w:rsidRPr="00643D72" w:rsidRDefault="00643D72" w:rsidP="00643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D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411367" wp14:editId="2C91FC8F">
                <wp:extent cx="5731510" cy="1270"/>
                <wp:effectExtent l="0" t="31750" r="0" b="36830"/>
                <wp:docPr id="4950384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B3988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B1B1A3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Conclusão do Capítulo 20 (Bloco Solar)</w:t>
      </w:r>
    </w:p>
    <w:p w14:paraId="64F88B36" w14:textId="77777777" w:rsidR="00643D72" w:rsidRPr="00643D72" w:rsidRDefault="00643D72" w:rsidP="00643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 helicity-0 screened induz correções nos potenciais:</w:t>
      </w:r>
    </w:p>
    <w:p w14:paraId="2E017E05" w14:textId="77777777" w:rsidR="00643D72" w:rsidRPr="00643D72" w:rsidRDefault="00643D72" w:rsidP="00643D7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\epsilon_{\Phi,\Psi}(r)\sim \alpha_V^2\left(\frac{r}{r_V}\right)^{3/2}.</w:t>
      </w:r>
    </w:p>
    <w:p w14:paraId="0A4C52C5" w14:textId="77777777" w:rsidR="00643D72" w:rsidRPr="00643D72" w:rsidRDefault="00643D72" w:rsidP="00643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 parâmetro PPN principal:</w:t>
      </w:r>
    </w:p>
    <w:p w14:paraId="2D1017F3" w14:textId="77777777" w:rsidR="00643D72" w:rsidRPr="00643D72" w:rsidRDefault="00643D72" w:rsidP="00643D7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\boxed{ \gamma(r)-1 \simeq \mathcal{C}_\gamma\,\alpha_V^2\left(\frac{r}{r_V}\right)^{3/2}, \qquad \mathcal{C}_\gamma\sim \mathcal{O}(1). }</w:t>
      </w:r>
    </w:p>
    <w:p w14:paraId="5D738A96" w14:textId="77777777" w:rsidR="00643D72" w:rsidRPr="00643D72" w:rsidRDefault="00643D72" w:rsidP="00643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 raio de Vainshtein na TDCP-F1 inclui corretamente F(\phi):</w:t>
      </w:r>
    </w:p>
    <w:p w14:paraId="34987702" w14:textId="77777777" w:rsidR="00643D72" w:rsidRPr="00643D72" w:rsidRDefault="00643D72" w:rsidP="00643D7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\boxed{ r_V \sim \left(\frac{GM}{m^2F_0}\right)^{1/3}\times \mathcal{O}(1). }</w:t>
      </w:r>
    </w:p>
    <w:p w14:paraId="581A4B63" w14:textId="77777777" w:rsidR="00643D72" w:rsidRPr="00643D72" w:rsidRDefault="00643D72" w:rsidP="00643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Para o Sol, com m\sim 30\text{–}300\,H_0 (e mesmo m\sim 100H_0):</w:t>
      </w:r>
    </w:p>
    <w:p w14:paraId="03CAEFA2" w14:textId="77777777" w:rsidR="00643D72" w:rsidRPr="00643D72" w:rsidRDefault="00643D72" w:rsidP="00643D7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r_V^\odot \gg 1\,{\rm AU} \Rightarrow |\gamma-1|\ \text{é automaticamente pequeno}.</w:t>
      </w:r>
    </w:p>
    <w:p w14:paraId="1B57C516" w14:textId="77777777" w:rsidR="00643D72" w:rsidRPr="00643D72" w:rsidRDefault="00643D72" w:rsidP="00643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Condição adicional TDCP-específica:</w:t>
      </w:r>
    </w:p>
    <w:p w14:paraId="1130AF6B" w14:textId="77777777" w:rsidR="00643D72" w:rsidRPr="00643D72" w:rsidRDefault="00643D72" w:rsidP="00643D7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\boxed{ \left|\delta F/F_0\right|_{AU}\ll 1 \quad\Rightarrow\quad \phi \text{ não reintroduz quinta força local relevante}. }</w:t>
      </w:r>
    </w:p>
    <w:p w14:paraId="13C647DB" w14:textId="77777777" w:rsidR="00643D72" w:rsidRPr="00643D72" w:rsidRDefault="00643D72" w:rsidP="00643D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D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92BEE1" wp14:editId="53B1C223">
                <wp:extent cx="5731510" cy="1270"/>
                <wp:effectExtent l="0" t="33655" r="0" b="38735"/>
                <wp:docPr id="141103707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91FA1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BF67F0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Próximo passo (Cap.21)</w:t>
      </w:r>
    </w:p>
    <w:p w14:paraId="220331B0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95FC0F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Se você quiser, eu sigo agora com:</w:t>
      </w:r>
    </w:p>
    <w:p w14:paraId="67F3C475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C4A3D5" w14:textId="77777777" w:rsidR="00643D72" w:rsidRPr="00643D72" w:rsidRDefault="00643D72" w:rsidP="00643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3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CAPÍTULO 21 — Estabilidade Não-Linear: ausência de ghosts/gradientes e consistência do setor helicity-0</w:t>
      </w:r>
    </w:p>
    <w:p w14:paraId="4BCDE85D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58044A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onde vamos formalizar:</w:t>
      </w:r>
    </w:p>
    <w:p w14:paraId="0CA94FD2" w14:textId="77777777" w:rsidR="00643D72" w:rsidRPr="00643D72" w:rsidRDefault="00643D72" w:rsidP="00643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estabilidade do background screened</w:t>
      </w:r>
    </w:p>
    <w:p w14:paraId="5667E2F6" w14:textId="77777777" w:rsidR="00643D72" w:rsidRPr="00643D72" w:rsidRDefault="00643D72" w:rsidP="00643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condições de positividade do Hamiltoniano efetivo</w:t>
      </w:r>
    </w:p>
    <w:p w14:paraId="6A7ACFA1" w14:textId="77777777" w:rsidR="00643D72" w:rsidRPr="00643D72" w:rsidRDefault="00643D72" w:rsidP="00643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ausência de instabilidade superluminal patológica (quando aplicável)</w:t>
      </w:r>
    </w:p>
    <w:p w14:paraId="047C52A5" w14:textId="77777777" w:rsidR="00643D72" w:rsidRPr="00643D72" w:rsidRDefault="00643D72" w:rsidP="00643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consistência do EFT no regime Vainshtein (\partial^2\pi \ll \Lambda_3^3 ou regime controlado)</w:t>
      </w:r>
    </w:p>
    <w:p w14:paraId="307B40C9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712562" w14:textId="77777777" w:rsidR="00643D72" w:rsidRPr="00643D72" w:rsidRDefault="00643D72" w:rsidP="00643D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3D72">
        <w:rPr>
          <w:rFonts w:ascii="Times New Roman" w:hAnsi="Times New Roman" w:cs="Times New Roman"/>
          <w:kern w:val="0"/>
          <w14:ligatures w14:val="none"/>
        </w:rPr>
        <w:t>Só diga: “seguir para o Cap.21”.</w:t>
      </w:r>
    </w:p>
    <w:p w14:paraId="06D90889" w14:textId="77777777" w:rsidR="00643D72" w:rsidRDefault="00643D72"/>
    <w:sectPr w:rsidR="00643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2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D2E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844A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A4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AF25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809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255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11619">
    <w:abstractNumId w:val="0"/>
  </w:num>
  <w:num w:numId="2" w16cid:durableId="729424834">
    <w:abstractNumId w:val="4"/>
  </w:num>
  <w:num w:numId="3" w16cid:durableId="1505898467">
    <w:abstractNumId w:val="6"/>
  </w:num>
  <w:num w:numId="4" w16cid:durableId="59406316">
    <w:abstractNumId w:val="3"/>
  </w:num>
  <w:num w:numId="5" w16cid:durableId="1665430240">
    <w:abstractNumId w:val="5"/>
  </w:num>
  <w:num w:numId="6" w16cid:durableId="1234241206">
    <w:abstractNumId w:val="2"/>
  </w:num>
  <w:num w:numId="7" w16cid:durableId="116713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72"/>
    <w:rsid w:val="00592A82"/>
    <w:rsid w:val="0064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971957"/>
  <w15:chartTrackingRefBased/>
  <w15:docId w15:val="{361A905C-DE07-A745-8199-E3C1B9DE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D7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43D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43D72"/>
  </w:style>
  <w:style w:type="paragraph" w:customStyle="1" w:styleId="p2">
    <w:name w:val="p2"/>
    <w:basedOn w:val="Normal"/>
    <w:rsid w:val="00643D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43D72"/>
  </w:style>
  <w:style w:type="paragraph" w:customStyle="1" w:styleId="p3">
    <w:name w:val="p3"/>
    <w:basedOn w:val="Normal"/>
    <w:rsid w:val="00643D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43D72"/>
  </w:style>
  <w:style w:type="character" w:customStyle="1" w:styleId="s4">
    <w:name w:val="s4"/>
    <w:basedOn w:val="DefaultParagraphFont"/>
    <w:rsid w:val="00643D72"/>
  </w:style>
  <w:style w:type="character" w:customStyle="1" w:styleId="s5">
    <w:name w:val="s5"/>
    <w:basedOn w:val="DefaultParagraphFont"/>
    <w:rsid w:val="00643D72"/>
  </w:style>
  <w:style w:type="paragraph" w:customStyle="1" w:styleId="p4">
    <w:name w:val="p4"/>
    <w:basedOn w:val="Normal"/>
    <w:rsid w:val="00643D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1356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2026-02-21T22:43:00Z</dcterms:created>
  <dcterms:modified xsi:type="dcterms:W3CDTF">2026-02-21T22:43:00Z</dcterms:modified>
</cp:coreProperties>
</file>