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E278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21 — Estabilidade Não-Linear na TDCP-F1</w:t>
      </w:r>
    </w:p>
    <w:p w14:paraId="47D9EB76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2AEDD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(ausência de ghost/gradiente no regime screened + consistência EFT no Vainshtein)</w:t>
      </w:r>
    </w:p>
    <w:p w14:paraId="1FF391D3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528B045" wp14:editId="54FF143E">
                <wp:extent cx="5731510" cy="1270"/>
                <wp:effectExtent l="0" t="31750" r="0" b="36830"/>
                <wp:docPr id="186612939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5A361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2E0605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21.1 Objetivo e o que significa “estável” aqui</w:t>
      </w:r>
    </w:p>
    <w:p w14:paraId="26A9DAC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3A48B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Após o Cap.19–20, a TDCP-F1 sobreviveu ao teste solar via screening tipo Vainshtein do helicity-0 do modo massivo. Agora o critério de sobrevivência sobe de nível:</w:t>
      </w:r>
    </w:p>
    <w:p w14:paraId="2004D1E7" w14:textId="77777777" w:rsidR="003A0CE1" w:rsidRPr="003A0CE1" w:rsidRDefault="003A0CE1" w:rsidP="003A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Ausência de BD ghost no setor bimetric (não-linear completo).</w:t>
      </w:r>
    </w:p>
    <w:p w14:paraId="73F54595" w14:textId="77777777" w:rsidR="003A0CE1" w:rsidRPr="003A0CE1" w:rsidRDefault="003A0CE1" w:rsidP="003A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Ausência de ghost e de instabilidade de gradiente para flutuações no background screened (regime solar).</w:t>
      </w:r>
    </w:p>
    <w:p w14:paraId="237B6DF3" w14:textId="77777777" w:rsidR="003A0CE1" w:rsidRPr="003A0CE1" w:rsidRDefault="003A0CE1" w:rsidP="003A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Controle EFT: o regime Vainshtein não pode exigir excitação além do cutoff efetivo (ou deve permanecer classicamente controlado).</w:t>
      </w:r>
    </w:p>
    <w:p w14:paraId="5135D0AD" w14:textId="77777777" w:rsidR="003A0CE1" w:rsidRPr="003A0CE1" w:rsidRDefault="003A0CE1" w:rsidP="003A0C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(Opcional, mas importante) características causais: velocidades de propagação e possíveis superluminalidades.</w:t>
      </w:r>
    </w:p>
    <w:p w14:paraId="18936F0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17A59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foco técnico deste capítulo é o ponto 2–3 no setor helicity-0 (o mais crítico para screening), mantendo coerência com HR ghost-free e com a modulação m^2\to m^2F(\phi).</w:t>
      </w:r>
    </w:p>
    <w:p w14:paraId="0537FB88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B86BCF" wp14:editId="360CC382">
                <wp:extent cx="5731510" cy="1270"/>
                <wp:effectExtent l="0" t="31750" r="0" b="36830"/>
                <wp:docPr id="8797720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D3643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FB93EF0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21.2 Estabilidade estrutural do setor HR: ausência do BD ghost (não-linear)</w:t>
      </w:r>
    </w:p>
    <w:p w14:paraId="10B04F5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DF668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estrutura Hassan–Rosen (HR) ghost-free garante, por construção, que o potencial bimetric</w:t>
      </w:r>
    </w:p>
    <w:p w14:paraId="536D71A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\mathcal V_{HR}(g,f) mantém o conjunto de restrições (constraint structure) que elimina o Boulware–Deser ghost no nível não-linear.</w:t>
      </w:r>
    </w:p>
    <w:p w14:paraId="28AD21D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8856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Na TDCP-F1 a interação entra como:</w:t>
      </w:r>
    </w:p>
    <w:p w14:paraId="1D22BF2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0AE80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lastRenderedPageBreak/>
        <w:t>m^2F(\phi)\,\mathcal V_{HR}(g,f).</w:t>
      </w:r>
    </w:p>
    <w:p w14:paraId="1273E6E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6DF2A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Se F(\phi) é um escalar sem derivadas multiplicando o potencial (isto é, F não depende de curvaturas e não contém termos com derivadas misturadas com g,f), então:</w:t>
      </w:r>
    </w:p>
    <w:p w14:paraId="2C02B621" w14:textId="77777777" w:rsidR="003A0CE1" w:rsidRPr="003A0CE1" w:rsidRDefault="003A0CE1" w:rsidP="003A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estrutura algebraica do potencial HR é preservada;</w:t>
      </w:r>
    </w:p>
    <w:p w14:paraId="7F11D212" w14:textId="77777777" w:rsidR="003A0CE1" w:rsidRPr="003A0CE1" w:rsidRDefault="003A0CE1" w:rsidP="003A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contagem de graus de liberdade do setor bimetric permanece a mesma;</w:t>
      </w:r>
    </w:p>
    <w:p w14:paraId="69B504AE" w14:textId="77777777" w:rsidR="003A0CE1" w:rsidRPr="003A0CE1" w:rsidRDefault="003A0CE1" w:rsidP="003A0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BD ghost não é reintroduzido por esse tipo de modulação multiplicativa.</w:t>
      </w:r>
    </w:p>
    <w:p w14:paraId="6081890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73FC5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Conclusão estrutural: a potencial ameaça BD ghost continua ausente no bloco HR, e o problema real desloca-se para a estabilidade dinâmica dos modos efetivos (helicity-0) no background screened.</w:t>
      </w:r>
    </w:p>
    <w:p w14:paraId="50A43AB2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B52DDE" wp14:editId="1BAD56BF">
                <wp:extent cx="5731510" cy="1270"/>
                <wp:effectExtent l="0" t="31750" r="0" b="36830"/>
                <wp:docPr id="111569586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38F0A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6C9522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21.3 Limite de desacoplamento: ação efetiva para \pi com modulação F(\phi)</w:t>
      </w:r>
    </w:p>
    <w:p w14:paraId="2BA2045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8DEA1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No limite de desacoplamento (Cap.19), relembramos o bloco mínimo que captura Vainshtein:</w:t>
      </w:r>
    </w:p>
    <w:p w14:paraId="3C59E4F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B2DB6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\mathcal{L}_{\pi} = -\frac{1}{2}Z(\phi)(\partial\pi)^2 + \frac{c_3(\phi)}{\Lambda_3^3}(\partial\pi)^2\square\pi + \frac{\alpha_V}{M_{\rm Pl}}\pi\,T }</w:t>
      </w:r>
    </w:p>
    <w:p w14:paraId="6B98291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6DC21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com o ponto TDCP-específico:</w:t>
      </w:r>
    </w:p>
    <w:p w14:paraId="58BC62C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26EF8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\Lambda_3^3 \sim m^2 F(\phi)\,M_{\rm eff} \;\;\approx\;\; m^2F_0\,M_{\rm Pl} \quad\text{(Solar: }F(\phi)\approx F_0\text{ quase constante).} }</w:t>
      </w:r>
    </w:p>
    <w:p w14:paraId="46C0939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BF25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background screened é tomado como:</w:t>
      </w:r>
    </w:p>
    <w:p w14:paraId="4ABD84B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9963C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\pi(x)=\bar\pi(r)+\varphi(x), \qquad r\ll r_V.</w:t>
      </w:r>
    </w:p>
    <w:p w14:paraId="0E94C5F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7A9EC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Nos interessa a ação quadrática para a flutuação \varphi, pois é aí que surgem:</w:t>
      </w:r>
    </w:p>
    <w:p w14:paraId="072AAF56" w14:textId="77777777" w:rsidR="003A0CE1" w:rsidRPr="003A0CE1" w:rsidRDefault="003A0CE1" w:rsidP="003A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ghost (sinal errado do termo temporal)</w:t>
      </w:r>
    </w:p>
    <w:p w14:paraId="0B9524C7" w14:textId="77777777" w:rsidR="003A0CE1" w:rsidRPr="003A0CE1" w:rsidRDefault="003A0CE1" w:rsidP="003A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instabilidades de gradiente (sinais errados nas derivadas espaciais)</w:t>
      </w:r>
    </w:p>
    <w:p w14:paraId="73B0920C" w14:textId="77777777" w:rsidR="003A0CE1" w:rsidRPr="003A0CE1" w:rsidRDefault="003A0CE1" w:rsidP="003A0C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velocidades c_s^2 patológicas</w:t>
      </w:r>
    </w:p>
    <w:p w14:paraId="57DFD98F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3E5A098" wp14:editId="7B4EE4CC">
                <wp:extent cx="5731510" cy="1270"/>
                <wp:effectExtent l="0" t="31750" r="0" b="36830"/>
                <wp:docPr id="93405634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D3AD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1AA1EE3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21.4 Quadrático efetivo: “métrica cinética” para as flutuações \varphi</w:t>
      </w:r>
    </w:p>
    <w:p w14:paraId="366FBF6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FDE6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Expande-se a ação em torno de \bar\pi. Para o Galileon cúbico (o termo essencial do Vainshtein), o resultado padrão pode ser escrito como:</w:t>
      </w:r>
    </w:p>
    <w:p w14:paraId="13D4613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2A3F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S^{(2)}_\varphi = \frac12\int d^4x\; K^{\mu\nu}(\bar\pi)\;\partial_\mu\varphi\,\partial_\nu\varphi }</w:t>
      </w:r>
    </w:p>
    <w:p w14:paraId="5B78456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0AFC4C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onde a matriz cinética efetiva é:</w:t>
      </w:r>
    </w:p>
    <w:p w14:paraId="307DC9D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B471C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K^{\mu\nu} = Z\,\eta^{\mu\nu} + \frac{2c_3}{\Lambda_3^3} \left[ 2\,\partial^\mu\partial^\nu\bar\pi - \eta^{\mu\nu}\,\Box\bar\pi \right] }</w:t>
      </w:r>
    </w:p>
    <w:p w14:paraId="797EB09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4A93D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(aqui Z,c_3,\Lambda_3 são avaliados no valor solar local, F\simeq F_0).</w:t>
      </w:r>
    </w:p>
    <w:p w14:paraId="24173F8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EC16E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Isso define um “cone causal efetivo” para \varphi. A estabilidade exige que:</w:t>
      </w:r>
    </w:p>
    <w:p w14:paraId="3E364F24" w14:textId="77777777" w:rsidR="003A0CE1" w:rsidRPr="003A0CE1" w:rsidRDefault="003A0CE1" w:rsidP="003A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coeficiente do termo temporal seja positivo (sem ghost)</w:t>
      </w:r>
    </w:p>
    <w:p w14:paraId="4486E1A8" w14:textId="77777777" w:rsidR="003A0CE1" w:rsidRPr="003A0CE1" w:rsidRDefault="003A0CE1" w:rsidP="003A0C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os coeficientes espaciais relevantes sejam positivos (sem gradiente instável)</w:t>
      </w:r>
    </w:p>
    <w:p w14:paraId="058BD21C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AC506F" wp14:editId="19968293">
                <wp:extent cx="5731510" cy="1270"/>
                <wp:effectExtent l="0" t="31750" r="0" b="36830"/>
                <wp:docPr id="2304700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510D4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083B1C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21.5 Especialização para background estático esfericamente simétrico</w:t>
      </w:r>
    </w:p>
    <w:p w14:paraId="36D0913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5ECD7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Para \bar\pi=\bar\pi(r), temos:</w:t>
      </w:r>
    </w:p>
    <w:p w14:paraId="21FDC8D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FB6C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\Box\bar\pi = \bar\pi''+\frac{2}{r}\bar\pi'.</w:t>
      </w:r>
    </w:p>
    <w:p w14:paraId="15E2D63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41D0F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E a Hessiana espacial pode ser decomposta em radial e angular:</w:t>
      </w:r>
    </w:p>
    <w:p w14:paraId="09FAF97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40FA4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\partial_i\partial_j \bar\pi = \left(\bar\pi''-\frac{\bar\pi'}{r}\right)n_i n_j + \frac{\bar\pi'}{r}\delta_{ij}, \qquad n_i=\frac{x_i}{r}.</w:t>
      </w:r>
    </w:p>
    <w:p w14:paraId="63CDA05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8E5A0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Assim, os coeficientes cinéticos efetivos podem ser organizados como:</w:t>
      </w:r>
    </w:p>
    <w:p w14:paraId="0A202ED0" w14:textId="77777777" w:rsidR="003A0CE1" w:rsidRPr="003A0CE1" w:rsidRDefault="003A0CE1" w:rsidP="003A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temporal: K^{00}\equiv -Z_t (com Z_t&gt;0 exigido para ausência de ghost)</w:t>
      </w:r>
    </w:p>
    <w:p w14:paraId="0FB08F7F" w14:textId="77777777" w:rsidR="003A0CE1" w:rsidRPr="003A0CE1" w:rsidRDefault="003A0CE1" w:rsidP="003A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radial: K^{rr}\equiv Z_r</w:t>
      </w:r>
    </w:p>
    <w:p w14:paraId="037DBBE1" w14:textId="77777777" w:rsidR="003A0CE1" w:rsidRPr="003A0CE1" w:rsidRDefault="003A0CE1" w:rsidP="003A0C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angular: K^{\Omega\Omega}\equiv Z_\Omega/r^2</w:t>
      </w:r>
    </w:p>
    <w:p w14:paraId="099D57D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3EC5C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Resulta (até fatores convencionais de sinal; a forma abaixo é a versão operacional padrão usada em análises de Galileon esférico):</w:t>
      </w:r>
    </w:p>
    <w:p w14:paraId="2736C08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85F04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Z_t = Z + \frac{4c_3}{\Lambda_3^3} \left( \bar\pi''+\frac{2}{r}\bar\pi' \right) }</w:t>
      </w:r>
    </w:p>
    <w:p w14:paraId="7F5F0AA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28EAC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Z_r = Z + \frac{8c_3}{\Lambda_3^3} \left( \frac{\bar\pi'}{r} \right) }</w:t>
      </w:r>
    </w:p>
    <w:p w14:paraId="48C4D2F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DDA6B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Z_\Omega = Z + \frac{4c_3}{\Lambda_3^3} \left( \bar\pi''+\frac{\bar\pi'}{r} \right) }</w:t>
      </w:r>
    </w:p>
    <w:p w14:paraId="6F50BC26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4EF49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Os critérios locais de estabilidade são então:</w:t>
      </w:r>
    </w:p>
    <w:p w14:paraId="7B0934C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3A381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Z_t&gt;0,\qquad Z_r&gt;0,\qquad Z_\Omega&gt;0. }</w:t>
      </w:r>
    </w:p>
    <w:p w14:paraId="7386B1F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6CC0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E as velocidades de propagação (características) seguem de:</w:t>
      </w:r>
    </w:p>
    <w:p w14:paraId="2FAE7E0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2525E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c_r^2 = \frac{Z_r}{Z_t}, \qquad c_\Omega^2=\frac{Z_\Omega}{Z_t}. }</w:t>
      </w:r>
    </w:p>
    <w:p w14:paraId="302B456A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1C097C" wp14:editId="54A4A9D8">
                <wp:extent cx="5731510" cy="1270"/>
                <wp:effectExtent l="0" t="31750" r="0" b="36830"/>
                <wp:docPr id="64462648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33F1A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712C615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21.6 Regime Vainshtein (r </w:t>
      </w:r>
      <w:r w:rsidRPr="003A0CE1">
        <w:rPr>
          <w:rFonts w:ascii="Cambria Math" w:eastAsia="Times New Roman" w:hAnsi="Cambria Math" w:cs="Cambria Math"/>
          <w:b/>
          <w:bCs/>
          <w:kern w:val="0"/>
          <w:sz w:val="36"/>
          <w:szCs w:val="36"/>
          <w14:ligatures w14:val="none"/>
        </w:rPr>
        <w:t>≪</w:t>
      </w: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r_V): sinais e hierarquia</w:t>
      </w:r>
    </w:p>
    <w:p w14:paraId="7645CD8C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EB5D5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Do Cap.19, no regime r\ll r_V (cúbico dominante), a solução implica:</w:t>
      </w:r>
    </w:p>
    <w:p w14:paraId="566962A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B28A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y(r)\equiv \frac{\bar\pi'}{r} \propto r^{-3/2}, \quad\Rightarrow\quad \frac{\bar\pi'}{r}\gg \frac{\bar\pi''}{\;}\sim \mathcal{O}\!\left(\frac{\bar\pi'}{r}\right) \quad\text{(mesma ordem paramétrica)}.</w:t>
      </w:r>
    </w:p>
    <w:p w14:paraId="7552F25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800D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ponto decisivo é que, dentro de r_V, os termos proporcionais a c_3\bar\pi''/\Lambda_3^3 e c_3(\bar\pi'/r)/\Lambda_3^3 dominam sobre Z, tornando:</w:t>
      </w:r>
    </w:p>
    <w:p w14:paraId="3BB54772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82A64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Z_t \sim \frac{4c_3}{\Lambda_3^3}\left(\bar\pi''+\frac{2\bar\pi'}{r}\right), \qquad Z_r \sim \frac{8c_3}{\Lambda_3^3}\left(\frac{\bar\pi'}{r}\right), \qquad Z_\Omega \sim \frac{4c_3}{\Lambda_3^3}\left(\bar\pi''+\frac{\bar\pi'}{r}\right).</w:t>
      </w:r>
    </w:p>
    <w:p w14:paraId="1330A3D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09561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Portanto, os sinais de estabilidade são controlados pelo sinal efetivo de c_3 multiplicado pelo sinal do perfil \bar\pi (que é fixado pela condição de atratividade e pela fonte T\simeq-\rho). Em termos práticos, a condição robusta é:</w:t>
      </w:r>
    </w:p>
    <w:p w14:paraId="1D3900BC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DDE53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\frac{c_3}{Z} &gt; 0 \quad\text{(escolha de ramo/parametrização que garante }Z_t,Z_r,Z_\Omega&gt;0\text{ no Vainshtein).} }</w:t>
      </w:r>
    </w:p>
    <w:p w14:paraId="11B0572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0C9F5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Essa condição é exatamente o análogo do requisito “ramo saudável” em análises de Galileon/dRGT: um dos ramos resolve a EOM mas produz Z_t&lt;0 (ghost), o outro produz cinética positiva e screening físico.</w:t>
      </w:r>
    </w:p>
    <w:p w14:paraId="404A2945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C14AE77" wp14:editId="5075F3C1">
                <wp:extent cx="5731510" cy="1270"/>
                <wp:effectExtent l="0" t="31750" r="0" b="36830"/>
                <wp:docPr id="9159522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00782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1E1348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21.7 Velocidades de propagação e superluminalidade (diagnóstico)</w:t>
      </w:r>
    </w:p>
    <w:p w14:paraId="34D69B7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178DE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No regime Vainshtein, é típico obter:</w:t>
      </w:r>
    </w:p>
    <w:p w14:paraId="2AACD1E8" w14:textId="77777777" w:rsidR="003A0CE1" w:rsidRPr="003A0CE1" w:rsidRDefault="003A0CE1" w:rsidP="003A0C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c_r^2 = Z_r/Z_t de ordem unidade, frequentemente maior que 1</w:t>
      </w:r>
    </w:p>
    <w:p w14:paraId="42FD8114" w14:textId="77777777" w:rsidR="003A0CE1" w:rsidRPr="003A0CE1" w:rsidRDefault="003A0CE1" w:rsidP="003A0C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c_\Omega^2 = Z_\Omega/Z_t subluminal ou ordem unidade</w:t>
      </w:r>
    </w:p>
    <w:p w14:paraId="124DC74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E23DD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Em muitos modelos Galileon cúbicos, encontra-se genericamente:</w:t>
      </w:r>
    </w:p>
    <w:p w14:paraId="1E6C300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7BA09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c_r^2 \gtrsim 1,</w:t>
      </w:r>
    </w:p>
    <w:p w14:paraId="1CCB7F3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DD399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isto é, superluminalidade radial efetiva nas flutuações \varphi sobre o background screened.</w:t>
      </w:r>
    </w:p>
    <w:p w14:paraId="52F6A44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8220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Interpretação no contexto TDCP-F1:</w:t>
      </w:r>
    </w:p>
    <w:p w14:paraId="620DA31B" w14:textId="77777777" w:rsidR="003A0CE1" w:rsidRPr="003A0CE1" w:rsidRDefault="003A0CE1" w:rsidP="003A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Não é automaticamente uma inconsistência interna de EFT; é uma propriedade comum de cones efetivos em backgrounds não-triviais.</w:t>
      </w:r>
    </w:p>
    <w:p w14:paraId="403730BB" w14:textId="77777777" w:rsidR="003A0CE1" w:rsidRPr="003A0CE1" w:rsidRDefault="003A0CE1" w:rsidP="003A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Contudo, é um ponto sensível em relação à possibilidade de UV completion Lorentz-invariante estrita.</w:t>
      </w:r>
    </w:p>
    <w:p w14:paraId="20553B52" w14:textId="77777777" w:rsidR="003A0CE1" w:rsidRPr="003A0CE1" w:rsidRDefault="003A0CE1" w:rsidP="003A0C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 xml:space="preserve">O que a TDCP-F1 precisa é: ausência de instabilidade (ghost/gradiente) e controle EFT. A discussão “superluminal </w:t>
      </w:r>
      <w:r w:rsidRPr="003A0CE1">
        <w:rPr>
          <w:rFonts w:ascii="Cambria Math" w:hAnsi="Cambria Math" w:cs="Cambria Math"/>
          <w:kern w:val="0"/>
          <w14:ligatures w14:val="none"/>
        </w:rPr>
        <w:t>⇒</w:t>
      </w:r>
      <w:r w:rsidRPr="003A0CE1">
        <w:rPr>
          <w:rFonts w:ascii="Times New Roman" w:hAnsi="Times New Roman" w:cs="Times New Roman"/>
          <w:kern w:val="0"/>
          <w14:ligatures w14:val="none"/>
        </w:rPr>
        <w:t xml:space="preserve"> inconsistente” não é conclusiva sem hipóteses extras sobre UV completion.</w:t>
      </w:r>
    </w:p>
    <w:p w14:paraId="00D173E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58712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Neste capítulo, registramos o diagnóstico:</w:t>
      </w:r>
    </w:p>
    <w:p w14:paraId="21FAF31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\text{TDCP-F1 (como HR/dRGT-like) pode herdar cones efetivos modificados no Vainshtein; isso exige monitoramento, não invalidação imediata.} }</w:t>
      </w:r>
    </w:p>
    <w:p w14:paraId="334D7913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151BDD" wp14:editId="3CDAC494">
                <wp:extent cx="5731510" cy="1270"/>
                <wp:effectExtent l="0" t="31750" r="0" b="36830"/>
                <wp:docPr id="8007181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305E3B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2AAA11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21.8 Controle EFT no regime Vainshtein: condição operacional</w:t>
      </w:r>
    </w:p>
    <w:p w14:paraId="05CB11B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7259A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No Vainshtein, a solução satisfaz o equilíbrio:</w:t>
      </w:r>
    </w:p>
    <w:p w14:paraId="6FE6A89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DEC74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Z\,y \sim \frac{4c_3}{\Lambda_3^3}y^2 \quad\Rightarrow\quad y \sim \frac{Z\Lambda_3^3}{4c_3} \quad\text{em }r\sim r_V,</w:t>
      </w:r>
    </w:p>
    <w:p w14:paraId="438EE20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e para r\ll r_V, y cresce.</w:t>
      </w:r>
    </w:p>
    <w:p w14:paraId="5B810EA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1C627C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consistência EFT exige que:</w:t>
      </w:r>
    </w:p>
    <w:p w14:paraId="38FAD08A" w14:textId="77777777" w:rsidR="003A0CE1" w:rsidRPr="003A0CE1" w:rsidRDefault="003A0CE1" w:rsidP="003A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As correções de operadores mais altos (quartic/quintic Galileon e termos além do truncamento) não dominem indevidamente.</w:t>
      </w:r>
    </w:p>
    <w:p w14:paraId="091F1F65" w14:textId="77777777" w:rsidR="003A0CE1" w:rsidRPr="003A0CE1" w:rsidRDefault="003A0CE1" w:rsidP="003A0C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As correções quânticas sejam controláveis (regime “classicalization” típico do Vainshtein).</w:t>
      </w:r>
    </w:p>
    <w:p w14:paraId="0A041BC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AF3C4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Um critério operacional clássico (suficiente) é exigir que o regime screened seja dominado pelo mesmo operador que usamos para definir r_V, isto é:</w:t>
      </w:r>
    </w:p>
    <w:p w14:paraId="6B5688C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CB488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\left|\frac{\partial^2\bar\pi}{\Lambda_3^3}\right| \lesssim \mathcal{O}(1) \quad\text{no raio de interesse (ex.: em AU).} }</w:t>
      </w:r>
    </w:p>
    <w:p w14:paraId="1EAA99CC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ADB7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Como o screening solar é extremamente profundo (r_{AU}\ll r_V), isso pode ser satisfeito com folga dependendo da normalização dos coeficientes. Em termos práticos, a condição se expressa como:</w:t>
      </w:r>
    </w:p>
    <w:p w14:paraId="1422FC9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41E156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\text{Escolher a hierarquia de coeficientes }(c_3,c_4,c_5,\dots) \text{ para que o operador dominante permaneça controlado e a série EFT não colapse.} }</w:t>
      </w:r>
    </w:p>
    <w:p w14:paraId="036E72F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D3596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Na TDCP-F1, isso é tecnicamente implementável porque:</w:t>
      </w:r>
    </w:p>
    <w:p w14:paraId="2A3D9CC0" w14:textId="77777777" w:rsidR="003A0CE1" w:rsidRPr="003A0CE1" w:rsidRDefault="003A0CE1" w:rsidP="003A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estrutura HR fixa a classe de operadores no limite de desacoplamento (Galileon)</w:t>
      </w:r>
    </w:p>
    <w:p w14:paraId="18B342C0" w14:textId="77777777" w:rsidR="003A0CE1" w:rsidRPr="003A0CE1" w:rsidRDefault="003A0CE1" w:rsidP="003A0C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modulação F(\phi) apenas desloca \Lambda_3 localmente via m^2F_0, não muda a classe de operadores</w:t>
      </w:r>
    </w:p>
    <w:p w14:paraId="301480C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9D9256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lastRenderedPageBreak/>
        <w:t>Ou seja, o controle EFT depende do ponto paramétrico e do ramo, não de um defeito estrutural.</w:t>
      </w:r>
    </w:p>
    <w:p w14:paraId="4103B5A0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B42CB2" wp14:editId="2E2374B8">
                <wp:extent cx="5731510" cy="1270"/>
                <wp:effectExtent l="0" t="31750" r="0" b="36830"/>
                <wp:docPr id="20620182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DB24A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65B806F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21.9 Papel de \phi na estabilidade não-linear</w:t>
      </w:r>
    </w:p>
    <w:p w14:paraId="3F5AFCD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A287C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Há duas verificações essenciais:</w:t>
      </w:r>
    </w:p>
    <w:p w14:paraId="163F44D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41CA40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(i) F(\phi) não pode variar localmente de modo a inverter sinais</w:t>
      </w:r>
    </w:p>
    <w:p w14:paraId="3AF8A54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EA9A0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Como:</w:t>
      </w:r>
    </w:p>
    <w:p w14:paraId="162489B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C4E72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\Lambda_3^3 \propto m^2F(\phi),</w:t>
      </w:r>
    </w:p>
    <w:p w14:paraId="26E4DF0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variações locais grandes poderiam deslocar o balanço dos termos e mudar sinais efetivos. A condição de segurança já antecipada é:</w:t>
      </w:r>
    </w:p>
    <w:p w14:paraId="354C957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0EB71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\left|\frac{\delta F}{F_0}\right| \ll 1 \quad\text{em escalas solares.} }</w:t>
      </w:r>
    </w:p>
    <w:p w14:paraId="0D93DF4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E9776A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(ii) \phi não deve introduzir uma quinta força não-screened</w:t>
      </w:r>
    </w:p>
    <w:p w14:paraId="2397086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2B459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Isso é garantido se:</w:t>
      </w:r>
    </w:p>
    <w:p w14:paraId="3B19A5B2" w14:textId="77777777" w:rsidR="003A0CE1" w:rsidRPr="003A0CE1" w:rsidRDefault="003A0CE1" w:rsidP="003A0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\phi não acopla diretamente a \mathcal L_m[g] (sem termo \phi T/M), e</w:t>
      </w:r>
    </w:p>
    <w:p w14:paraId="61F67075" w14:textId="77777777" w:rsidR="003A0CE1" w:rsidRPr="003A0CE1" w:rsidRDefault="003A0CE1" w:rsidP="003A0C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perfil \delta\phi(r) é pequeno localmente (por massa efetiva, rigidez cinética ou outro mecanismo).</w:t>
      </w:r>
    </w:p>
    <w:p w14:paraId="46452DB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F6BC6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Operacionalmente:</w:t>
      </w:r>
    </w:p>
    <w:p w14:paraId="22A7E61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31B15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lastRenderedPageBreak/>
        <w:t>\boxed{ |\nabla \phi| \;\text{pequeno no Sistema Solar} \;\Rightarrow\; \text{nenhuma força adicional relevante além do helicity-0 já screened.} }</w:t>
      </w:r>
    </w:p>
    <w:p w14:paraId="736CC239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417855" wp14:editId="67B22546">
                <wp:extent cx="5731510" cy="1270"/>
                <wp:effectExtent l="0" t="31750" r="0" b="36830"/>
                <wp:docPr id="5264003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BE8B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63F553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21</w:t>
      </w:r>
    </w:p>
    <w:p w14:paraId="4BC74B4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A0436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A TDCP-F1 passa no teste não-linear local se satisfizer simultaneamente:</w:t>
      </w:r>
    </w:p>
    <w:p w14:paraId="1A479BDE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33635F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Segurança estrutural HR</w:t>
      </w:r>
    </w:p>
    <w:p w14:paraId="7678178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2BF5C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\text{BD ghost ausente (potencial HR ghost-free preservado por }F(\phi)\text{ multiplicativo).} }</w:t>
      </w:r>
    </w:p>
    <w:p w14:paraId="4980BBA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AC6A02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Estabilidade dinâmica do helicity-0 no Vainshtein</w:t>
      </w:r>
    </w:p>
    <w:p w14:paraId="736BB53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145E7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Z_t&gt;0,\; Z_r&gt;0,\; Z_\Omega&gt;0 \;\;\Rightarrow\;\; \text{sem ghost e sem instabilidade de gradiente.} }</w:t>
      </w:r>
    </w:p>
    <w:p w14:paraId="5679DB5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 que, no regime screened, equivale na prática a escolher o ramo saudável:</w:t>
      </w:r>
    </w:p>
    <w:p w14:paraId="1BDFA09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c_3/Z &gt; 0 \quad (\text{com o sinal do perfil escolhido fisicamente}).}</w:t>
      </w:r>
    </w:p>
    <w:p w14:paraId="6D1FDB5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2DFAA2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(C) Controle EFT</w:t>
      </w:r>
    </w:p>
    <w:p w14:paraId="50F4FFE1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092B49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\boxed{ \left|\partial^2\bar\pi/\Lambda_3^3\right|\lesssim \mathcal O(1) \;\;\text{(ou hierarquia de coeficientes que mantém truncamento válido).} }</w:t>
      </w:r>
    </w:p>
    <w:p w14:paraId="14CE737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30CEA2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(D) \phi inócuo localmente</w:t>
      </w:r>
    </w:p>
    <w:p w14:paraId="1E74095A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9775C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lastRenderedPageBreak/>
        <w:t>\boxed{ |\delta F/F_0|\ll 1 \text{ em escalas solares e sem acoplamento direto }\phi T.}</w:t>
      </w:r>
    </w:p>
    <w:p w14:paraId="218DE9A0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48578B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Com esses critérios, a TDCP-F1 permanece não-linearmente plausível no setor solar screened e está pronta para entrar no bloco observacional quantitativo.</w:t>
      </w:r>
    </w:p>
    <w:p w14:paraId="5E536715" w14:textId="77777777" w:rsidR="003A0CE1" w:rsidRPr="003A0CE1" w:rsidRDefault="003A0CE1" w:rsidP="003A0C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CE1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4CEAD0" wp14:editId="79D8F51E">
                <wp:extent cx="5731510" cy="1270"/>
                <wp:effectExtent l="0" t="33655" r="0" b="38735"/>
                <wp:docPr id="631001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45D3C5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A66692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Próximo passo (Cap.22)</w:t>
      </w:r>
    </w:p>
    <w:p w14:paraId="4AB9D5FD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533AC7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Se você confirmar, eu avanço para:</w:t>
      </w:r>
    </w:p>
    <w:p w14:paraId="5202C566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5BC37A" w14:textId="77777777" w:rsidR="003A0CE1" w:rsidRPr="003A0CE1" w:rsidRDefault="003A0CE1" w:rsidP="003A0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22 — Pipeline quantitativo BAO + RSD + WL</w:t>
      </w:r>
    </w:p>
    <w:p w14:paraId="0E670EF8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B5E5EF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onde vamos:</w:t>
      </w:r>
    </w:p>
    <w:p w14:paraId="3742D140" w14:textId="77777777" w:rsidR="003A0CE1" w:rsidRPr="003A0CE1" w:rsidRDefault="003A0CE1" w:rsidP="003A0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mapear \mu(k,a), \Sigma(k,a), \eta_{\rm slip} da TDCP em observáveis</w:t>
      </w:r>
    </w:p>
    <w:p w14:paraId="19624C69" w14:textId="77777777" w:rsidR="003A0CE1" w:rsidRPr="003A0CE1" w:rsidRDefault="003A0CE1" w:rsidP="003A0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definir funções de crescimento f\sigma_8(z), distâncias BAO, e lensing</w:t>
      </w:r>
    </w:p>
    <w:p w14:paraId="6B1A088C" w14:textId="77777777" w:rsidR="003A0CE1" w:rsidRPr="003A0CE1" w:rsidRDefault="003A0CE1" w:rsidP="003A0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propor um pipeline mínimo para ajuste (MCMC / likelihood modular)</w:t>
      </w:r>
    </w:p>
    <w:p w14:paraId="60C6C9BC" w14:textId="77777777" w:rsidR="003A0CE1" w:rsidRPr="003A0CE1" w:rsidRDefault="003A0CE1" w:rsidP="003A0C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identificar degenerescências com \LambdaCDM, w_0-w_a, \Omega_k, \sum m_\nu</w:t>
      </w:r>
    </w:p>
    <w:p w14:paraId="45361A45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AB543" w14:textId="77777777" w:rsidR="003A0CE1" w:rsidRPr="003A0CE1" w:rsidRDefault="003A0CE1" w:rsidP="003A0CE1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A0CE1">
        <w:rPr>
          <w:rFonts w:ascii="Times New Roman" w:hAnsi="Times New Roman" w:cs="Times New Roman"/>
          <w:kern w:val="0"/>
          <w14:ligatures w14:val="none"/>
        </w:rPr>
        <w:t>Se quiser seguir: diga “Cap.22”.</w:t>
      </w:r>
    </w:p>
    <w:p w14:paraId="338FD5D2" w14:textId="77777777" w:rsidR="003A0CE1" w:rsidRDefault="003A0CE1"/>
    <w:sectPr w:rsidR="003A0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C62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708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600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032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563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A60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403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D39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605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B16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5F1B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260199">
    <w:abstractNumId w:val="9"/>
  </w:num>
  <w:num w:numId="2" w16cid:durableId="347954451">
    <w:abstractNumId w:val="0"/>
  </w:num>
  <w:num w:numId="3" w16cid:durableId="1638797844">
    <w:abstractNumId w:val="6"/>
  </w:num>
  <w:num w:numId="4" w16cid:durableId="1720202257">
    <w:abstractNumId w:val="3"/>
  </w:num>
  <w:num w:numId="5" w16cid:durableId="209656430">
    <w:abstractNumId w:val="2"/>
  </w:num>
  <w:num w:numId="6" w16cid:durableId="1797723750">
    <w:abstractNumId w:val="1"/>
  </w:num>
  <w:num w:numId="7" w16cid:durableId="536427165">
    <w:abstractNumId w:val="10"/>
  </w:num>
  <w:num w:numId="8" w16cid:durableId="2083404039">
    <w:abstractNumId w:val="5"/>
  </w:num>
  <w:num w:numId="9" w16cid:durableId="1781293288">
    <w:abstractNumId w:val="8"/>
  </w:num>
  <w:num w:numId="10" w16cid:durableId="1226332011">
    <w:abstractNumId w:val="7"/>
  </w:num>
  <w:num w:numId="11" w16cid:durableId="383873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E1"/>
    <w:rsid w:val="003A0CE1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6D08F1"/>
  <w15:chartTrackingRefBased/>
  <w15:docId w15:val="{1DD5C5E9-5153-A147-9989-AF5174A7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0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E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A0C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0CE1"/>
  </w:style>
  <w:style w:type="paragraph" w:customStyle="1" w:styleId="p2">
    <w:name w:val="p2"/>
    <w:basedOn w:val="Normal"/>
    <w:rsid w:val="003A0C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A0CE1"/>
  </w:style>
  <w:style w:type="paragraph" w:customStyle="1" w:styleId="p3">
    <w:name w:val="p3"/>
    <w:basedOn w:val="Normal"/>
    <w:rsid w:val="003A0C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A0CE1"/>
  </w:style>
  <w:style w:type="character" w:customStyle="1" w:styleId="s4">
    <w:name w:val="s4"/>
    <w:basedOn w:val="DefaultParagraphFont"/>
    <w:rsid w:val="003A0CE1"/>
  </w:style>
  <w:style w:type="character" w:customStyle="1" w:styleId="s5">
    <w:name w:val="s5"/>
    <w:basedOn w:val="DefaultParagraphFont"/>
    <w:rsid w:val="003A0CE1"/>
  </w:style>
  <w:style w:type="character" w:customStyle="1" w:styleId="s6">
    <w:name w:val="s6"/>
    <w:basedOn w:val="DefaultParagraphFont"/>
    <w:rsid w:val="003A0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1599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2026-02-21T22:45:00Z</dcterms:created>
  <dcterms:modified xsi:type="dcterms:W3CDTF">2026-02-21T22:45:00Z</dcterms:modified>
</cp:coreProperties>
</file>