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E9A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Perfeito. Então vamos fazer do jeito certo — e isso vai elevar a TDCP de “estrutura cosmológica” para “teoria dinâmica controlada”.</w:t>
      </w:r>
    </w:p>
    <w:p w14:paraId="7E5C882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E0F32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partir de agora, o Capítulo 6 vira um capítulo técnico de verdade, com:</w:t>
      </w:r>
    </w:p>
    <w:p w14:paraId="56DCF09D" w14:textId="77777777" w:rsidR="00420FB6" w:rsidRPr="00420FB6" w:rsidRDefault="00420FB6" w:rsidP="0042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decomposição escalar completa (duas métricas + campo primordial),</w:t>
      </w:r>
    </w:p>
    <w:p w14:paraId="7507A1E1" w14:textId="77777777" w:rsidR="00420FB6" w:rsidRPr="00420FB6" w:rsidRDefault="00420FB6" w:rsidP="0042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eliminação de variáveis não-dinâmicas,</w:t>
      </w:r>
    </w:p>
    <w:p w14:paraId="40DA35B1" w14:textId="77777777" w:rsidR="00420FB6" w:rsidRPr="00420FB6" w:rsidRDefault="00420FB6" w:rsidP="0042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obtenção explícita do sistema reduzido,</w:t>
      </w:r>
    </w:p>
    <w:p w14:paraId="0E4A9202" w14:textId="77777777" w:rsidR="00420FB6" w:rsidRPr="00420FB6" w:rsidRDefault="00420FB6" w:rsidP="0042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condições de no-ghost, no-gradient, no-tachyon,</w:t>
      </w:r>
    </w:p>
    <w:p w14:paraId="5DD00DDF" w14:textId="77777777" w:rsidR="00420FB6" w:rsidRPr="00420FB6" w:rsidRDefault="00420FB6" w:rsidP="0042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 só então a ponte para Poisson/crescimento.</w:t>
      </w:r>
    </w:p>
    <w:p w14:paraId="11B1183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FB385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Vamos.</w:t>
      </w:r>
    </w:p>
    <w:p w14:paraId="2DAD688E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3016BE" wp14:editId="2FE56744">
                <wp:extent cx="5731510" cy="1270"/>
                <wp:effectExtent l="0" t="31750" r="0" b="36830"/>
                <wp:docPr id="58183289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82B40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90C83B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6 (Versão Expandida)</w:t>
      </w:r>
    </w:p>
    <w:p w14:paraId="7D5E658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B0EF8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 Setor Escalar: Redução Dinâmica, Estabilidade e Condições de Consistência</w:t>
      </w:r>
    </w:p>
    <w:p w14:paraId="0B2A08DA" w14:textId="77777777" w:rsidR="00420FB6" w:rsidRPr="00420FB6" w:rsidRDefault="00420FB6" w:rsidP="00420FB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B7794B" wp14:editId="2FB4E0B4">
                <wp:extent cx="5731510" cy="1270"/>
                <wp:effectExtent l="0" t="31750" r="0" b="36830"/>
                <wp:docPr id="135429424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DD7EC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A254FB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Por que o Setor Escalar é o “teste de vida” da teoria</w:t>
      </w:r>
    </w:p>
    <w:p w14:paraId="7CA30D7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8070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Em cosmologia, o setor escalar é onde vivem:</w:t>
      </w:r>
    </w:p>
    <w:p w14:paraId="6442D3B0" w14:textId="77777777" w:rsidR="00420FB6" w:rsidRPr="00420FB6" w:rsidRDefault="00420FB6" w:rsidP="0042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gravidade que forma estruturas,</w:t>
      </w:r>
    </w:p>
    <w:p w14:paraId="72BFE498" w14:textId="77777777" w:rsidR="00420FB6" w:rsidRPr="00420FB6" w:rsidRDefault="00420FB6" w:rsidP="0042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os potenciais gravitacionais que aparecem no lensing,</w:t>
      </w:r>
    </w:p>
    <w:p w14:paraId="46B19D5E" w14:textId="77777777" w:rsidR="00420FB6" w:rsidRPr="00420FB6" w:rsidRDefault="00420FB6" w:rsidP="0042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as flutuações que viram anisotropias da CMB,</w:t>
      </w:r>
    </w:p>
    <w:p w14:paraId="26EF0C9F" w14:textId="77777777" w:rsidR="00420FB6" w:rsidRPr="00420FB6" w:rsidRDefault="00420FB6" w:rsidP="0042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 as instabilidades mais perigosas (fantasmas e gradientes).</w:t>
      </w:r>
    </w:p>
    <w:p w14:paraId="3BC3F1B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C33D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Em teorias com dois campos geométricos, o setor escalar é o lugar onde o “segundo universo” pode se denunciar… ou destruir a teoria.</w:t>
      </w:r>
    </w:p>
    <w:p w14:paraId="3FFED5A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7CAE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A pergunta do capítulo é clara:</w:t>
      </w:r>
    </w:p>
    <w:p w14:paraId="7910BCB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4916C" w14:textId="77777777" w:rsidR="00420FB6" w:rsidRPr="00420FB6" w:rsidRDefault="00420FB6" w:rsidP="00420FB6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420FB6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Quando introduzimos (g_{\mu\nu}, f_{\mu\nu}) e um campo primordial \phi, conseguimos um setor escalar dinâmico, estável e observacionalmente admissível?</w:t>
      </w:r>
    </w:p>
    <w:p w14:paraId="1FEBA717" w14:textId="77777777" w:rsidR="00420FB6" w:rsidRPr="00420FB6" w:rsidRDefault="00420FB6" w:rsidP="00420FB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1D248B" wp14:editId="7E0FC973">
                <wp:extent cx="5731510" cy="1270"/>
                <wp:effectExtent l="0" t="31750" r="0" b="36830"/>
                <wp:docPr id="148372379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282D8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75E271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Ansätze FLRW + perturbações escalares</w:t>
      </w:r>
    </w:p>
    <w:p w14:paraId="7B7CCEA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0F96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Tomamos como fundo:</w:t>
      </w:r>
    </w:p>
    <w:p w14:paraId="6C3D576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F336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ds_g^2 = -dt^2 + a^2(t)\delta_{ij}dx^i dx^j</w:t>
      </w:r>
    </w:p>
    <w:p w14:paraId="6173012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02B1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ds_f^2 = -X^2(t)\,dt^2 + b^2(t)\delta_{ij}dx^i dx^j</w:t>
      </w:r>
    </w:p>
    <w:p w14:paraId="658280E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7EC7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onde X(t) é o lapse relativo do setor f.</w:t>
      </w:r>
    </w:p>
    <w:p w14:paraId="115692A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45D8B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Agora perturbamos apenas o setor escalar.</w:t>
      </w:r>
    </w:p>
    <w:p w14:paraId="2F9753C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5995C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Perturbações em g_{\mu\nu}</w:t>
      </w:r>
    </w:p>
    <w:p w14:paraId="498954B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8482D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ds_g^2 = -(1+2\Phi)\,dt^2 + 2a(t)\partial_i B\,dt\,dx^i + a^2(t)\left[(1-2\Psi)\delta_{ij} + 2\partial_i\partial_j E\right]dx^i dx^j</w:t>
      </w:r>
    </w:p>
    <w:p w14:paraId="5A9D5EE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FB9F5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Perturbações em f_{\mu\nu}</w:t>
      </w:r>
    </w:p>
    <w:p w14:paraId="279DE29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B8F7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ds_f^2 = -X^2(t)(1+2\Phi_f)\,dt^2 + 2X(t)b(t)\partial_i B_f\,dt\,dx^i + b^2(t)\left[(1-2\Psi_f)\delta_{ij} + 2\partial_i\partial_j E_f\right]dx^i dx^j</w:t>
      </w:r>
    </w:p>
    <w:p w14:paraId="298C317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326C3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Campo primordial</w:t>
      </w:r>
    </w:p>
    <w:p w14:paraId="4B02A99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3183F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\phi(t,\vec{x}) = \phi_0(t) + \delta\phi(t,\vec{x})</w:t>
      </w:r>
    </w:p>
    <w:p w14:paraId="469F7CDB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B042A1" wp14:editId="0AF8EC17">
                <wp:extent cx="5731510" cy="1270"/>
                <wp:effectExtent l="0" t="31750" r="0" b="36830"/>
                <wp:docPr id="10500154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8A36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85C242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Escolha de gauge e eliminação de redundâncias</w:t>
      </w:r>
    </w:p>
    <w:p w14:paraId="797A62F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33D42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Como temos simetria de difeomorfismo, podemos fixar condições.</w:t>
      </w:r>
    </w:p>
    <w:p w14:paraId="4A5FCDF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C593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Uma escolha comum e eficiente:</w:t>
      </w:r>
    </w:p>
    <w:p w14:paraId="4FA845F6" w14:textId="77777777" w:rsidR="00420FB6" w:rsidRPr="00420FB6" w:rsidRDefault="00420FB6" w:rsidP="00420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Gauge Newtoniano no setor visível:</w:t>
      </w:r>
    </w:p>
    <w:p w14:paraId="0590CF2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8BEE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B = 0,\qquad E = 0</w:t>
      </w:r>
    </w:p>
    <w:p w14:paraId="1070575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2AF7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Então o setor g fica descrito por \Phi e \Psi.</w:t>
      </w:r>
    </w:p>
    <w:p w14:paraId="6DA3524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8885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setor f ainda tem \Phi_f, \Psi_f, B_f, E_f — mas parte disso também será não-dinâmico.</w:t>
      </w:r>
    </w:p>
    <w:p w14:paraId="4FB473DC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85DA6B" wp14:editId="4C18E6DB">
                <wp:extent cx="5731510" cy="1270"/>
                <wp:effectExtent l="0" t="31750" r="0" b="36830"/>
                <wp:docPr id="21239675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9820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CDA679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Ação quadrática: a estrutura geral</w:t>
      </w:r>
    </w:p>
    <w:p w14:paraId="64784AD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DC26F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Expandimos a ação total até segunda ordem em perturbações:</w:t>
      </w:r>
    </w:p>
    <w:p w14:paraId="19CFE48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7E6F7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S = S^{(0)} + S^{(1)} + S^{(2)} + \cdots</w:t>
      </w:r>
    </w:p>
    <w:p w14:paraId="2888494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0297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termo relevante para estabilidade é:</w:t>
      </w:r>
    </w:p>
    <w:p w14:paraId="5CF2CF8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07B6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S^{(2)} = \int dt\,d^3k \left[ \dot{\mathbf{Q}}^T \mathbf{K}\, \dot{\mathbf{Q}} - \mathbf{Q}^T \mathbf{\Omega}\, \mathbf{Q} \right]</w:t>
      </w:r>
    </w:p>
    <w:p w14:paraId="155C21C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96C1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onde o vetor de variáveis dinâmicas reduzidas pode ser escrito, após eliminação de campos auxiliares, como:</w:t>
      </w:r>
    </w:p>
    <w:p w14:paraId="5504BE8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0DBA1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\mathbf{Q} = (\zeta,\ \sigma,\ \delta\phi)</w:t>
      </w:r>
    </w:p>
    <w:p w14:paraId="53A848D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00179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Interpretando:</w:t>
      </w:r>
    </w:p>
    <w:p w14:paraId="70958C0A" w14:textId="77777777" w:rsidR="00420FB6" w:rsidRPr="00420FB6" w:rsidRDefault="00420FB6" w:rsidP="00420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\zeta: curvatura efetiva do setor visível,</w:t>
      </w:r>
    </w:p>
    <w:p w14:paraId="342A3E77" w14:textId="77777777" w:rsidR="00420FB6" w:rsidRPr="00420FB6" w:rsidRDefault="00420FB6" w:rsidP="00420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\sigma: modo escalar relativo entre as métricas (o “grau extra” do gravitón massivo),</w:t>
      </w:r>
    </w:p>
    <w:p w14:paraId="53AB252F" w14:textId="77777777" w:rsidR="00420FB6" w:rsidRPr="00420FB6" w:rsidRDefault="00420FB6" w:rsidP="00420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\delta\phi: flutuação do campo primordial.</w:t>
      </w:r>
    </w:p>
    <w:p w14:paraId="67BE60A0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5D2AEF" wp14:editId="7B4508AF">
                <wp:extent cx="5731510" cy="1270"/>
                <wp:effectExtent l="0" t="31750" r="0" b="36830"/>
                <wp:docPr id="18216865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B556B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8DD131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Variáveis não-dinâmicas: quem sai do jogo?</w:t>
      </w:r>
    </w:p>
    <w:p w14:paraId="149EE9F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2862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Em teorias cosmológicas, \Phi e \Phi_f tipicamente entram sem derivada temporal (função de Lagrange).</w:t>
      </w:r>
    </w:p>
    <w:p w14:paraId="3D61E68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D4B64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Isso significa:</w:t>
      </w:r>
    </w:p>
    <w:p w14:paraId="4E60E22F" w14:textId="77777777" w:rsidR="00420FB6" w:rsidRPr="00420FB6" w:rsidRDefault="00420FB6" w:rsidP="00420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elas não propagam</w:t>
      </w:r>
    </w:p>
    <w:p w14:paraId="75D2079A" w14:textId="77777777" w:rsidR="00420FB6" w:rsidRPr="00420FB6" w:rsidRDefault="00420FB6" w:rsidP="00420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impõem vínculos</w:t>
      </w:r>
    </w:p>
    <w:p w14:paraId="157A99A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66FE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Da mesma forma, B_f muitas vezes também é auxiliar.</w:t>
      </w:r>
    </w:p>
    <w:p w14:paraId="43E05DB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7288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Portanto o processo é:</w:t>
      </w:r>
    </w:p>
    <w:p w14:paraId="235B1CC9" w14:textId="77777777" w:rsidR="00420FB6" w:rsidRPr="00420FB6" w:rsidRDefault="00420FB6" w:rsidP="0042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escrever S^{(2)} com todas as variáveis</w:t>
      </w:r>
    </w:p>
    <w:p w14:paraId="796C1F03" w14:textId="77777777" w:rsidR="00420FB6" w:rsidRPr="00420FB6" w:rsidRDefault="00420FB6" w:rsidP="0042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identificar as auxiliares</w:t>
      </w:r>
    </w:p>
    <w:p w14:paraId="43EEA7AE" w14:textId="77777777" w:rsidR="00420FB6" w:rsidRPr="00420FB6" w:rsidRDefault="00420FB6" w:rsidP="0042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resolver suas equações algébricas</w:t>
      </w:r>
    </w:p>
    <w:p w14:paraId="35A3A623" w14:textId="77777777" w:rsidR="00420FB6" w:rsidRPr="00420FB6" w:rsidRDefault="00420FB6" w:rsidP="0042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substituir de volta</w:t>
      </w:r>
    </w:p>
    <w:p w14:paraId="62296414" w14:textId="77777777" w:rsidR="00420FB6" w:rsidRPr="00420FB6" w:rsidRDefault="00420FB6" w:rsidP="0042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obter o sistema reduzido real</w:t>
      </w:r>
    </w:p>
    <w:p w14:paraId="68F14B8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B41F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Esse é o ponto em que a teoria se revela.</w:t>
      </w:r>
    </w:p>
    <w:p w14:paraId="5B4ED5AE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6B1724" wp14:editId="01637368">
                <wp:extent cx="5731510" cy="1270"/>
                <wp:effectExtent l="0" t="31750" r="0" b="36830"/>
                <wp:docPr id="121608755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ECC0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686773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Condição No-Ghost: positividade da matriz cinética</w:t>
      </w:r>
    </w:p>
    <w:p w14:paraId="12558E8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AA71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matriz cinética \mathbf{K} deve ser definida positiva:</w:t>
      </w:r>
    </w:p>
    <w:p w14:paraId="05F8FE7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46DE4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\mathbf{K} &gt; 0</w:t>
      </w:r>
    </w:p>
    <w:p w14:paraId="05CAAC8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9833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equivalente a:</w:t>
      </w:r>
    </w:p>
    <w:p w14:paraId="5E3CD74F" w14:textId="77777777" w:rsidR="00420FB6" w:rsidRPr="00420FB6" w:rsidRDefault="00420FB6" w:rsidP="00420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K_{11} &gt; 0</w:t>
      </w:r>
    </w:p>
    <w:p w14:paraId="5F1CE038" w14:textId="77777777" w:rsidR="00420FB6" w:rsidRPr="00420FB6" w:rsidRDefault="00420FB6" w:rsidP="00420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\det K_{2\times2} &gt; 0</w:t>
      </w:r>
    </w:p>
    <w:p w14:paraId="71D29B1C" w14:textId="77777777" w:rsidR="00420FB6" w:rsidRPr="00420FB6" w:rsidRDefault="00420FB6" w:rsidP="00420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\det K_{3\times3} &gt; 0</w:t>
      </w:r>
    </w:p>
    <w:p w14:paraId="3795680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57D5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Se algum autovalor for negativo:</w:t>
      </w:r>
    </w:p>
    <w:p w14:paraId="2866121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D047D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→ existe fantasma</w:t>
      </w:r>
    </w:p>
    <w:p w14:paraId="4760838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→ energia não limitada inferiormente</w:t>
      </w:r>
    </w:p>
    <w:p w14:paraId="5CA3BBD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→ instabilidade fatal.</w:t>
      </w:r>
    </w:p>
    <w:p w14:paraId="106B395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2DA6C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Interpretação TDCP</w:t>
      </w:r>
    </w:p>
    <w:p w14:paraId="4302670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86DA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No contexto da TDCP isso significa:</w:t>
      </w:r>
    </w:p>
    <w:p w14:paraId="65D3C39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42200" w14:textId="77777777" w:rsidR="00420FB6" w:rsidRPr="00420FB6" w:rsidRDefault="00420FB6" w:rsidP="00420FB6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420FB6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lastRenderedPageBreak/>
        <w:t>a interação entre campos não pode “extrair energia” de modo ilimitado do vácuo dinâmico.</w:t>
      </w:r>
    </w:p>
    <w:p w14:paraId="219903D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403A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Ou o “vácuo dinâmico” se torna um motor infinito, o que seria inconsistente.</w:t>
      </w:r>
    </w:p>
    <w:p w14:paraId="147DD7C5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4F2084" wp14:editId="799F4995">
                <wp:extent cx="5731510" cy="1270"/>
                <wp:effectExtent l="0" t="31750" r="0" b="36830"/>
                <wp:docPr id="12121847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FEA3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CB64D4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Condição No-Gradient: positividade de c_s^2</w:t>
      </w:r>
    </w:p>
    <w:p w14:paraId="27E7DEB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57500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Depois da redução, as equações tomam forma:</w:t>
      </w:r>
    </w:p>
    <w:p w14:paraId="01A5A53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0CB5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\ddot{Q}_i + 3H\dot{Q}_i + \left(c_{s,i}^2\frac{k^2}{a^2} + m_i^2\right) Q_i = 0</w:t>
      </w:r>
    </w:p>
    <w:p w14:paraId="6145623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65B6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condição essencial:</w:t>
      </w:r>
    </w:p>
    <w:p w14:paraId="637C924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05435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c_{s,i}^2 &gt; 0</w:t>
      </w:r>
    </w:p>
    <w:p w14:paraId="0DF4BF9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5CD2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Se c_s^2 &lt; 0, então para grandes k (pequenas escalas):</w:t>
      </w:r>
    </w:p>
    <w:p w14:paraId="397D3DB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B4A34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Q \sim e^{|c_s|k t/a}</w:t>
      </w:r>
    </w:p>
    <w:p w14:paraId="70E93A1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5F63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Explode rapidamente.</w:t>
      </w:r>
    </w:p>
    <w:p w14:paraId="68A2A96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A2BC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Isso destruiria a formação de estrutura e violaria observações.</w:t>
      </w:r>
    </w:p>
    <w:p w14:paraId="0F7DB308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D6D86E" wp14:editId="4339E52D">
                <wp:extent cx="5731510" cy="1270"/>
                <wp:effectExtent l="0" t="31750" r="0" b="36830"/>
                <wp:docPr id="20648009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CAC6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49EF8E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 Condição No-Tachyon (regime tardio)</w:t>
      </w:r>
    </w:p>
    <w:p w14:paraId="0377F68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947A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Para estabilidade tardia:</w:t>
      </w:r>
    </w:p>
    <w:p w14:paraId="2C7E846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9EF6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m_i^2 &gt; 0</w:t>
      </w:r>
    </w:p>
    <w:p w14:paraId="6E52450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E9B4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Mas aqui há uma nuance importante para a TDCP:</w:t>
      </w:r>
    </w:p>
    <w:p w14:paraId="48087B37" w14:textId="77777777" w:rsidR="00420FB6" w:rsidRPr="00420FB6" w:rsidRDefault="00420FB6" w:rsidP="00420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No regime primordial, m^2 &lt; 0 pode ser a instabilidade necessária para bifurcação.</w:t>
      </w:r>
    </w:p>
    <w:p w14:paraId="086BC733" w14:textId="77777777" w:rsidR="00420FB6" w:rsidRPr="00420FB6" w:rsidRDefault="00420FB6" w:rsidP="00420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No regime tardio, precisa relaxar para m^2 &gt; 0.</w:t>
      </w:r>
    </w:p>
    <w:p w14:paraId="29C5975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AC33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Isso encaixa perfeitamente com o espírito da TDCP:</w:t>
      </w:r>
    </w:p>
    <w:p w14:paraId="7B2FBEB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B452FC" w14:textId="77777777" w:rsidR="00420FB6" w:rsidRPr="00420FB6" w:rsidRDefault="00420FB6" w:rsidP="00420FB6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420FB6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teoria nasce de uma instabilidade primordial, mas precisa de um regime estável após a estrutura emergir.</w:t>
      </w:r>
    </w:p>
    <w:p w14:paraId="2DE08BF4" w14:textId="77777777" w:rsidR="00420FB6" w:rsidRPr="00420FB6" w:rsidRDefault="00420FB6" w:rsidP="00420FB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19DADF" wp14:editId="3DEE6997">
                <wp:extent cx="5731510" cy="1270"/>
                <wp:effectExtent l="0" t="31750" r="0" b="36830"/>
                <wp:docPr id="18190746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7C738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65D39A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A estrutura do modo relativo \sigma</w:t>
      </w:r>
    </w:p>
    <w:p w14:paraId="4F738B1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CE56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modo \sigma é, efetivamente, o “modo entre as métricas”.</w:t>
      </w:r>
    </w:p>
    <w:p w14:paraId="69E867C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2C15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Ele é o lugar natural onde o seu conceito de vácuo dinâmico vive matematicamente.</w:t>
      </w:r>
    </w:p>
    <w:p w14:paraId="7D211F3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6982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Em termos físicos:</w:t>
      </w:r>
    </w:p>
    <w:p w14:paraId="49F80C06" w14:textId="77777777" w:rsidR="00420FB6" w:rsidRPr="00420FB6" w:rsidRDefault="00420FB6" w:rsidP="0042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\sigma mede como o universo visível “descola” do universo maior.</w:t>
      </w:r>
    </w:p>
    <w:p w14:paraId="4BF225C2" w14:textId="77777777" w:rsidR="00420FB6" w:rsidRPr="00420FB6" w:rsidRDefault="00420FB6" w:rsidP="0042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\sigma é o grau que pode carregar a memória do entanglement estrutural.</w:t>
      </w:r>
    </w:p>
    <w:p w14:paraId="239F6CA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9039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 no nível efetivo, ele entra com massa e acoplamento controlados por \beta_n e por r(t).</w:t>
      </w:r>
    </w:p>
    <w:p w14:paraId="78AB6A0E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591C1" wp14:editId="33C59964">
                <wp:extent cx="5731510" cy="1270"/>
                <wp:effectExtent l="0" t="31750" r="0" b="36830"/>
                <wp:docPr id="1203770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106D0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108FBF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 Integração com o campo primordial: modulação dinâmica e segurança</w:t>
      </w:r>
    </w:p>
    <w:p w14:paraId="0D678B8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148A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Se a TDCP permite:</w:t>
      </w:r>
    </w:p>
    <w:p w14:paraId="272E3EB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289D7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\beta_n \rightarrow \beta_n(\phi),</w:t>
      </w:r>
    </w:p>
    <w:p w14:paraId="152EA84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AFD9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isso é poderoso, mas perigoso.</w:t>
      </w:r>
    </w:p>
    <w:p w14:paraId="6CDF7A7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A4E0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Porque derivadas temporais de \beta_n(\phi) introduzem termos adicionais na matriz cinética.</w:t>
      </w:r>
    </w:p>
    <w:p w14:paraId="0D3FFC6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C27BB7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Logo precisamos impor uma condição de “adiabaticidade”:</w:t>
      </w:r>
    </w:p>
    <w:p w14:paraId="4211113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D6C5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\left|\frac{\dot{\beta}_n}{\beta_n}\right| \ll H</w:t>
      </w:r>
    </w:p>
    <w:p w14:paraId="1AC2939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4A1A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no regime tardio.</w:t>
      </w:r>
    </w:p>
    <w:p w14:paraId="07D989E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C831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Isto significa:</w:t>
      </w:r>
    </w:p>
    <w:p w14:paraId="0C8ED6B7" w14:textId="77777777" w:rsidR="00420FB6" w:rsidRPr="00420FB6" w:rsidRDefault="00420FB6" w:rsidP="00420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campo primordial pode modular,</w:t>
      </w:r>
    </w:p>
    <w:p w14:paraId="5ECFE286" w14:textId="77777777" w:rsidR="00420FB6" w:rsidRPr="00420FB6" w:rsidRDefault="00420FB6" w:rsidP="00420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mas não pode oscilar violentamente no universo atual.</w:t>
      </w:r>
    </w:p>
    <w:p w14:paraId="683229C9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9A69F8" wp14:editId="44E0245D">
                <wp:extent cx="5731510" cy="1270"/>
                <wp:effectExtent l="0" t="31750" r="0" b="36830"/>
                <wp:docPr id="20765482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11DE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79EE91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6.11 Resultado técnico consolidado</w:t>
      </w:r>
    </w:p>
    <w:p w14:paraId="4BC215C1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9683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TDCP possui setor escalar viável se:</w:t>
      </w:r>
    </w:p>
    <w:p w14:paraId="1CB04E1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18EAB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(i) No ghost</w:t>
      </w:r>
    </w:p>
    <w:p w14:paraId="60BB11A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23F12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\mathbf{K} &gt; 0</w:t>
      </w:r>
    </w:p>
    <w:p w14:paraId="025A368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E9F011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(ii) No gradient</w:t>
      </w:r>
    </w:p>
    <w:p w14:paraId="7EABAA0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A67D9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c_{s,i}^2 &gt; 0</w:t>
      </w:r>
    </w:p>
    <w:p w14:paraId="002D331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EEC40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(iii) Regime tardio estável</w:t>
      </w:r>
    </w:p>
    <w:p w14:paraId="148A31B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A2E36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m_i^2 &gt; 0</w:t>
      </w:r>
    </w:p>
    <w:p w14:paraId="47FA7B5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59ECA0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(iv) Higuchi no setor tensorial (conecta Cap.6 ao Cap.5)</w:t>
      </w:r>
    </w:p>
    <w:p w14:paraId="67D7AF4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C526B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m_T^2 \ge 2H^2</w:t>
      </w:r>
    </w:p>
    <w:p w14:paraId="4EA2B6F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26212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(v) Modulação adiabática</w:t>
      </w:r>
    </w:p>
    <w:p w14:paraId="1A8930C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1B6F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|\dot{\beta}_n/\beta_n| \ll H</w:t>
      </w:r>
    </w:p>
    <w:p w14:paraId="5473CAD6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DFD262" wp14:editId="5696E832">
                <wp:extent cx="5731510" cy="1270"/>
                <wp:effectExtent l="0" t="31750" r="0" b="36830"/>
                <wp:docPr id="10119477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4C3A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394FAD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6.12 Fechamento narrativo: o que isso significa na linguagem da TDCP?</w:t>
      </w:r>
    </w:p>
    <w:p w14:paraId="26B29B2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80CC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Em linguagem menos formal, mas fiel:</w:t>
      </w:r>
    </w:p>
    <w:p w14:paraId="430FED3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B26A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Duplo Campo Primordial não é apenas uma história de dois universos.</w:t>
      </w:r>
    </w:p>
    <w:p w14:paraId="27D78554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2B020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Ele exige que:</w:t>
      </w:r>
    </w:p>
    <w:p w14:paraId="57CB6F79" w14:textId="77777777" w:rsidR="00420FB6" w:rsidRPr="00420FB6" w:rsidRDefault="00420FB6" w:rsidP="0042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separação entre os campos seja dinâmica,</w:t>
      </w:r>
    </w:p>
    <w:p w14:paraId="32806979" w14:textId="77777777" w:rsidR="00420FB6" w:rsidRPr="00420FB6" w:rsidRDefault="00420FB6" w:rsidP="0042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mas não destrua o universo por instabilidade,</w:t>
      </w:r>
    </w:p>
    <w:p w14:paraId="035B0BBF" w14:textId="77777777" w:rsidR="00420FB6" w:rsidRPr="00420FB6" w:rsidRDefault="00420FB6" w:rsidP="0042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 que a memória primordial (a bifurcação) seja preservada sem gerar graus patológicos.</w:t>
      </w:r>
    </w:p>
    <w:p w14:paraId="56DE481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1ADC5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O “vácuo dinâmico” não é permitido ser um motor infinito — ele deve ser um reservatório estrutural estável.</w:t>
      </w:r>
    </w:p>
    <w:p w14:paraId="11F4369C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FC28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 flecha do tempo, na TDCP, continua sendo a leitura dessa separação, mas agora sabemos:</w:t>
      </w:r>
    </w:p>
    <w:p w14:paraId="0337B12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410C5" w14:textId="77777777" w:rsidR="00420FB6" w:rsidRPr="00420FB6" w:rsidRDefault="00420FB6" w:rsidP="00420FB6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420FB6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Essa leitura só é válida se o modo relativo for estável e não fantasmático.</w:t>
      </w:r>
    </w:p>
    <w:p w14:paraId="6D5402C0" w14:textId="77777777" w:rsidR="00420FB6" w:rsidRPr="00420FB6" w:rsidRDefault="00420FB6" w:rsidP="00420FB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56A3E5" wp14:editId="74DA914F">
                <wp:extent cx="5731510" cy="1270"/>
                <wp:effectExtent l="0" t="33655" r="0" b="38735"/>
                <wp:docPr id="20986500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63B2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FA5E86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FB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20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Próximo passo natural (sem pular processos)</w:t>
      </w:r>
    </w:p>
    <w:p w14:paraId="0209230F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92AAE6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Agora sim, com o setor escalar estruturado:</w:t>
      </w:r>
    </w:p>
    <w:p w14:paraId="1CB31918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6688A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Apple Color Emoji" w:hAnsi="Apple Color Emoji" w:cs="Apple Color Emoji"/>
          <w:kern w:val="0"/>
          <w14:ligatures w14:val="none"/>
        </w:rPr>
        <w:t>👉</w:t>
      </w:r>
      <w:r w:rsidRPr="00420FB6">
        <w:rPr>
          <w:rFonts w:ascii="Times New Roman" w:hAnsi="Times New Roman" w:cs="Times New Roman"/>
          <w:kern w:val="0"/>
          <w14:ligatures w14:val="none"/>
        </w:rPr>
        <w:t xml:space="preserve"> Capítulo 7 deve ser:</w:t>
      </w:r>
    </w:p>
    <w:p w14:paraId="45754029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B506B" w14:textId="77777777" w:rsidR="00420FB6" w:rsidRPr="00420FB6" w:rsidRDefault="00420FB6" w:rsidP="0042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“Redução Quase-Estática: Equação de Poisson Modificada e Gravidade Efetiva”</w:t>
      </w:r>
    </w:p>
    <w:p w14:paraId="1EB8E57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4738AE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Isso conecta diretamente:</w:t>
      </w:r>
    </w:p>
    <w:p w14:paraId="6556451F" w14:textId="77777777" w:rsidR="00420FB6" w:rsidRPr="00420FB6" w:rsidRDefault="00420FB6" w:rsidP="0042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estabilidade → gravidade efetiva</w:t>
      </w:r>
    </w:p>
    <w:p w14:paraId="39A6B544" w14:textId="77777777" w:rsidR="00420FB6" w:rsidRPr="00420FB6" w:rsidRDefault="00420FB6" w:rsidP="0042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gravidade efetiva → formação de estruturas</w:t>
      </w:r>
    </w:p>
    <w:p w14:paraId="4B84C6F9" w14:textId="77777777" w:rsidR="00420FB6" w:rsidRPr="00420FB6" w:rsidRDefault="00420FB6" w:rsidP="0042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formação de estruturas → matéria escura observacional</w:t>
      </w:r>
    </w:p>
    <w:p w14:paraId="3FD20D0F" w14:textId="77777777" w:rsidR="00420FB6" w:rsidRPr="00420FB6" w:rsidRDefault="00420FB6" w:rsidP="00420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F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056CFA" wp14:editId="6B326E3C">
                <wp:extent cx="5731510" cy="1270"/>
                <wp:effectExtent l="0" t="33655" r="0" b="38735"/>
                <wp:docPr id="11346302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BD8F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4BC0AD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lastRenderedPageBreak/>
        <w:t>Se você aprovar, eu começo o Capítulo 7 exatamente nesse estilo:</w:t>
      </w:r>
    </w:p>
    <w:p w14:paraId="0D2BB0F3" w14:textId="77777777" w:rsidR="00420FB6" w:rsidRPr="00420FB6" w:rsidRDefault="00420FB6" w:rsidP="00420F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0FB6">
        <w:rPr>
          <w:rFonts w:ascii="Times New Roman" w:hAnsi="Times New Roman" w:cs="Times New Roman"/>
          <w:kern w:val="0"/>
          <w14:ligatures w14:val="none"/>
        </w:rPr>
        <w:t>derivação gradual + explicação conceitual + matemática suficiente para sustentar.</w:t>
      </w:r>
    </w:p>
    <w:p w14:paraId="5C0100B4" w14:textId="77777777" w:rsidR="00420FB6" w:rsidRDefault="00420FB6"/>
    <w:sectPr w:rsidR="00420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8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6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114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C35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40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17D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E2C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47A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55A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E25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235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17504">
    <w:abstractNumId w:val="6"/>
  </w:num>
  <w:num w:numId="2" w16cid:durableId="1611741070">
    <w:abstractNumId w:val="5"/>
  </w:num>
  <w:num w:numId="3" w16cid:durableId="396633025">
    <w:abstractNumId w:val="0"/>
  </w:num>
  <w:num w:numId="4" w16cid:durableId="1620838831">
    <w:abstractNumId w:val="9"/>
  </w:num>
  <w:num w:numId="5" w16cid:durableId="559172364">
    <w:abstractNumId w:val="4"/>
  </w:num>
  <w:num w:numId="6" w16cid:durableId="1737849541">
    <w:abstractNumId w:val="11"/>
  </w:num>
  <w:num w:numId="7" w16cid:durableId="1310742081">
    <w:abstractNumId w:val="7"/>
  </w:num>
  <w:num w:numId="8" w16cid:durableId="977145357">
    <w:abstractNumId w:val="10"/>
  </w:num>
  <w:num w:numId="9" w16cid:durableId="1198935682">
    <w:abstractNumId w:val="8"/>
  </w:num>
  <w:num w:numId="10" w16cid:durableId="1679388429">
    <w:abstractNumId w:val="1"/>
  </w:num>
  <w:num w:numId="11" w16cid:durableId="1877769952">
    <w:abstractNumId w:val="2"/>
  </w:num>
  <w:num w:numId="12" w16cid:durableId="758718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B6"/>
    <w:rsid w:val="00420FB6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063E56"/>
  <w15:chartTrackingRefBased/>
  <w15:docId w15:val="{E1C6FED4-BB24-CE4A-8849-E249C2F8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0F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20FB6"/>
  </w:style>
  <w:style w:type="paragraph" w:customStyle="1" w:styleId="p2">
    <w:name w:val="p2"/>
    <w:basedOn w:val="Normal"/>
    <w:rsid w:val="00420F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20FB6"/>
  </w:style>
  <w:style w:type="paragraph" w:customStyle="1" w:styleId="p3">
    <w:name w:val="p3"/>
    <w:basedOn w:val="Normal"/>
    <w:rsid w:val="00420F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20FB6"/>
  </w:style>
  <w:style w:type="character" w:customStyle="1" w:styleId="s4">
    <w:name w:val="s4"/>
    <w:basedOn w:val="DefaultParagraphFont"/>
    <w:rsid w:val="00420FB6"/>
  </w:style>
  <w:style w:type="character" w:customStyle="1" w:styleId="s5">
    <w:name w:val="s5"/>
    <w:basedOn w:val="DefaultParagraphFont"/>
    <w:rsid w:val="0042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2026-02-21T21:55:00Z</dcterms:created>
  <dcterms:modified xsi:type="dcterms:W3CDTF">2026-02-21T21:55:00Z</dcterms:modified>
</cp:coreProperties>
</file>