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Submission Report — Sub-track 1C: Searching the Way a Human Does</w:t>
      </w:r>
    </w:p>
    <w:p>
      <w:pPr>
        <w:spacing w:after="260"/>
        <w:jc w:val="center"/>
      </w:pPr>
      <w:r>
        <w:rPr>
          <w:color w:val="444444"/>
          <w:sz w:val="18"/>
          <w:szCs w:val="18"/>
        </w:rPr>
        <w:t xml:space="preserve">Team: Timesware  |  SLIIT Codefest 2026 AI Competition  |  YouTube demo link: [PASTE UNLISTED LINK HERE]</w:t>
      </w:r>
    </w:p>
    <w:p>
      <w:pPr>
        <w:pStyle w:val="Heading1"/>
        <w:spacing w:after="100" w:before="240"/>
      </w:pPr>
      <w:r>
        <w:rPr>
          <w:b/>
          <w:bCs/>
          <w:color w:val="1A1A1A"/>
          <w:sz w:val="26"/>
          <w:szCs w:val="26"/>
        </w:rPr>
        <w:t xml:space="preserve">1. Problem Statement and Chosen Sub-track</w:t>
      </w:r>
    </w:p>
    <w:p>
      <w:pPr>
        <w:spacing w:after="100"/>
      </w:pPr>
      <w:r>
        <w:t xml:space="preserve">We chose Sub-track 1C: build an assistant that answers questions over the Ashen Era Archive by searching iteratively — deciding where to look, checking whether it has enough information, and refining its search when it doesn't, rather than answering from a single retrieval pass.</w:t>
      </w:r>
    </w:p>
    <w:p>
      <w:pPr>
        <w:spacing w:after="100"/>
      </w:pPr>
      <w:r>
        <w:t xml:space="preserve">This matters for the corpus specifically because it is deliberately interconnected and unreliable: the same entities appear across novels, wiki articles, codexes, and ephemera, but sources disagree (a tavern ballad vs. an official codex entry), and no single document tells the whole story. A single-shot retrieval system cannot reliably surface conflicting sources or chase a multi-hop fact chain; ours is built specifically to do both.</w:t>
      </w:r>
    </w:p>
    <w:p>
      <w:pPr>
        <w:pStyle w:val="Heading1"/>
        <w:spacing w:after="100" w:before="240"/>
      </w:pPr>
      <w:r>
        <w:rPr>
          <w:b/>
          <w:bCs/>
          <w:color w:val="1A1A1A"/>
          <w:sz w:val="26"/>
          <w:szCs w:val="26"/>
        </w:rPr>
        <w:t xml:space="preserve">2. Solution Overview and Architecture</w:t>
      </w:r>
    </w:p>
    <w:p>
      <w:pPr>
        <w:spacing w:after="100"/>
      </w:pPr>
      <w:r>
        <w:rPr>
          <w:i/>
          <w:iCs/>
          <w:color w:val="555555"/>
          <w:sz w:val="18"/>
          <w:szCs w:val="18"/>
        </w:rPr>
        <w:t xml:space="preserve">corpus/ → ingest.py → data/chunks.jsonl → embed.py → data/chroma_db/ → orchestrator.py (retrieve → judge → refine → repeat) → cited final answer. Full diagram in docs/diagrams/.</w:t>
      </w:r>
    </w:p>
    <w:p>
      <w:pPr>
        <w:pStyle w:val="ListParagraph"/>
        <w:numPr>
          <w:ilvl w:val="0"/>
          <w:numId w:val="2"/>
        </w:numPr>
        <w:spacing w:after="80"/>
      </w:pPr>
      <w:r>
        <w:rPr>
          <w:b/>
          <w:bCs/>
        </w:rPr>
        <w:t xml:space="preserve">Ingestion (src/ingest.py) — </w:t>
      </w:r>
      <w:r>
        <w:t xml:space="preserve">parses all 415 documents across five formats (PDF, DOCX, Markdown, plain text, scanned images), with OCR for scanned content, format deduplication, and a fix for a mojibake encoding bug present in the source corpus. Produces ~5,900 text chunks.</w:t>
      </w:r>
    </w:p>
    <w:p>
      <w:pPr>
        <w:pStyle w:val="ListParagraph"/>
        <w:numPr>
          <w:ilvl w:val="0"/>
          <w:numId w:val="2"/>
        </w:numPr>
        <w:spacing w:after="80"/>
      </w:pPr>
      <w:r>
        <w:rPr>
          <w:b/>
          <w:bCs/>
        </w:rPr>
        <w:t xml:space="preserve">Embedding (src/embed.py) — </w:t>
      </w:r>
      <w:r>
        <w:t xml:space="preserve">embeds all chunks with a local sentence-transformers model (BAAI/bge-large-en-v1.5) into a local Chroma vector store.</w:t>
      </w:r>
    </w:p>
    <w:p>
      <w:pPr>
        <w:pStyle w:val="ListParagraph"/>
        <w:numPr>
          <w:ilvl w:val="0"/>
          <w:numId w:val="2"/>
        </w:numPr>
        <w:spacing w:after="80"/>
      </w:pPr>
      <w:r>
        <w:rPr>
          <w:b/>
          <w:bCs/>
        </w:rPr>
        <w:t xml:space="preserve">Orchestration (src/orchestrator.py) — </w:t>
      </w:r>
      <w:r>
        <w:t xml:space="preserve">the core 1C loop: retrieve relevant chunks, have an LLM judge whether they are sufficient to answer, refine the query if not, repeat (capped at 5 iterations), then synthesize a final cited answer that explicitly flags source conflicts.</w:t>
      </w:r>
    </w:p>
    <w:p>
      <w:pPr>
        <w:pStyle w:val="Heading1"/>
        <w:spacing w:after="100" w:before="240"/>
      </w:pPr>
      <w:r>
        <w:rPr>
          <w:b/>
          <w:bCs/>
          <w:color w:val="1A1A1A"/>
          <w:sz w:val="26"/>
          <w:szCs w:val="26"/>
        </w:rPr>
        <w:t xml:space="preserve">3. Key Technical Decisions and Why</w:t>
      </w:r>
    </w:p>
    <w:p>
      <w:pPr>
        <w:pStyle w:val="ListParagraph"/>
        <w:numPr>
          <w:ilvl w:val="0"/>
          <w:numId w:val="2"/>
        </w:numPr>
        <w:spacing w:after="80"/>
      </w:pPr>
      <w:r>
        <w:rPr>
          <w:b/>
          <w:bCs/>
        </w:rPr>
        <w:t xml:space="preserve">Local embeddings instead of Voyage AI: </w:t>
      </w:r>
      <w:r>
        <w:t xml:space="preserve">Voyage's free tier requires a payment card for usable rate limits; we chose a local model to avoid this entirely, at the cost of slower one-time embedding throughput.</w:t>
      </w:r>
    </w:p>
    <w:p>
      <w:pPr>
        <w:pStyle w:val="ListParagraph"/>
        <w:numPr>
          <w:ilvl w:val="0"/>
          <w:numId w:val="2"/>
        </w:numPr>
        <w:spacing w:after="80"/>
      </w:pPr>
      <w:r>
        <w:rPr>
          <w:b/>
          <w:bCs/>
        </w:rPr>
        <w:t xml:space="preserve">openrouter/free auto-router instead of a pinned model: </w:t>
      </w:r>
      <w:r>
        <w:t xml:space="preserve">specific free model IDs went stale (404) within the same day during development; the auto-router avoids hardcoding a slug that expires.</w:t>
      </w:r>
    </w:p>
    <w:p>
      <w:pPr>
        <w:pStyle w:val="ListParagraph"/>
        <w:numPr>
          <w:ilvl w:val="0"/>
          <w:numId w:val="2"/>
        </w:numPr>
        <w:spacing w:after="80"/>
      </w:pPr>
      <w:r>
        <w:rPr>
          <w:b/>
          <w:bCs/>
        </w:rPr>
        <w:t xml:space="preserve">Format deduplication: </w:t>
      </w:r>
      <w:r>
        <w:t xml:space="preserve">many ephemera documents exist as duplicate content across .docx/.pdf/.txt; ingesting all copies would let the system mistake one document counted twice for two independent corroborating sources.</w:t>
      </w:r>
    </w:p>
    <w:p>
      <w:pPr>
        <w:spacing w:after="100"/>
      </w:pPr>
      <w:r>
        <w:rPr>
          <w:i/>
          <w:iCs/>
          <w:color w:val="555555"/>
          <w:sz w:val="18"/>
          <w:szCs w:val="18"/>
        </w:rPr>
        <w:t xml:space="preserve">Full reasoning and trade-offs in docs/decisions.md.</w:t>
      </w:r>
    </w:p>
    <w:p>
      <w:pPr>
        <w:pStyle w:val="Heading1"/>
        <w:spacing w:after="100" w:before="240"/>
      </w:pPr>
      <w:r>
        <w:rPr>
          <w:b/>
          <w:bCs/>
          <w:color w:val="1A1A1A"/>
          <w:sz w:val="26"/>
          <w:szCs w:val="26"/>
        </w:rPr>
        <w:t xml:space="preserve">4. What Works, What Doesn't, and Limitations</w:t>
      </w:r>
    </w:p>
    <w:p>
      <w:pPr>
        <w:spacing w:after="60" w:before="100"/>
      </w:pPr>
      <w:r>
        <w:rPr>
          <w:b/>
          <w:bCs/>
          <w:sz w:val="21"/>
          <w:szCs w:val="21"/>
        </w:rPr>
        <w:t xml:space="preserve">What works well (verified by manual spot-checks against raw corpus files):</w:t>
      </w:r>
    </w:p>
    <w:p>
      <w:pPr>
        <w:pStyle w:val="ListParagraph"/>
        <w:numPr>
          <w:ilvl w:val="0"/>
          <w:numId w:val="2"/>
        </w:numPr>
        <w:spacing w:after="80"/>
      </w:pPr>
      <w:r>
        <w:t xml:space="preserve">Correctly identifies and reports genuine multi-source conflicts (e.g. Gloamreach's founding year: codex says 246 AS, an ephemera contract says 286 AS, the wiki says the matter is unresolved — the system surfaced all three rather than picking one).</w:t>
      </w:r>
    </w:p>
    <w:p>
      <w:pPr>
        <w:pStyle w:val="ListParagraph"/>
        <w:numPr>
          <w:ilvl w:val="0"/>
          <w:numId w:val="2"/>
        </w:numPr>
        <w:spacing w:after="80"/>
      </w:pPr>
      <w:r>
        <w:rPr>
          <w:b/>
          <w:bCs/>
        </w:rPr>
        <w:t xml:space="preserve">Resists fabrication under pressure: </w:t>
      </w:r>
      <w:r>
        <w:t xml:space="preserve">when asked what happened to a named individual after a specific in-world event, and the corpus genuinely doesn't say, the system iterated the full 5-search cap trying different angles and then honestly reported that the record doesn't say, rather than inventing a plausible-sounding narrative.</w:t>
      </w:r>
    </w:p>
    <w:p>
      <w:pPr>
        <w:pStyle w:val="ListParagraph"/>
        <w:numPr>
          <w:ilvl w:val="0"/>
          <w:numId w:val="2"/>
        </w:numPr>
        <w:spacing w:after="80"/>
      </w:pPr>
      <w:r>
        <w:rPr>
          <w:b/>
          <w:bCs/>
        </w:rPr>
        <w:t xml:space="preserve">Distinguishes correlation from causation: </w:t>
      </w:r>
      <w:r>
        <w:t xml:space="preserve">when asked whether a historical event was connected to a location's founding, the system noticed the two were merely thematically/physically associated and correctly declined to infer a causal link neither source supports.</w:t>
      </w:r>
    </w:p>
    <w:p>
      <w:pPr>
        <w:pStyle w:val="ListParagraph"/>
        <w:numPr>
          <w:ilvl w:val="0"/>
          <w:numId w:val="2"/>
        </w:numPr>
        <w:spacing w:after="80"/>
      </w:pPr>
      <w:r>
        <w:t xml:space="preserve">Correctly caught a false premise in the framing of one test question, refusing to accept the question's built-in assumption once evidence contradicted it.</w:t>
      </w:r>
    </w:p>
    <w:p>
      <w:pPr>
        <w:spacing w:after="60" w:before="100"/>
      </w:pPr>
      <w:r>
        <w:rPr>
          <w:b/>
          <w:bCs/>
          <w:sz w:val="21"/>
          <w:szCs w:val="21"/>
        </w:rPr>
        <w:t xml:space="preserve">What doesn't work / known limitations (full detail in docs/limitations.md):</w:t>
      </w:r>
    </w:p>
    <w:p>
      <w:pPr>
        <w:pStyle w:val="ListParagraph"/>
        <w:numPr>
          <w:ilvl w:val="0"/>
          <w:numId w:val="2"/>
        </w:numPr>
        <w:spacing w:after="80"/>
      </w:pPr>
      <w:r>
        <w:t xml:space="preserve">The free LLM router occasionally returns a non-JSON response (observed: a stray safety-classifier-style string) — mitigated with automatic retry, which succeeded in every observed case, but the underlying inconsistency is a property of the free-tier model pool.</w:t>
      </w:r>
    </w:p>
    <w:p>
      <w:pPr>
        <w:pStyle w:val="ListParagraph"/>
        <w:numPr>
          <w:ilvl w:val="0"/>
          <w:numId w:val="2"/>
        </w:numPr>
        <w:spacing w:after="80"/>
      </w:pPr>
      <w:r>
        <w:t xml:space="preserve">Some questions resolve in a single search iteration when the first retrieval happens to surface everything needed; the system has no mechanism to force a second cross-verifying search.</w:t>
      </w:r>
    </w:p>
    <w:p>
      <w:pPr>
        <w:pStyle w:val="ListParagraph"/>
        <w:numPr>
          <w:ilvl w:val="0"/>
          <w:numId w:val="2"/>
        </w:numPr>
        <w:spacing w:after="80"/>
      </w:pPr>
      <w:r>
        <w:t xml:space="preserve">Text-only — cannot handle 1A-style questions requiring diagram/image reading.</w:t>
      </w:r>
    </w:p>
    <w:p>
      <w:pPr>
        <w:pStyle w:val="ListParagraph"/>
        <w:numPr>
          <w:ilvl w:val="0"/>
          <w:numId w:val="2"/>
        </w:numPr>
        <w:spacing w:after="80"/>
      </w:pPr>
      <w:r>
        <w:t xml:space="preserve">No automated scoring against a ground-truth answer key; quality assessment relied on manual verification against corpus source files.</w:t>
      </w:r>
    </w:p>
    <w:p>
      <w:pPr>
        <w:spacing w:after="60" w:before="100"/>
      </w:pPr>
      <w:r>
        <w:rPr>
          <w:b/>
          <w:bCs/>
          <w:sz w:val="21"/>
          <w:szCs w:val="21"/>
        </w:rPr>
        <w:t xml:space="preserve">Approaches tried and changed:</w:t>
      </w:r>
    </w:p>
    <w:p>
      <w:pPr>
        <w:pStyle w:val="ListParagraph"/>
        <w:numPr>
          <w:ilvl w:val="0"/>
          <w:numId w:val="2"/>
        </w:numPr>
        <w:spacing w:after="80"/>
      </w:pPr>
      <w:r>
        <w:t xml:space="preserve">Originally planned to use Voyage AI for embeddings per the challenge document's appendix; switched to a local model after hitting the payment-card requirement.</w:t>
      </w:r>
    </w:p>
    <w:p>
      <w:pPr>
        <w:pStyle w:val="ListParagraph"/>
        <w:numPr>
          <w:ilvl w:val="0"/>
          <w:numId w:val="2"/>
        </w:numPr>
        <w:spacing w:after="80"/>
      </w:pPr>
      <w:r>
        <w:t xml:space="preserve">Originally hardcoded a specific free OpenRouter model; switched to the openrouter/free router after repeated 404s from a rotating free-tier lineup.</w:t>
      </w:r>
    </w:p>
    <w:p>
      <w:pPr>
        <w:pStyle w:val="Heading1"/>
        <w:spacing w:after="100" w:before="240"/>
      </w:pPr>
      <w:r>
        <w:rPr>
          <w:b/>
          <w:bCs/>
          <w:color w:val="1A1A1A"/>
          <w:sz w:val="26"/>
          <w:szCs w:val="26"/>
        </w:rPr>
        <w:t xml:space="preserve">5. AI Usage Disclosure</w:t>
      </w:r>
    </w:p>
    <w:p>
      <w:pPr>
        <w:spacing w:after="100"/>
      </w:pPr>
      <w:r>
        <w:t xml:space="preserve">See ai_usage/ai-usage-disclosure.md for full detail. Summary: Claude was used as a coding assistant for drafting skeleton code, debugging, and documentation; OpenRouter and a local embedding model are runtime components of the submitted system itself, not development tools. Architectural trade-off decisions were made by the team; full chat logs are included in ai_usage/claude.md.</w:t>
      </w:r>
    </w:p>
    <w:p>
      <w:pPr>
        <w:pStyle w:val="Heading1"/>
        <w:spacing w:after="100" w:before="240"/>
      </w:pPr>
      <w:r>
        <w:rPr>
          <w:b/>
          <w:bCs/>
          <w:color w:val="1A1A1A"/>
          <w:sz w:val="26"/>
          <w:szCs w:val="26"/>
        </w:rPr>
        <w:t xml:space="preserve">6. Team Members, Roles, and Contributions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33%"/>
            <w:shd w:fill="2C2C2C" w:val="clear"/>
            <w:tcMar>
              <w:top w:type="dxa" w:w="90"/>
              <w:left w:type="dxa" w:w="100"/>
              <w:bottom w:type="dxa" w:w="90"/>
              <w:right w:type="dxa" w:w="100"/>
            </w:tcMar>
          </w:tcPr>
          <w:p>
            <w:r>
              <w:rPr>
                <w:b/>
                <w:bCs/>
                <w:color w:val="FFFFFF"/>
                <w:sz w:val="18"/>
                <w:szCs w:val="18"/>
              </w:rPr>
              <w:t xml:space="preserve">Name</w:t>
            </w:r>
          </w:p>
        </w:tc>
        <w:tc>
          <w:tcPr>
            <w:tcW w:type="pct" w:w="33%"/>
            <w:shd w:fill="2C2C2C" w:val="clear"/>
            <w:tcMar>
              <w:top w:type="dxa" w:w="90"/>
              <w:left w:type="dxa" w:w="100"/>
              <w:bottom w:type="dxa" w:w="90"/>
              <w:right w:type="dxa" w:w="100"/>
            </w:tcMar>
          </w:tcPr>
          <w:p>
            <w:r>
              <w:rPr>
                <w:b/>
                <w:bCs/>
                <w:color w:val="FFFFFF"/>
                <w:sz w:val="18"/>
                <w:szCs w:val="18"/>
              </w:rPr>
              <w:t xml:space="preserve">Role</w:t>
            </w:r>
          </w:p>
        </w:tc>
        <w:tc>
          <w:tcPr>
            <w:tcW w:type="pct" w:w="33%"/>
            <w:shd w:fill="2C2C2C" w:val="clear"/>
            <w:tcMar>
              <w:top w:type="dxa" w:w="90"/>
              <w:left w:type="dxa" w:w="100"/>
              <w:bottom w:type="dxa" w:w="90"/>
              <w:right w:type="dxa" w:w="100"/>
            </w:tcMar>
          </w:tcPr>
          <w:p>
            <w:r>
              <w:rPr>
                <w:b/>
                <w:bCs/>
                <w:color w:val="FFFFFF"/>
                <w:sz w:val="18"/>
                <w:szCs w:val="18"/>
              </w:rPr>
              <w:t xml:space="preserve">Contribution</w:t>
            </w:r>
          </w:p>
        </w:tc>
      </w:tr>
      <w:tr>
        <w:trPr>
          <w:cantSplit/>
        </w:trPr>
        <w:tc>
          <w:tcPr>
            <w:tcW w:type="pct" w:w="33%"/>
            <w:tcMar>
              <w:top w:type="dxa" w:w="90"/>
              <w:left w:type="dxa" w:w="100"/>
              <w:bottom w:type="dxa" w:w="90"/>
              <w:right w:type="dxa" w:w="100"/>
            </w:tcMar>
          </w:tcPr>
          <w:p>
            <w:r>
              <w:rPr>
                <w:b/>
                <w:bCs/>
                <w:sz w:val="18"/>
                <w:szCs w:val="18"/>
              </w:rPr>
              <w:t xml:space="preserve">M.K. Hafees Ahamed</w:t>
            </w:r>
          </w:p>
        </w:tc>
        <w:tc>
          <w:tcPr>
            <w:tcW w:type="pct" w:w="33%"/>
            <w:tcMar>
              <w:top w:type="dxa" w:w="90"/>
              <w:left w:type="dxa" w:w="100"/>
              <w:bottom w:type="dxa" w:w="90"/>
              <w:right w:type="dxa" w:w="100"/>
            </w:tcMar>
          </w:tcPr>
          <w:p>
            <w:r>
              <w:rPr>
                <w:b w:val="false"/>
                <w:bCs w:val="false"/>
                <w:sz w:val="18"/>
                <w:szCs w:val="18"/>
              </w:rPr>
              <w:t xml:space="preserve">Team Leader</w:t>
            </w:r>
          </w:p>
        </w:tc>
        <w:tc>
          <w:tcPr>
            <w:tcW w:type="pct" w:w="33%"/>
            <w:tcMar>
              <w:top w:type="dxa" w:w="90"/>
              <w:left w:type="dxa" w:w="100"/>
              <w:bottom w:type="dxa" w:w="90"/>
              <w:right w:type="dxa" w:w="100"/>
            </w:tcMar>
          </w:tcPr>
          <w:p>
            <w:r>
              <w:rPr>
                <w:b w:val="false"/>
                <w:bCs w:val="false"/>
                <w:sz w:val="18"/>
                <w:szCs w:val="18"/>
              </w:rPr>
              <w:t xml:space="preserve">Led technical architecture and implementation: built the ingestion pipeline (multi-format parsing, OCR, deduplication, encoding fixes), the embedding pipeline, and the core orchestrator loop. Ran all testing and manually verified results against source documents. Coordinated repo structure, documentation, and submission packaging.</w:t>
            </w:r>
          </w:p>
        </w:tc>
      </w:tr>
      <w:tr>
        <w:trPr>
          <w:cantSplit/>
        </w:trPr>
        <w:tc>
          <w:tcPr>
            <w:tcW w:type="pct" w:w="33%"/>
            <w:tcMar>
              <w:top w:type="dxa" w:w="90"/>
              <w:left w:type="dxa" w:w="100"/>
              <w:bottom w:type="dxa" w:w="90"/>
              <w:right w:type="dxa" w:w="100"/>
            </w:tcMar>
          </w:tcPr>
          <w:p>
            <w:r>
              <w:rPr>
                <w:b w:val="false"/>
                <w:bCs w:val="false"/>
                <w:sz w:val="18"/>
                <w:szCs w:val="18"/>
              </w:rPr>
              <w:t xml:space="preserve">M.F.M. Ayyash</w:t>
            </w:r>
          </w:p>
        </w:tc>
        <w:tc>
          <w:tcPr>
            <w:tcW w:type="pct" w:w="33%"/>
            <w:tcMar>
              <w:top w:type="dxa" w:w="90"/>
              <w:left w:type="dxa" w:w="100"/>
              <w:bottom w:type="dxa" w:w="90"/>
              <w:right w:type="dxa" w:w="100"/>
            </w:tcMar>
          </w:tcPr>
          <w:p>
            <w:r>
              <w:rPr>
                <w:b w:val="false"/>
                <w:bCs w:val="false"/>
                <w:sz w:val="18"/>
                <w:szCs w:val="18"/>
              </w:rPr>
              <w:t xml:space="preserve">Team Member</w:t>
            </w:r>
          </w:p>
        </w:tc>
        <w:tc>
          <w:tcPr>
            <w:tcW w:type="pct" w:w="33%"/>
            <w:tcMar>
              <w:top w:type="dxa" w:w="90"/>
              <w:left w:type="dxa" w:w="100"/>
              <w:bottom w:type="dxa" w:w="90"/>
              <w:right w:type="dxa" w:w="100"/>
            </w:tcMar>
          </w:tcPr>
          <w:p>
            <w:r>
              <w:rPr>
                <w:b w:val="false"/>
                <w:bCs w:val="false"/>
                <w:sz w:val="18"/>
                <w:szCs w:val="18"/>
              </w:rPr>
              <w:t xml:space="preserve">Corpus analysis and question design: reviewed the archive's document types and cross-references to identify entities suited to multi-hop testing, and contributed candidate stress-test questions used to validate the orchestrator's search behavior.</w:t>
            </w:r>
          </w:p>
        </w:tc>
      </w:tr>
      <w:tr>
        <w:trPr>
          <w:cantSplit/>
        </w:trPr>
        <w:tc>
          <w:tcPr>
            <w:tcW w:type="pct" w:w="33%"/>
            <w:tcMar>
              <w:top w:type="dxa" w:w="90"/>
              <w:left w:type="dxa" w:w="100"/>
              <w:bottom w:type="dxa" w:w="90"/>
              <w:right w:type="dxa" w:w="100"/>
            </w:tcMar>
          </w:tcPr>
          <w:p>
            <w:r>
              <w:rPr>
                <w:b w:val="false"/>
                <w:bCs w:val="false"/>
                <w:sz w:val="18"/>
                <w:szCs w:val="18"/>
              </w:rPr>
              <w:t xml:space="preserve">M.A.M. Assadh</w:t>
            </w:r>
          </w:p>
        </w:tc>
        <w:tc>
          <w:tcPr>
            <w:tcW w:type="pct" w:w="33%"/>
            <w:tcMar>
              <w:top w:type="dxa" w:w="90"/>
              <w:left w:type="dxa" w:w="100"/>
              <w:bottom w:type="dxa" w:w="90"/>
              <w:right w:type="dxa" w:w="100"/>
            </w:tcMar>
          </w:tcPr>
          <w:p>
            <w:r>
              <w:rPr>
                <w:b w:val="false"/>
                <w:bCs w:val="false"/>
                <w:sz w:val="18"/>
                <w:szCs w:val="18"/>
              </w:rPr>
              <w:t xml:space="preserve">Team Member</w:t>
            </w:r>
          </w:p>
        </w:tc>
        <w:tc>
          <w:tcPr>
            <w:tcW w:type="pct" w:w="33%"/>
            <w:tcMar>
              <w:top w:type="dxa" w:w="90"/>
              <w:left w:type="dxa" w:w="100"/>
              <w:bottom w:type="dxa" w:w="90"/>
              <w:right w:type="dxa" w:w="100"/>
            </w:tcMar>
          </w:tcPr>
          <w:p>
            <w:r>
              <w:rPr>
                <w:b w:val="false"/>
                <w:bCs w:val="false"/>
                <w:sz w:val="18"/>
                <w:szCs w:val="18"/>
              </w:rPr>
              <w:t xml:space="preserve">Testing and quality review: cross-checked orchestrator answers against raw corpus source files to confirm accuracy and flag discrepancies, and reviewed documentation drafts for completeness and clarity.</w:t>
            </w:r>
          </w:p>
        </w:tc>
      </w:tr>
      <w:tr>
        <w:trPr>
          <w:cantSplit/>
        </w:trPr>
        <w:tc>
          <w:tcPr>
            <w:tcW w:type="pct" w:w="33%"/>
            <w:tcMar>
              <w:top w:type="dxa" w:w="90"/>
              <w:left w:type="dxa" w:w="100"/>
              <w:bottom w:type="dxa" w:w="90"/>
              <w:right w:type="dxa" w:w="100"/>
            </w:tcMar>
          </w:tcPr>
          <w:p>
            <w:r>
              <w:rPr>
                <w:b w:val="false"/>
                <w:bCs w:val="false"/>
                <w:sz w:val="18"/>
                <w:szCs w:val="18"/>
              </w:rPr>
              <w:t xml:space="preserve">M.N. Aamir</w:t>
            </w:r>
          </w:p>
        </w:tc>
        <w:tc>
          <w:tcPr>
            <w:tcW w:type="pct" w:w="33%"/>
            <w:tcMar>
              <w:top w:type="dxa" w:w="90"/>
              <w:left w:type="dxa" w:w="100"/>
              <w:bottom w:type="dxa" w:w="90"/>
              <w:right w:type="dxa" w:w="100"/>
            </w:tcMar>
          </w:tcPr>
          <w:p>
            <w:r>
              <w:rPr>
                <w:b w:val="false"/>
                <w:bCs w:val="false"/>
                <w:sz w:val="18"/>
                <w:szCs w:val="18"/>
              </w:rPr>
              <w:t xml:space="preserve">Team Member</w:t>
            </w:r>
          </w:p>
        </w:tc>
        <w:tc>
          <w:tcPr>
            <w:tcW w:type="pct" w:w="33%"/>
            <w:tcMar>
              <w:top w:type="dxa" w:w="90"/>
              <w:left w:type="dxa" w:w="100"/>
              <w:bottom w:type="dxa" w:w="90"/>
              <w:right w:type="dxa" w:w="100"/>
            </w:tcMar>
          </w:tcPr>
          <w:p>
            <w:r>
              <w:rPr>
                <w:b w:val="false"/>
                <w:bCs w:val="false"/>
                <w:sz w:val="18"/>
                <w:szCs w:val="18"/>
              </w:rPr>
              <w:t xml:space="preserve">Deliverables and presentation: prepared the demo video plan and live-demo script, assembled the submission report content, and helped organize the Git repository and AI usage disclosure materials.</w:t>
            </w:r>
          </w:p>
        </w:tc>
      </w:tr>
    </w:tbl>
    <w:p>
      <w:pPr>
        <w:spacing w:before="160"/>
      </w:pPr>
      <w:r>
        <w:rPr>
          <w:i/>
          <w:iCs/>
          <w:color w:val="777777"/>
          <w:sz w:val="16"/>
          <w:szCs w:val="16"/>
        </w:rPr>
        <w:t xml:space="preserve">Note: contribution descriptions were drafted based on typical role division for this project structure — please review and adjust to accurately reflect each member's actual work before final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2026-09-08T07:58:29.000Z</dcterms:created>
  <dcterms:modified xsi:type="dcterms:W3CDTF">2026-09-08T07:58:29.000Z</dcterms:modified>
</cp:coreProperties>
</file>

<file path=docProps/custom.xml><?xml version="1.0" encoding="utf-8"?>
<Properties xmlns="http://schemas.openxmlformats.org/officeDocument/2006/custom-properties" xmlns:vt="http://schemas.openxmlformats.org/officeDocument/2006/docPropsVTypes"/>
</file>