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160"/>
        <w:jc w:val="center"/>
      </w:pPr>
      <w:r>
        <w:rPr>
          <w:rFonts w:ascii="Source Sans 3" w:hAnsi="Source Sans 3" w:cs="Source Sans 3"/>
          <w:b/>
          <w:color w:val="111827"/>
          <w:sz w:val="40"/>
          <w:szCs w:val="40"/>
        </w:rPr>
        <w:t xml:space="preserve">Effects of Light Cycle on Growth of Basil Seedlings</w:t>
      </w:r>
    </w:p>
    <w:p>
      <w:pPr>
        <w:spacing w:after="40"/>
        <w:jc w:val="center"/>
      </w:pPr>
      <w:r>
        <w:rPr>
          <w:sz w:val="22"/>
          <w:szCs w:val="22"/>
        </w:rPr>
        <w:t xml:space="preserve">A. Researcher</w:t>
      </w:r>
      <w:r>
        <w:rPr>
          <w:sz w:val="16"/>
          <w:szCs w:val="16"/>
        </w:rPr>
        <w:t xml:space="preserve">¹</w:t>
      </w:r>
      <w:r>
        <w:rPr>
          <w:sz w:val="22"/>
          <w:szCs w:val="22"/>
        </w:rPr>
        <w:t xml:space="preserve">,  B. Colleague</w:t>
      </w:r>
      <w:r>
        <w:rPr>
          <w:sz w:val="16"/>
          <w:szCs w:val="16"/>
        </w:rPr>
        <w:t xml:space="preserve">²</w:t>
      </w:r>
    </w:p>
    <w:p>
      <w:pPr>
        <w:spacing w:after="360"/>
        <w:jc w:val="center"/>
      </w:pPr>
      <w:r>
        <w:rPr>
          <w:color w:val="6B7280"/>
          <w:sz w:val="18"/>
          <w:szCs w:val="18"/>
        </w:rPr>
        <w:t xml:space="preserve">¹ Department of Plant Science, Example University   ² Institute of Growth Studies</w:t>
      </w:r>
    </w:p>
    <w:p>
      <w:pPr>
        <w:pBdr>
          <w:left w:val="single" w:sz="18" w:space="8" w:color="1E3A8A"/>
        </w:pBdr>
        <w:shd w:val="clear" w:color="auto" w:fill="EEF2FF"/>
        <w:spacing w:after="360"/>
      </w:pPr>
      <w:r>
        <w:rPr>
          <w:b/>
        </w:rPr>
        <w:t xml:space="preserve">Abstract. </w:t>
      </w:r>
      <w:r>
        <w:t xml:space="preserve">We compared basil seedlings grown under 12, 16 and 20 hours of light a day. Plants under 16 hours grew 31% more leaf mass than those under 12 hours, while 20 hours gave no further gain. These results suggest a practical light cycle for indoor growers.</w:t>
      </w:r>
    </w:p>
    <w:p>
      <w:pPr>
        <w:pStyle w:val="Heading1"/>
        <w:keepNext/>
      </w:pPr>
      <w:r>
        <w:t xml:space="preserve">1. Introduction</w:t>
      </w:r>
    </w:p>
    <w:p>
      <w:pPr/>
      <w:r>
        <w:t xml:space="preserve">Indoor growers often run lights for as long as possible, but longer cycles cost energy and may stress plants. Few studies measure the gain from each extra hour for common herbs.</w:t>
      </w:r>
    </w:p>
    <w:p>
      <w:pPr>
        <w:pStyle w:val="Heading1"/>
        <w:keepNext/>
      </w:pPr>
      <w:r>
        <w:t xml:space="preserve">2. Methods</w:t>
      </w:r>
    </w:p>
    <w:p>
      <w:pPr/>
      <w:r>
        <w:t xml:space="preserve">Ninety seedlings were split into three groups of thirty and grown for six weeks at 22 °C. Leaf mass was weighed every week.</w:t>
      </w:r>
    </w:p>
    <w:p>
      <w:pPr>
        <w:pStyle w:val="Heading1"/>
        <w:keepNext/>
      </w:pPr>
      <w:r>
        <w:t xml:space="preserve">3. Results</w:t>
      </w:r>
    </w:p>
    <w:tbl>
      <w:tblPr>
        <w:tblW w:w="9600" w:type="dxa"/>
        <w:tblLayout w:type="fixed"/>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100" w:type="dxa"/>
          <w:left w:w="120" w:type="dxa"/>
          <w:bottom w:w="100" w:type="dxa"/>
          <w:right w:w="120" w:type="dxa"/>
        </w:tblCellMar>
      </w:tblPr>
      <w:tblGrid>
        <w:gridCol w:w="3200"/>
        <w:gridCol w:w="3200"/>
        <w:gridCol w:w="3200"/>
      </w:tblGrid>
      <w:tr>
        <w:trPr>
          <w:tblHeader/>
        </w:trPr>
        <w:tc>
          <w:tcPr>
            <w:tcW w:w="3200" w:type="dxa"/>
            <w:shd w:val="clear" w:color="auto" w:fill="1E3A8A"/>
            <w:vAlign w:val="center"/>
          </w:tcPr>
          <w:p>
            <w:pPr>
              <w:spacing w:after="0"/>
              <w:jc w:val="left"/>
            </w:pPr>
            <w:r>
              <w:rPr>
                <w:b/>
                <w:color w:val="FFFFFF"/>
              </w:rPr>
              <w:t xml:space="preserve">Light per day</w:t>
            </w:r>
          </w:p>
        </w:tc>
        <w:tc>
          <w:tcPr>
            <w:tcW w:w="3200" w:type="dxa"/>
            <w:shd w:val="clear" w:color="auto" w:fill="1E3A8A"/>
            <w:vAlign w:val="center"/>
          </w:tcPr>
          <w:p>
            <w:pPr>
              <w:spacing w:after="0"/>
              <w:jc w:val="center"/>
            </w:pPr>
            <w:r>
              <w:rPr>
                <w:b/>
                <w:color w:val="FFFFFF"/>
              </w:rPr>
              <w:t xml:space="preserve">Leaf mass (g)</w:t>
            </w:r>
          </w:p>
        </w:tc>
        <w:tc>
          <w:tcPr>
            <w:tcW w:w="3200" w:type="dxa"/>
            <w:shd w:val="clear" w:color="auto" w:fill="1E3A8A"/>
            <w:vAlign w:val="center"/>
          </w:tcPr>
          <w:p>
            <w:pPr>
              <w:spacing w:after="0"/>
              <w:jc w:val="center"/>
            </w:pPr>
            <w:r>
              <w:rPr>
                <w:b/>
                <w:color w:val="FFFFFF"/>
              </w:rPr>
              <w:t xml:space="preserve">Change</w:t>
            </w:r>
          </w:p>
        </w:tc>
      </w:tr>
      <w:tr>
        <w:tc>
          <w:tcPr>
            <w:tcW w:w="3200" w:type="dxa"/>
            <w:vAlign w:val="center"/>
          </w:tcPr>
          <w:p>
            <w:pPr>
              <w:spacing w:after="0"/>
              <w:jc w:val="left"/>
            </w:pPr>
            <w:r>
              <w:t xml:space="preserve">12 h</w:t>
            </w:r>
          </w:p>
        </w:tc>
        <w:tc>
          <w:tcPr>
            <w:tcW w:w="3200" w:type="dxa"/>
            <w:vAlign w:val="center"/>
          </w:tcPr>
          <w:p>
            <w:pPr>
              <w:spacing w:after="0"/>
              <w:jc w:val="center"/>
            </w:pPr>
            <w:r>
              <w:t xml:space="preserve">4.2 ± 0.5</w:t>
            </w:r>
          </w:p>
        </w:tc>
        <w:tc>
          <w:tcPr>
            <w:tcW w:w="3200" w:type="dxa"/>
            <w:vAlign w:val="center"/>
          </w:tcPr>
          <w:p>
            <w:pPr>
              <w:spacing w:after="0"/>
              <w:jc w:val="center"/>
            </w:pPr>
            <w:r>
              <w:t xml:space="preserve">—</w:t>
            </w:r>
          </w:p>
        </w:tc>
      </w:tr>
      <w:tr>
        <w:tc>
          <w:tcPr>
            <w:tcW w:w="3200" w:type="dxa"/>
            <w:shd w:val="clear" w:color="auto" w:fill="EEF2FF"/>
            <w:vAlign w:val="center"/>
          </w:tcPr>
          <w:p>
            <w:pPr>
              <w:spacing w:after="0"/>
              <w:jc w:val="left"/>
            </w:pPr>
            <w:r>
              <w:t xml:space="preserve">16 h</w:t>
            </w:r>
          </w:p>
        </w:tc>
        <w:tc>
          <w:tcPr>
            <w:tcW w:w="3200" w:type="dxa"/>
            <w:shd w:val="clear" w:color="auto" w:fill="EEF2FF"/>
            <w:vAlign w:val="center"/>
          </w:tcPr>
          <w:p>
            <w:pPr>
              <w:spacing w:after="0"/>
              <w:jc w:val="center"/>
            </w:pPr>
            <w:r>
              <w:t xml:space="preserve">5.5 ± 0.6</w:t>
            </w:r>
          </w:p>
        </w:tc>
        <w:tc>
          <w:tcPr>
            <w:tcW w:w="3200" w:type="dxa"/>
            <w:shd w:val="clear" w:color="auto" w:fill="EEF2FF"/>
            <w:vAlign w:val="center"/>
          </w:tcPr>
          <w:p>
            <w:pPr>
              <w:spacing w:after="0"/>
              <w:jc w:val="center"/>
            </w:pPr>
            <w:r>
              <w:t xml:space="preserve">+31%</w:t>
            </w:r>
          </w:p>
        </w:tc>
      </w:tr>
      <w:tr>
        <w:tc>
          <w:tcPr>
            <w:tcW w:w="3200" w:type="dxa"/>
            <w:vAlign w:val="center"/>
          </w:tcPr>
          <w:p>
            <w:pPr>
              <w:spacing w:after="0"/>
              <w:jc w:val="left"/>
            </w:pPr>
            <w:r>
              <w:t xml:space="preserve">20 h</w:t>
            </w:r>
          </w:p>
        </w:tc>
        <w:tc>
          <w:tcPr>
            <w:tcW w:w="3200" w:type="dxa"/>
            <w:vAlign w:val="center"/>
          </w:tcPr>
          <w:p>
            <w:pPr>
              <w:spacing w:after="0"/>
              <w:jc w:val="center"/>
            </w:pPr>
            <w:r>
              <w:t xml:space="preserve">5.6 ± 0.7</w:t>
            </w:r>
          </w:p>
        </w:tc>
        <w:tc>
          <w:tcPr>
            <w:tcW w:w="3200" w:type="dxa"/>
            <w:vAlign w:val="center"/>
          </w:tcPr>
          <w:p>
            <w:pPr>
              <w:spacing w:after="0"/>
              <w:jc w:val="center"/>
            </w:pPr>
            <w:r>
              <w:t xml:space="preserve">+33%</w:t>
            </w:r>
          </w:p>
        </w:tc>
      </w:tr>
    </w:tbl>
    <w:p>
      <w:pPr>
        <w:spacing w:after="80"/>
      </w:pPr>
      <w:r>
        <w:t xml:space="preserve"/>
      </w:r>
    </w:p>
    <w:p>
      <w:pPr/>
      <w:r>
        <w:rPr>
          <w:b/>
          <w:sz w:val="19"/>
          <w:szCs w:val="19"/>
        </w:rPr>
        <w:t xml:space="preserve">Table 1. </w:t>
      </w:r>
      <w:r>
        <w:rPr>
          <w:i/>
          <w:sz w:val="19"/>
          <w:szCs w:val="19"/>
        </w:rPr>
        <w:t xml:space="preserve">Mean leaf mass after six weeks (± standard deviation).</w:t>
      </w:r>
    </w:p>
    <w:p>
      <w:pPr>
        <w:pStyle w:val="Heading1"/>
        <w:keepNext/>
      </w:pPr>
      <w:r>
        <w:t xml:space="preserve">4. Discussion</w:t>
      </w:r>
    </w:p>
    <w:p>
      <w:pPr/>
      <w:r>
        <w:t xml:space="preserve">Gains level off after 16 hours. Growers can save about a fifth of their lighting energy with no loss of yield.</w:t>
      </w:r>
    </w:p>
    <w:p>
      <w:pPr>
        <w:pStyle w:val="Heading1"/>
        <w:keepNext/>
      </w:pPr>
      <w:r>
        <w:t xml:space="preserve">References</w:t>
      </w:r>
    </w:p>
    <w:p>
      <w:pPr>
        <w:pStyle w:val="ListParagraph"/>
        <w:numPr>
          <w:ilvl w:val="0"/>
          <w:numId w:val="2"/>
        </w:numPr>
        <w:spacing w:after="60"/>
      </w:pPr>
      <w:r>
        <w:t xml:space="preserve">Author, A. (2024). Light and herb growth. Journal of Indoor Growing, 12(3), 45–52.</w:t>
      </w:r>
    </w:p>
    <w:p>
      <w:pPr>
        <w:pStyle w:val="ListParagraph"/>
        <w:numPr>
          <w:ilvl w:val="0"/>
          <w:numId w:val="2"/>
        </w:numPr>
        <w:spacing w:after="60"/>
      </w:pPr>
      <w:r>
        <w:t xml:space="preserve">Author, B. &amp; Writer, C. (2025). Energy use in vertical farms. Plant Systems, 8, 101–118.</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Source Serif 4" w:hAnsi="Source Serif 4"/>
        <w:color w:val="1E3A8A"/>
      </w:rPr>
    </w:lvl>
  </w:abstractNum>
  <w:abstractNum w:abstractNumId="1">
    <w:multiLevelType w:val="singleLevel"/>
    <w:lvl w:ilvl="0">
      <w:start w:val="1"/>
      <w:numFmt w:val="decimal"/>
      <w:lvlText w:val="%1."/>
      <w:lvlJc w:val="left"/>
      <w:pPr>
        <w:ind w:left="720" w:hanging="360"/>
      </w:pPr>
      <w:rPr>
        <w:color w:val="1E3A8A"/>
      </w:r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Source Serif 4" w:hAnsi="Source Serif 4" w:eastAsia="Source Serif 4" w:cs="Source Serif 4"/>
        <w:color w:val="222222"/>
        <w:sz w:val="22"/>
        <w:szCs w:val="22"/>
        <w:lang w:val="en-US"/>
      </w:rPr>
    </w:rPrDefault>
    <w:pPrDefault>
      <w:pPr>
        <w:spacing w:after="140" w:line="288" w:lineRule="auto"/>
      </w:pPr>
    </w:pPrDefault>
  </w:docDefaults>
  <w:style w:type="paragraph" w:styleId="Normal">
    <w:name w:val="Normal"/>
    <w:next w:val="Normal"/>
    <w:qFormat/>
    <w:pPr/>
    <w:rPr/>
  </w:style>
  <w:style w:type="paragraph" w:styleId="Title">
    <w:name w:val="Title"/>
    <w:basedOn w:val="Normal"/>
    <w:next w:val="Normal"/>
    <w:qFormat/>
    <w:pPr>
      <w:spacing w:before="0" w:after="120" w:line="240" w:lineRule="auto"/>
    </w:pPr>
    <w:rPr>
      <w:rFonts w:ascii="Source Sans 3" w:hAnsi="Source Sans 3" w:cs="Source Sans 3"/>
      <w:b/>
      <w:color w:val="1E3A8A"/>
      <w:sz w:val="64"/>
      <w:szCs w:val="64"/>
    </w:rPr>
  </w:style>
  <w:style w:type="paragraph" w:styleId="Subtitle">
    <w:name w:val="Subtitle"/>
    <w:basedOn w:val="Normal"/>
    <w:next w:val="Normal"/>
    <w:qFormat/>
    <w:pPr>
      <w:spacing w:after="360"/>
    </w:pPr>
    <w:rPr>
      <w:color w:val="666666"/>
      <w:sz w:val="30"/>
      <w:szCs w:val="30"/>
    </w:rPr>
  </w:style>
  <w:style w:type="paragraph" w:styleId="Heading1">
    <w:name w:val="heading 1"/>
    <w:basedOn w:val="Normal"/>
    <w:next w:val="Normal"/>
    <w:qFormat/>
    <w:pPr>
      <w:keepNext/>
      <w:spacing w:before="360" w:after="120"/>
      <w:outlineLvl w:val="0"/>
    </w:pPr>
    <w:rPr>
      <w:rFonts w:ascii="Source Sans 3" w:hAnsi="Source Sans 3" w:cs="Source Sans 3"/>
      <w:b/>
      <w:color w:val="1E3A8A"/>
      <w:sz w:val="34"/>
      <w:szCs w:val="34"/>
    </w:rPr>
  </w:style>
  <w:style w:type="paragraph" w:styleId="Heading2">
    <w:name w:val="heading 2"/>
    <w:basedOn w:val="Normal"/>
    <w:next w:val="Normal"/>
    <w:qFormat/>
    <w:pPr>
      <w:keepNext/>
      <w:spacing w:before="240" w:after="80"/>
      <w:outlineLvl w:val="1"/>
    </w:pPr>
    <w:rPr>
      <w:rFonts w:ascii="Source Sans 3" w:hAnsi="Source Sans 3" w:cs="Source Sans 3"/>
      <w:b/>
      <w:color w:val="222222"/>
      <w:sz w:val="26"/>
      <w:szCs w:val="26"/>
    </w:rPr>
  </w:style>
  <w:style w:type="paragraph" w:styleId="Heading3">
    <w:name w:val="heading 3"/>
    <w:basedOn w:val="Normal"/>
    <w:next w:val="Normal"/>
    <w:qFormat/>
    <w:pPr>
      <w:keepNext/>
      <w:spacing w:before="200" w:after="60"/>
      <w:outlineLvl w:val="2"/>
    </w:pPr>
    <w:rPr>
      <w:rFonts w:ascii="Source Sans 3" w:hAnsi="Source Sans 3" w:cs="Source Sans 3"/>
      <w:b/>
      <w:caps/>
      <w:color w:val="1E3A8A"/>
      <w:spacing w:val="20"/>
      <w:sz w:val="20"/>
      <w:szCs w:val="20"/>
    </w:rPr>
  </w:style>
  <w:style w:type="paragraph" w:styleId="ListParagraph">
    <w:name w:val="List Paragraph"/>
    <w:basedOn w:val="Normal"/>
    <w:next w:val="Normal"/>
    <w:qFormat/>
    <w:pPr>
      <w:ind w:left="72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app.xml><?xml version="1.0" encoding="utf-8"?>
<Properties xmlns="http://schemas.openxmlformats.org/officeDocument/2006/extended-properties">
  <Application>Craft Suite</Application>
</Properties>
</file>

<file path=docProps/core.xml><?xml version="1.0" encoding="utf-8"?>
<cp:coreProperties xmlns:cp="http://schemas.openxmlformats.org/package/2006/metadata/core-properties" xmlns:dc="http://purl.org/dc/elements/1.1/" xmlns:dcterms="http://purl.org/dc/terms/" xmlns:xsi="http://www.w3.org/2001/XMLSchema-instance">
  <dc:title>Research paper</dc:title>
  <dc:subject/>
  <dc:creator>Craft Suite</dc:creator>
  <cp:keywords>template</cp:keywords>
  <dcterms:created xsi:type="dcterms:W3CDTF">2026-01-01T00:00:00Z</dcterms:created>
</cp:coreProperties>
</file>