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rPr>
          <w:b/>
          <w:color w:val="0F766E"/>
          <w:spacing w:val="60"/>
          <w:sz w:val="20"/>
          <w:szCs w:val="20"/>
        </w:rPr>
        <w:t xml:space="preserve">ANNUAL REPORT 2026</w:t>
      </w:r>
    </w:p>
    <w:p>
      <w:pPr>
        <w:pStyle w:val="Title"/>
      </w:pPr>
      <w:r>
        <w:t xml:space="preserve">Growing Together</w:t>
      </w:r>
    </w:p>
    <w:p>
      <w:pPr>
        <w:pStyle w:val="Subtitle"/>
      </w:pPr>
      <w:r>
        <w:t xml:space="preserve">A year of steady progress across our three regions</w:t>
      </w:r>
    </w:p>
    <w:p>
      <w:pPr>
        <w:pBdr>
          <w:bottom w:val="single" w:sz="8" w:space="6" w:color="D1D5DB"/>
        </w:pBdr>
        <w:spacing w:after="480"/>
      </w:pPr>
      <w:r>
        <w:rPr>
          <w:color w:val="6B7280"/>
          <w:sz w:val="20"/>
          <w:szCs w:val="20"/>
        </w:rPr>
        <w:t xml:space="preserve">Prepared by the Strategy Team · October 2026</w:t>
      </w:r>
    </w:p>
    <w:p>
      <w:pPr>
        <w:pStyle w:val="Heading1"/>
        <w:keepNext/>
      </w:pPr>
      <w:r>
        <w:t xml:space="preserve">Executive summary</w:t>
      </w:r>
    </w:p>
    <w:p>
      <w:pPr/>
      <w:r>
        <w:t xml:space="preserve">Revenue grew 18% while costs rose only 6%. Customer satisfaction reached its highest level since we began measuring it, and two new offices opened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Revenue: </w:t>
      </w:r>
      <w:r>
        <w:t xml:space="preserve">$4.8 million, up 18% from last year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Customers: </w:t>
      </w:r>
      <w:r>
        <w:t xml:space="preserve">1,240 active accounts, 210 of them new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</w:rPr>
        <w:t xml:space="preserve">Team: </w:t>
      </w:r>
      <w:r>
        <w:t xml:space="preserve">54 people in three regions</w:t>
      </w:r>
    </w:p>
    <w:p>
      <w:pPr>
        <w:pStyle w:val="Heading1"/>
        <w:keepNext/>
      </w:pPr>
      <w:r>
        <w:t xml:space="preserve">Results by region</w:t>
      </w:r>
    </w:p>
    <w:tbl>
      <w:tblPr>
        <w:tblW w:w="940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600"/>
        <w:gridCol w:w="2200"/>
        <w:gridCol w:w="2200"/>
        <w:gridCol w:w="2400"/>
      </w:tblGrid>
      <w:tr>
        <w:trPr>
          <w:tblHeader/>
        </w:trPr>
        <w:tc>
          <w:tcPr>
            <w:tcW w:w="2600" w:type="dxa"/>
            <w:shd w:val="clear" w:color="auto" w:fill="0F766E"/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Region</w:t>
            </w:r>
          </w:p>
        </w:tc>
        <w:tc>
          <w:tcPr>
            <w:tcW w:w="2200" w:type="dxa"/>
            <w:shd w:val="clear" w:color="auto" w:fill="0F766E"/>
            <w:vAlign w:val="center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 xml:space="preserve">Revenue</w:t>
            </w:r>
          </w:p>
        </w:tc>
        <w:tc>
          <w:tcPr>
            <w:tcW w:w="2200" w:type="dxa"/>
            <w:shd w:val="clear" w:color="auto" w:fill="0F766E"/>
            <w:vAlign w:val="center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 xml:space="preserve">Growth</w:t>
            </w:r>
          </w:p>
        </w:tc>
        <w:tc>
          <w:tcPr>
            <w:tcW w:w="2400" w:type="dxa"/>
            <w:shd w:val="clear" w:color="auto" w:fill="0F766E"/>
            <w:vAlign w:val="center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 xml:space="preserve">Satisfaction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  <w:jc w:val="left"/>
            </w:pPr>
            <w:r>
              <w:t xml:space="preserve">North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  <w:jc w:val="right"/>
            </w:pPr>
            <w:r>
              <w:t xml:space="preserve">$1.9 M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  <w:jc w:val="right"/>
            </w:pPr>
            <w:r>
              <w:t xml:space="preserve">+22%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  <w:jc w:val="right"/>
            </w:pPr>
            <w:r>
              <w:t xml:space="preserve">92%</w:t>
            </w:r>
          </w:p>
        </w:tc>
      </w:tr>
      <w:tr>
        <w:tc>
          <w:tcPr>
            <w:tcW w:w="2600" w:type="dxa"/>
            <w:shd w:val="clear" w:color="auto" w:fill="F0FDFA"/>
            <w:vAlign w:val="center"/>
          </w:tcPr>
          <w:p>
            <w:pPr>
              <w:spacing w:after="0"/>
              <w:jc w:val="left"/>
            </w:pPr>
            <w:r>
              <w:t xml:space="preserve">Central</w:t>
            </w:r>
          </w:p>
        </w:tc>
        <w:tc>
          <w:tcPr>
            <w:tcW w:w="2200" w:type="dxa"/>
            <w:shd w:val="clear" w:color="auto" w:fill="F0FDFA"/>
            <w:vAlign w:val="center"/>
          </w:tcPr>
          <w:p>
            <w:pPr>
              <w:spacing w:after="0"/>
              <w:jc w:val="right"/>
            </w:pPr>
            <w:r>
              <w:t xml:space="preserve">$1.6 M</w:t>
            </w:r>
          </w:p>
        </w:tc>
        <w:tc>
          <w:tcPr>
            <w:tcW w:w="2200" w:type="dxa"/>
            <w:shd w:val="clear" w:color="auto" w:fill="F0FDFA"/>
            <w:vAlign w:val="center"/>
          </w:tcPr>
          <w:p>
            <w:pPr>
              <w:spacing w:after="0"/>
              <w:jc w:val="right"/>
            </w:pPr>
            <w:r>
              <w:t xml:space="preserve">+15%</w:t>
            </w:r>
          </w:p>
        </w:tc>
        <w:tc>
          <w:tcPr>
            <w:tcW w:w="2400" w:type="dxa"/>
            <w:shd w:val="clear" w:color="auto" w:fill="F0FDFA"/>
            <w:vAlign w:val="center"/>
          </w:tcPr>
          <w:p>
            <w:pPr>
              <w:spacing w:after="0"/>
              <w:jc w:val="right"/>
            </w:pPr>
            <w:r>
              <w:t xml:space="preserve">89%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0"/>
              <w:jc w:val="left"/>
            </w:pPr>
            <w:r>
              <w:t xml:space="preserve">South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  <w:jc w:val="right"/>
            </w:pPr>
            <w:r>
              <w:t xml:space="preserve">$1.3 M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  <w:jc w:val="right"/>
            </w:pPr>
            <w:r>
              <w:t xml:space="preserve">+16%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  <w:jc w:val="right"/>
            </w:pPr>
            <w:r>
              <w:t xml:space="preserve">90%</w:t>
            </w:r>
          </w:p>
        </w:tc>
      </w:tr>
      <w:tr>
        <w:tc>
          <w:tcPr>
            <w:tcW w:w="2600" w:type="dxa"/>
            <w:shd w:val="clear" w:color="auto" w:fill="F0FDFA"/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Total</w:t>
            </w:r>
          </w:p>
        </w:tc>
        <w:tc>
          <w:tcPr>
            <w:tcW w:w="2200" w:type="dxa"/>
            <w:shd w:val="clear" w:color="auto" w:fill="F0FDFA"/>
            <w:vAlign w:val="center"/>
          </w:tcPr>
          <w:p>
            <w:pPr>
              <w:spacing w:after="0"/>
              <w:jc w:val="right"/>
            </w:pPr>
            <w:r>
              <w:rPr>
                <w:b/>
              </w:rPr>
              <w:t xml:space="preserve">$4.8 M</w:t>
            </w:r>
          </w:p>
        </w:tc>
        <w:tc>
          <w:tcPr>
            <w:tcW w:w="2200" w:type="dxa"/>
            <w:shd w:val="clear" w:color="auto" w:fill="F0FDFA"/>
            <w:vAlign w:val="center"/>
          </w:tcPr>
          <w:p>
            <w:pPr>
              <w:spacing w:after="0"/>
              <w:jc w:val="right"/>
            </w:pPr>
            <w:r>
              <w:rPr>
                <w:b/>
              </w:rPr>
              <w:t xml:space="preserve">+18%</w:t>
            </w:r>
          </w:p>
        </w:tc>
        <w:tc>
          <w:tcPr>
            <w:tcW w:w="2400" w:type="dxa"/>
            <w:shd w:val="clear" w:color="auto" w:fill="F0FDFA"/>
            <w:vAlign w:val="center"/>
          </w:tcPr>
          <w:p>
            <w:pPr>
              <w:spacing w:after="0"/>
              <w:jc w:val="right"/>
            </w:pPr>
            <w:r>
              <w:rPr>
                <w:b/>
              </w:rPr>
              <w:t xml:space="preserve">90%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What we learned</w:t>
      </w:r>
    </w:p>
    <w:p>
      <w:pPr>
        <w:pStyle w:val="Heading2"/>
        <w:keepNext/>
      </w:pPr>
      <w:r>
        <w:t xml:space="preserve">Customers value speed</w:t>
      </w:r>
    </w:p>
    <w:p>
      <w:pPr/>
      <w:r>
        <w:t xml:space="preserve">Accounts that received a reply within one hour renewed twice as often. Next year every region will staff an early and a late shift.</w:t>
      </w:r>
    </w:p>
    <w:p>
      <w:pPr>
        <w:pStyle w:val="Heading2"/>
        <w:keepNext/>
      </w:pPr>
      <w:r>
        <w:t xml:space="preserve">Small pilots pay off</w:t>
      </w:r>
    </w:p>
    <w:p>
      <w:pPr/>
      <w:r>
        <w:t xml:space="preserve">Four of the six pilots we ran became permanent services. We will keep a small pilot budget in every region.</w:t>
      </w:r>
    </w:p>
    <w:p>
      <w:pPr>
        <w:pStyle w:val="Heading1"/>
        <w:keepNext/>
      </w:pPr>
      <w:r>
        <w:t xml:space="preserve">Next year's priorities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 fourth office in the west.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Halve the time it takes to onboard a new customer.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 a yearly sustainability report.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Source Sans 3" w:hAnsi="Source Sans 3"/>
        <w:color w:val="0F766E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color w:val="0F766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Source Sans 3" w:hAnsi="Source Sans 3" w:eastAsia="Source Sans 3" w:cs="Source Sans 3"/>
        <w:color w:val="222222"/>
        <w:sz w:val="22"/>
        <w:szCs w:val="22"/>
        <w:lang w:val="en-US"/>
      </w:rPr>
    </w:rPrDefault>
    <w:pPrDefault>
      <w:pPr>
        <w:spacing w:after="140" w:line="288" w:lineRule="auto"/>
      </w:pPr>
    </w:pPrDefault>
  </w:docDefaults>
  <w:style w:type="paragraph" w:styleId="Normal">
    <w:name w:val="Normal"/>
    <w:next w:val="Normal"/>
    <w:qFormat/>
    <w:pPr/>
    <w:rPr/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Inter" w:hAnsi="Inter" w:cs="Inter"/>
      <w:b/>
      <w:color w:val="0F766E"/>
      <w:sz w:val="64"/>
      <w:szCs w:val="64"/>
    </w:rPr>
  </w:style>
  <w:style w:type="paragraph" w:styleId="Subtitle">
    <w:name w:val="Subtitle"/>
    <w:basedOn w:val="Normal"/>
    <w:next w:val="Normal"/>
    <w:qFormat/>
    <w:pPr>
      <w:spacing w:after="360"/>
    </w:pPr>
    <w:rPr>
      <w:color w:val="666666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Inter" w:hAnsi="Inter" w:cs="Inter"/>
      <w:b/>
      <w:color w:val="0F766E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="Inter" w:hAnsi="Inter" w:cs="Inter"/>
      <w:b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rFonts w:ascii="Inter" w:hAnsi="Inter" w:cs="Inter"/>
      <w:b/>
      <w:caps/>
      <w:color w:val="0F766E"/>
      <w:spacing w:val="20"/>
      <w:sz w:val="20"/>
      <w:szCs w:val="20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Craft Suite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Report</dc:title>
  <dc:subject/>
  <dc:creator>Craft Suite</dc:creator>
  <cp:keywords>template</cp:keywords>
  <dcterms:created xsi:type="dcterms:W3CDTF">2026-01-01T00:00:00Z</dcterms:created>
</cp:coreProperties>
</file>