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AgileTech Studio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API Standards  |  Owner: Zainab Qureshi, Head of Engineering  |  Version 2.0</w:t>
      </w:r>
    </w:p>
    <w:p>
      <w:pPr>
        <w:pStyle w:val="Heading1"/>
        <w:spacing w:after="120" w:before="300"/>
      </w:pPr>
      <w: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document defines API design conventions for all backend services built at AgileTech Studio, referenced by System_Architecture.pdf for both NovaCart and MedLink.</w:t>
      </w:r>
    </w:p>
    <w:p>
      <w:pPr>
        <w:pStyle w:val="Heading1"/>
        <w:spacing w:after="120" w:before="300"/>
      </w:pPr>
      <w:r>
        <w:t xml:space="preserve">2. Naming &amp; Structure Conventions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51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Base URL structure</w:t>
            </w:r>
          </w:p>
        </w:tc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>/api/v1/{resource}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Resource naming</w:t>
            </w:r>
          </w:p>
        </w:tc>
        <w:tc>
          <w:tcPr>
            <w:tcW w:type="dxa" w:w="5100"/>
            <w:shd w:fill="F2F2F2" w:val="clear"/>
          </w:tcPr>
          <w:p>
            <w:r>
              <w:rPr>
                <w:sz w:val="20"/>
                <w:szCs w:val="20"/>
              </w:rPr>
              <w:t xml:space="preserve">Plural nouns, kebab-case (e.g. /order-items)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Versioning</w:t>
            </w:r>
          </w:p>
        </w:tc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>URL path versioning (/v1/, /v2/); breaking changes require a new version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5100"/>
            <w:shd w:fill="F2F2F2" w:val="clear"/>
          </w:tcPr>
          <w:p>
            <w:r>
              <w:rPr>
                <w:sz w:val="20"/>
                <w:szCs w:val="20"/>
              </w:rPr>
              <w:t xml:space="preserve">JSON, camelCase field names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Error format</w:t>
            </w:r>
          </w:p>
        </w:tc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>{ "error": { "code": "...", "message": "..." } }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Pagination</w:t>
            </w:r>
          </w:p>
        </w:tc>
        <w:tc>
          <w:tcPr>
            <w:tcW w:type="dxa" w:w="5100"/>
            <w:shd w:fill="F2F2F2" w:val="clear"/>
          </w:tcPr>
          <w:p>
            <w:r>
              <w:rPr>
                <w:sz w:val="20"/>
                <w:szCs w:val="20"/>
              </w:rPr>
              <w:t xml:space="preserve">Cursor-based via ?cursor= and ?limit= query params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5100"/>
          </w:tcPr>
          <w:p>
            <w:r>
              <w:rPr>
                <w:sz w:val="20"/>
                <w:szCs w:val="20"/>
              </w:rPr>
              <w:t xml:space="preserve">Bearer JWT tokens; refresh via /v1/auth/refresh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3. Status Codes</w:t>
      </w:r>
    </w:p>
    <w:p>
      <w:pPr>
        <w:pStyle w:val="ListParagraph"/>
        <w:numPr>
          <w:ilvl w:val="0"/>
          <w:numId w:val="1"/>
        </w:numPr>
      </w:pPr>
      <w:r>
        <w:t xml:space="preserve">200 OK — successful GET/PUT</w:t>
      </w:r>
    </w:p>
    <w:p>
      <w:pPr>
        <w:pStyle w:val="ListParagraph"/>
        <w:numPr>
          <w:ilvl w:val="0"/>
          <w:numId w:val="1"/>
        </w:numPr>
      </w:pPr>
      <w:r>
        <w:t xml:space="preserve">201 Created — successful POST creating a resource</w:t>
      </w:r>
    </w:p>
    <w:p>
      <w:pPr>
        <w:pStyle w:val="ListParagraph"/>
        <w:numPr>
          <w:ilvl w:val="0"/>
          <w:numId w:val="1"/>
        </w:numPr>
      </w:pPr>
      <w:r>
        <w:t xml:space="preserve">400 Bad Request — validation failure, includes field-level error details</w:t>
      </w:r>
    </w:p>
    <w:p>
      <w:pPr>
        <w:pStyle w:val="ListParagraph"/>
        <w:numPr>
          <w:ilvl w:val="0"/>
          <w:numId w:val="1"/>
        </w:numPr>
      </w:pPr>
      <w:r>
        <w:t xml:space="preserve">401/403 — authentication/authorization failures</w:t>
      </w:r>
    </w:p>
    <w:p>
      <w:pPr>
        <w:pStyle w:val="ListParagraph"/>
        <w:numPr>
          <w:ilvl w:val="0"/>
          <w:numId w:val="1"/>
        </w:numPr>
      </w:pPr>
      <w:r>
        <w:t xml:space="preserve">404 Not Found, 409 Conflict, 429 Too Many Requests, 500 Internal Server Error</w:t>
      </w:r>
    </w:p>
    <w:p>
      <w:pPr>
        <w:pStyle w:val="Heading1"/>
        <w:spacing w:after="120" w:before="300"/>
      </w:pPr>
      <w:r>
        <w:t xml:space="preserve">4. Documentation Requirements</w:t>
      </w:r>
    </w:p>
    <w:p>
      <w:pPr>
        <w:spacing w:after="160"/>
      </w:pPr>
      <w:r>
        <w:rPr>
          <w:sz w:val="21"/>
          <w:szCs w:val="21"/>
        </w:rPr>
        <w:t xml:space="preserve">All FastAPI services (e.g. NovaCart) must expose an auto-generated OpenAPI schema at /docs. Node.js/Express services (e.g. MedLink) must maintain a manually authored OpenAPI spec, reviewed by the Team Lead before each release.</w:t>
      </w:r>
    </w:p>
    <w:p>
      <w:pPr>
        <w:pStyle w:val="Heading1"/>
        <w:spacing w:after="120" w:before="300"/>
      </w:pPr>
      <w:r>
        <w:t xml:space="preserve">5. Review Process</w:t>
      </w:r>
    </w:p>
    <w:p>
      <w:pPr>
        <w:spacing w:after="160"/>
      </w:pPr>
      <w:r>
        <w:rPr>
          <w:sz w:val="21"/>
          <w:szCs w:val="21"/>
        </w:rPr>
        <w:t xml:space="preserve">New or changed API endpoints require review from the project's Team Lead (Ayesha Khan for NovaCart, Danish Iqbal for MedLink) before merge, per the code review process in Engineering_Guidelines.docx.</w:t>
      </w:r>
    </w:p>
    <w:p>
      <w:pPr>
        <w:pStyle w:val="Heading1"/>
        <w:spacing w:after="120" w:before="300"/>
      </w:pPr>
      <w:r>
        <w:t xml:space="preserve">6. Rate Limiting &amp; Security</w:t>
      </w:r>
    </w:p>
    <w:p>
      <w:pPr>
        <w:spacing w:after="160"/>
      </w:pPr>
      <w:r>
        <w:rPr>
          <w:sz w:val="21"/>
          <w:szCs w:val="21"/>
        </w:rPr>
        <w:t xml:space="preserve">Public-facing endpoints must implement rate limiting (100 requests/minute per API key by default). Any endpoint handling patient-identifiable data on MedLink additionally requires field-level encryption per System_Architecture.pdf and sign-off from DevOps during the Deployment_Processes.pdf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2026-08-14T05:51:20.695Z</dcterms:created>
  <dcterms:modified xsi:type="dcterms:W3CDTF">2026-08-14T05:51:20.696Z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