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0"/>
          <w:szCs w:val="40"/>
        </w:rPr>
        <w:t xml:space="preserve">AgileTech Studio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Engineering Guidelines  |  Owner: Zainab Qureshi, Head of Engineering  |  Version 2.1  |  Updated July 2026</w:t>
      </w:r>
    </w:p>
    <w:p>
      <w:pPr>
        <w:pStyle w:val="Heading1"/>
        <w:spacing w:after="120" w:before="300"/>
      </w:pPr>
      <w: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This document defines the engineering standards, workflow, and technology expectations for all Engineering staff at AgileTech Studio, across the Lahore, Karachi, and Islamabad offices.</w:t>
      </w:r>
    </w:p>
    <w:p>
      <w:pPr>
        <w:pStyle w:val="Heading1"/>
        <w:spacing w:after="120" w:before="300"/>
      </w:pPr>
      <w:r>
        <w:t xml:space="preserve">2. Team Structure</w:t>
      </w:r>
    </w:p>
    <w:p>
      <w:pPr>
        <w:spacing w:after="160"/>
      </w:pPr>
      <w:r>
        <w:rPr>
          <w:sz w:val="21"/>
          <w:szCs w:val="21"/>
        </w:rPr>
        <w:t xml:space="preserve">Engineering is led by Zainab Qureshi (Head of Engineering), with Faisal Rehman as Engineering Manager overseeing day-to-day delivery across active projects. Each active project has a designated Team Lead drawn from the senior engineering staff, responsible for technical decisions and code quality on that project.</w:t>
      </w:r>
    </w:p>
    <w:p>
      <w:pPr>
        <w:pStyle w:val="ListParagraph"/>
        <w:numPr>
          <w:ilvl w:val="0"/>
          <w:numId w:val="1"/>
        </w:numPr>
      </w:pPr>
      <w:r>
        <w:t xml:space="preserve">NovaCart — Team Lead: Ayesha Khan</w:t>
      </w:r>
    </w:p>
    <w:p>
      <w:pPr>
        <w:pStyle w:val="ListParagraph"/>
        <w:numPr>
          <w:ilvl w:val="0"/>
          <w:numId w:val="1"/>
        </w:numPr>
      </w:pPr>
      <w:r>
        <w:t xml:space="preserve">MedLink — Team Lead: Danish Iqbal</w:t>
      </w:r>
    </w:p>
    <w:p>
      <w:pPr>
        <w:pStyle w:val="ListParagraph"/>
        <w:numPr>
          <w:ilvl w:val="0"/>
          <w:numId w:val="1"/>
        </w:numPr>
      </w:pPr>
      <w:r>
        <w:t xml:space="preserve">FinTrack — Team Lead: Ali Raza (completed, maintenance mode)</w:t>
      </w:r>
    </w:p>
    <w:p>
      <w:pPr>
        <w:pStyle w:val="ListParagraph"/>
        <w:numPr>
          <w:ilvl w:val="0"/>
          <w:numId w:val="1"/>
        </w:numPr>
      </w:pPr>
      <w:r>
        <w:t xml:space="preserve">EduSphere — Team Lead: Sara Ahmed (planning phase)</w:t>
      </w:r>
    </w:p>
    <w:p>
      <w:pPr>
        <w:pStyle w:val="Heading1"/>
        <w:spacing w:after="120" w:before="300"/>
      </w:pPr>
      <w:r>
        <w:t xml:space="preserve">3. Approved Technology Stack by Project</w:t>
      </w:r>
    </w:p>
    <w:p>
      <w:pPr>
        <w:spacing w:after="160"/>
      </w:pPr>
      <w:r>
        <w:rPr>
          <w:sz w:val="21"/>
          <w:szCs w:val="21"/>
        </w:rPr>
        <w:t xml:space="preserve">The table below reflects the technology stack in use on each active or recently completed project. See Technology_Stack.pdf for the full list of company-approved technologies by category.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NovaCart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Python / FastAPI / React / PostgreSQL</w:t>
            </w:r>
          </w:p>
        </w:tc>
        <w:tc>
          <w:tcPr>
            <w:tcW w:type="dxa" w:w="4900"/>
          </w:tcPr>
          <w:p>
            <w:r>
              <w:rPr>
                <w:sz w:val="20"/>
                <w:szCs w:val="20"/>
              </w:rPr>
              <w:t xml:space="preserve">Reference implementation for the current standard stack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MedLink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Node.js / React Native / MongoDB</w:t>
            </w:r>
          </w:p>
        </w:tc>
        <w:tc>
          <w:tcPr>
            <w:tcW w:type="dxa" w:w="4900"/>
            <w:shd w:fill="F2F2F2" w:val="clear"/>
          </w:tcPr>
          <w:p>
            <w:r>
              <w:rPr>
                <w:sz w:val="20"/>
                <w:szCs w:val="20"/>
              </w:rPr>
              <w:t xml:space="preserve">Mobile-first; document store chosen for flexible patient data schemas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FinTrack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Django / Vue.js / PostgreSQL</w:t>
            </w:r>
          </w:p>
        </w:tc>
        <w:tc>
          <w:tcPr>
            <w:tcW w:type="dxa" w:w="4900"/>
          </w:tcPr>
          <w:p>
            <w:r>
              <w:rPr>
                <w:sz w:val="20"/>
                <w:szCs w:val="20"/>
              </w:rPr>
              <w:t xml:space="preserve">Completed Feb 2025; stack predates current standard, maintained as-is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EduSphere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Python / Flask / React / PostgreSQL</w:t>
            </w:r>
          </w:p>
        </w:tc>
        <w:tc>
          <w:tcPr>
            <w:tcW w:type="dxa" w:w="4900"/>
            <w:shd w:fill="F2F2F2" w:val="clear"/>
          </w:tcPr>
          <w:p>
            <w:r>
              <w:rPr>
                <w:sz w:val="20"/>
                <w:szCs w:val="20"/>
              </w:rPr>
              <w:t xml:space="preserve">In planning; Sara Ahmed as Team Lead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4. Development Workflow</w:t>
      </w:r>
    </w:p>
    <w:p>
      <w:pPr>
        <w:pStyle w:val="Heading2"/>
        <w:spacing w:after="100" w:before="240"/>
      </w:pPr>
      <w:r>
        <w:t xml:space="preserve">4.1 Version Control</w:t>
      </w:r>
    </w:p>
    <w:p>
      <w:pPr>
        <w:spacing w:after="160"/>
      </w:pPr>
      <w:r>
        <w:rPr>
          <w:sz w:val="21"/>
          <w:szCs w:val="21"/>
        </w:rPr>
        <w:t xml:space="preserve">All projects use Git with a trunk-based development model. Feature branches are merged via pull request, requiring at least one approval from a Senior Engineer or the project's Team Lead before merge.</w:t>
      </w:r>
    </w:p>
    <w:p>
      <w:pPr>
        <w:pStyle w:val="Heading2"/>
        <w:spacing w:after="100" w:before="240"/>
      </w:pPr>
      <w:r>
        <w:t xml:space="preserve">4.2 Code Review</w:t>
      </w:r>
    </w:p>
    <w:p>
      <w:pPr>
        <w:pStyle w:val="ListParagraph"/>
        <w:numPr>
          <w:ilvl w:val="0"/>
          <w:numId w:val="1"/>
        </w:numPr>
      </w:pPr>
      <w:r>
        <w:t xml:space="preserve">Every pull request must include a description of the change and link to the relevant task.</w:t>
      </w:r>
    </w:p>
    <w:p>
      <w:pPr>
        <w:pStyle w:val="ListParagraph"/>
        <w:numPr>
          <w:ilvl w:val="0"/>
          <w:numId w:val="1"/>
        </w:numPr>
      </w:pPr>
      <w:r>
        <w:t xml:space="preserve">Reviewers should respond within one business day.</w:t>
      </w:r>
    </w:p>
    <w:p>
      <w:pPr>
        <w:pStyle w:val="ListParagraph"/>
        <w:numPr>
          <w:ilvl w:val="0"/>
          <w:numId w:val="1"/>
        </w:numPr>
      </w:pPr>
      <w:r>
        <w:t xml:space="preserve">Team Leads have final say on unresolved review disagreements.</w:t>
      </w:r>
    </w:p>
    <w:p>
      <w:pPr>
        <w:pStyle w:val="Heading2"/>
        <w:spacing w:after="100" w:before="240"/>
      </w:pPr>
      <w:r>
        <w:t xml:space="preserve">4.3 Testing</w:t>
      </w:r>
    </w:p>
    <w:p>
      <w:pPr>
        <w:pStyle w:val="ListParagraph"/>
        <w:numPr>
          <w:ilvl w:val="0"/>
          <w:numId w:val="1"/>
        </w:numPr>
      </w:pPr>
      <w:r>
        <w:t xml:space="preserve">Backend services require unit test coverage of at least 75% before merge.</w:t>
      </w:r>
    </w:p>
    <w:p>
      <w:pPr>
        <w:pStyle w:val="ListParagraph"/>
        <w:numPr>
          <w:ilvl w:val="0"/>
          <w:numId w:val="1"/>
        </w:numPr>
      </w:pPr>
      <w:r>
        <w:t xml:space="preserve">QA Engineers (e.g. Noor Fatima on MedLink) own end-to-end test planning for their project.</w:t>
      </w:r>
    </w:p>
    <w:p>
      <w:pPr>
        <w:pStyle w:val="Heading2"/>
        <w:spacing w:after="100" w:before="240"/>
      </w:pPr>
      <w:r>
        <w:t xml:space="preserve">4.4 Deployment</w:t>
      </w:r>
    </w:p>
    <w:p>
      <w:pPr>
        <w:spacing w:after="160"/>
      </w:pPr>
      <w:r>
        <w:rPr>
          <w:sz w:val="21"/>
          <w:szCs w:val="21"/>
        </w:rPr>
        <w:t xml:space="preserve">Deployments follow the process defined in Deployment_Processes.pdf. All production deployments to AWS-hosted projects require DevOps sign-off (Ali Raza or Waleed Anjum).</w:t>
      </w:r>
    </w:p>
    <w:p>
      <w:pPr>
        <w:pStyle w:val="Heading1"/>
        <w:spacing w:after="120" w:before="300"/>
      </w:pPr>
      <w:r>
        <w:t xml:space="preserve">5. Onboarding New Engineers</w:t>
      </w:r>
    </w:p>
    <w:p>
      <w:pPr>
        <w:spacing w:after="160"/>
      </w:pPr>
      <w:r>
        <w:rPr>
          <w:sz w:val="21"/>
          <w:szCs w:val="21"/>
        </w:rPr>
        <w:t xml:space="preserve">New engineers are assigned a mentor from their project team for the first 60 days. For example, Hassan Raza (Junior Backend Engineer, EduSphere) reports to and is mentored by Sara Ahmed.</w:t>
      </w:r>
    </w:p>
    <w:p>
      <w:pPr>
        <w:pStyle w:val="Heading1"/>
        <w:spacing w:after="120" w:before="300"/>
      </w:pPr>
      <w:r>
        <w:t xml:space="preserve">6. Escalation Path</w:t>
      </w:r>
    </w:p>
    <w:p>
      <w:pPr>
        <w:spacing w:after="160"/>
      </w:pPr>
      <w:r>
        <w:rPr>
          <w:sz w:val="21"/>
          <w:szCs w:val="21"/>
        </w:rPr>
        <w:t xml:space="preserve">Technical blockers should be raised with the project Team Lead first, then escalated to Faisal Rehman (Engineering Manager), and finally to Zainab Qureshi (Head of Engineering) if unresolved within 2 business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2026-08-14T05:23:53.266Z</dcterms:created>
  <dcterms:modified xsi:type="dcterms:W3CDTF">2026-08-14T05:23:53.278Z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