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AgileTech Studio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Project Risk Register  |  Compiled by: Faisal Rehman, Engineering Manager  |  Updated Q2 2026</w:t>
      </w:r>
    </w:p>
    <w:p>
      <w:pPr>
        <w:pStyle w:val="Heading1"/>
        <w:spacing w:after="120" w:before="300"/>
      </w:pPr>
      <w: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register tracks known risks across active AgileTech Studio client projects, their likelihood and impact, and the mitigation owner.</w:t>
      </w:r>
    </w:p>
    <w:p>
      <w:pPr>
        <w:pStyle w:val="Heading1"/>
        <w:spacing w:after="120" w:before="300"/>
      </w:pPr>
      <w:r>
        <w:t xml:space="preserve">2. Risk Register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300"/>
        <w:gridCol w:w="1300"/>
        <w:gridCol w:w="2600"/>
      </w:tblGrid>
      <w:tr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/ Mitigation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NovaCart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Reduced frontend velocity due to Amna Siddiqui's leave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Ayesha Khan reallocating tasks to Mahnoor Butt; monitoring sprint burndown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NovaCart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Payment gateway integration delay ahead of Q3 beta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Hamza Sheikh running integration tests weekly; escalation path to Faisal Rehman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MedLink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MongoDB schema migration risk for patient records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Danish Iqbal leading migration plan; Noor Fatima adding regression test coverage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MedLink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Field-level encryption requirement adds review overhead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DevOps (Ali Raza) engaged early for security review per Deployment_Processes.pdf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FinTrack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Maintenance-mode staffing thin (1 DevOps engineer)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Waleed Anjum on-call; Ali Raza as backup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EduSphere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Requirements not yet finalized with LearnWave Academy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Sara Ahmed and Iqra Nadeem running weekly discovery sessions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3. Escalation</w:t>
      </w:r>
    </w:p>
    <w:p>
      <w:pPr>
        <w:spacing w:after="160"/>
      </w:pPr>
      <w:r>
        <w:rPr>
          <w:sz w:val="21"/>
          <w:szCs w:val="21"/>
        </w:rPr>
        <w:t xml:space="preserve">Risks rated High likelihood or High impact are reviewed weekly by the Engineering Manager (Faisal Rehman) and escalated to Zainab Qureshi, Head of Engineering, if unresolved for more than 2 weeks. This mirrors the escalation path defined in Engineering_Guidelines.docx.</w:t>
      </w:r>
    </w:p>
    <w:p>
      <w:pPr>
        <w:pStyle w:val="Heading1"/>
        <w:spacing w:after="120" w:before="300"/>
      </w:pPr>
      <w:r>
        <w:t xml:space="preserve">4. Review Cadence</w:t>
      </w:r>
    </w:p>
    <w:p>
      <w:pPr>
        <w:spacing w:after="160"/>
      </w:pPr>
      <w:r>
        <w:rPr>
          <w:sz w:val="21"/>
          <w:szCs w:val="21"/>
        </w:rPr>
        <w:t xml:space="preserve">This register is reviewed and updated at the start of each sprint cycle by the relevant project Team Lead, and consolidated into the quarterly Project_Reports.pdf for client-facing status updates.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2026-08-14T05:51:08.130Z</dcterms:created>
  <dcterms:modified xsi:type="dcterms:W3CDTF">2026-08-14T05:51:08.131Z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