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330E4" w14:textId="77777777" w:rsidR="00B84B56" w:rsidRDefault="00B84B56">
      <w:pPr>
        <w:pStyle w:val="Heading1"/>
        <w:divId w:val="105659161"/>
        <w:rPr>
          <w:rFonts w:eastAsia="Times New Roman"/>
          <w:kern w:val="36"/>
          <w:sz w:val="48"/>
          <w:szCs w:val="48"/>
          <w14:ligatures w14:val="none"/>
        </w:rPr>
      </w:pPr>
      <w:r>
        <w:rPr>
          <w:rFonts w:eastAsia="Times New Roman"/>
        </w:rPr>
        <w:t>Statistical Models for the Genetic Basis of Complex Disease: Age of Onset, Aging, Maternal Health, and Genomic Prediction for Personalized Health</w:t>
      </w:r>
    </w:p>
    <w:p w14:paraId="1B679244" w14:textId="656F44C4" w:rsidR="00B84B56" w:rsidRDefault="00B84B56">
      <w:pPr>
        <w:pStyle w:val="NormalWeb"/>
        <w:divId w:val="105659161"/>
      </w:pPr>
      <w:r>
        <w:rPr>
          <w:rStyle w:val="Emphasis"/>
        </w:rPr>
        <w:t xml:space="preserve">[Hafizmuhammadhamza (s), affiliation(s), </w:t>
      </w:r>
      <w:r w:rsidR="005450AB">
        <w:rPr>
          <w:rStyle w:val="Emphasis"/>
        </w:rPr>
        <w:t>hamzamuzaffar5544@gmail.com</w:t>
      </w:r>
      <w:r>
        <w:rPr>
          <w:rStyle w:val="Emphasis"/>
        </w:rPr>
        <w:t>RC</w:t>
      </w:r>
      <w:r w:rsidR="005450AB">
        <w:rPr>
          <w:rStyle w:val="Emphasis"/>
        </w:rPr>
        <w:t>Id</w:t>
      </w:r>
      <w:r>
        <w:rPr>
          <w:rStyle w:val="Emphasis"/>
        </w:rPr>
        <w:t>]</w:t>
      </w:r>
    </w:p>
    <w:p w14:paraId="6F6302B5" w14:textId="77777777" w:rsidR="00B84B56" w:rsidRDefault="00B84B56">
      <w:pPr>
        <w:pStyle w:val="NormalWeb"/>
        <w:divId w:val="105659161"/>
      </w:pPr>
      <w:r>
        <w:rPr>
          <w:rStyle w:val="Emphasis"/>
        </w:rPr>
        <w:t>Manuscript type: Review and methodological framework. Draft for author verification before submission.</w:t>
      </w:r>
    </w:p>
    <w:p w14:paraId="446BC8F3" w14:textId="77777777" w:rsidR="00B84B56" w:rsidRDefault="00B84B56">
      <w:pPr>
        <w:pStyle w:val="Heading2"/>
        <w:divId w:val="105659161"/>
        <w:rPr>
          <w:rFonts w:eastAsia="Times New Roman"/>
        </w:rPr>
      </w:pPr>
      <w:r>
        <w:rPr>
          <w:rFonts w:eastAsia="Times New Roman"/>
        </w:rPr>
        <w:t>Abstract</w:t>
      </w:r>
    </w:p>
    <w:p w14:paraId="7608DB08" w14:textId="77777777" w:rsidR="00B84B56" w:rsidRDefault="00B84B56">
      <w:pPr>
        <w:pStyle w:val="NormalWeb"/>
        <w:divId w:val="105659161"/>
      </w:pPr>
      <w:r>
        <w:rPr>
          <w:rStyle w:val="Strong"/>
        </w:rPr>
        <w:t>Background.</w:t>
      </w:r>
      <w:r>
        <w:t xml:space="preserve"> Common complex diseases arise from many genetic variants of small effect acting with environment, and their risk varies with age, sex, reproductive history and ancestry. Statistical genetics has moved from family-based heritability estimation to genome-wide association studies (GWAS), summary-statistic methods and polygenic prediction. These advances are now being applied to age of onset, aging, maternal and perinatal health, and clinical risk stratification, yet the statistical issues in each area are often treated separately.</w:t>
      </w:r>
    </w:p>
    <w:p w14:paraId="4CC7AA0E" w14:textId="77777777" w:rsidR="00B84B56" w:rsidRDefault="00B84B56">
      <w:pPr>
        <w:pStyle w:val="NormalWeb"/>
        <w:divId w:val="105659161"/>
      </w:pPr>
      <w:r>
        <w:rPr>
          <w:rStyle w:val="Strong"/>
        </w:rPr>
        <w:t>Objective.</w:t>
      </w:r>
      <w:r>
        <w:t xml:space="preserve"> To synthesize the statistical models used to study the genetic basis of common complex disease, and to show how they connect across four linked domains: (</w:t>
      </w:r>
      <w:proofErr w:type="spellStart"/>
      <w:r>
        <w:t>i</w:t>
      </w:r>
      <w:proofErr w:type="spellEnd"/>
      <w:r>
        <w:t>) genetic architecture, (ii) age of onset, (iii) the genetics of aging, and (iv) maternal health, culminating in (v) genomic prediction for personalized health.</w:t>
      </w:r>
    </w:p>
    <w:p w14:paraId="22D3C75C" w14:textId="77777777" w:rsidR="00B84B56" w:rsidRDefault="00B84B56">
      <w:pPr>
        <w:pStyle w:val="NormalWeb"/>
        <w:divId w:val="105659161"/>
      </w:pPr>
      <w:r>
        <w:rPr>
          <w:rStyle w:val="Strong"/>
        </w:rPr>
        <w:t>Approach.</w:t>
      </w:r>
      <w:r>
        <w:t xml:space="preserve"> We review liability-threshold, mixed-model, summary-statistic, survival and causal-inference frameworks; identify methodological pitfalls specific to each domain (for example, selection bias in late-onset traits, dual maternal and fetal genomes in pregnancy outcomes, and portability of polygenic scores across ancestries); and propose an integrated, age-aware and ancestry-aware prediction framework with an explicit validation plan.</w:t>
      </w:r>
    </w:p>
    <w:p w14:paraId="3193D9F5" w14:textId="77777777" w:rsidR="00B84B56" w:rsidRDefault="00B84B56">
      <w:pPr>
        <w:pStyle w:val="NormalWeb"/>
        <w:divId w:val="105659161"/>
      </w:pPr>
      <w:r>
        <w:rPr>
          <w:rStyle w:val="Strong"/>
        </w:rPr>
        <w:t>Conclusions.</w:t>
      </w:r>
      <w:r>
        <w:t xml:space="preserve"> Clinically useful genomic prediction will require (a) time-to-event rather than binary outcome modelling, (b) joint modelling of maternal and fetal genetic effects, (c) ancestry-diverse training and calibration, and (d) integration of polygenic scores with clinical risk factors. We outline an evaluation protocol and discuss ethical and equity considerations.</w:t>
      </w:r>
    </w:p>
    <w:p w14:paraId="101D5510" w14:textId="77777777" w:rsidR="00B84B56" w:rsidRDefault="00B84B56">
      <w:pPr>
        <w:pStyle w:val="NormalWeb"/>
        <w:divId w:val="105659161"/>
      </w:pPr>
      <w:r>
        <w:rPr>
          <w:rStyle w:val="Strong"/>
        </w:rPr>
        <w:t>Keywords:</w:t>
      </w:r>
      <w:r>
        <w:t xml:space="preserve"> complex disease; polygenic risk score; age at onset; aging; maternal health; survival analysis; genomic prediction; precision medicine</w:t>
      </w:r>
    </w:p>
    <w:p w14:paraId="29C8894C" w14:textId="77777777" w:rsidR="00A70432" w:rsidRDefault="00A70432">
      <w:pPr>
        <w:pStyle w:val="Heading2"/>
        <w:divId w:val="1844275456"/>
        <w:rPr>
          <w:rFonts w:eastAsia="Times New Roman"/>
          <w:kern w:val="0"/>
          <w:sz w:val="36"/>
          <w:szCs w:val="36"/>
          <w14:ligatures w14:val="none"/>
        </w:rPr>
      </w:pPr>
      <w:r>
        <w:rPr>
          <w:rFonts w:eastAsia="Times New Roman"/>
        </w:rPr>
        <w:t>1. Introduction</w:t>
      </w:r>
    </w:p>
    <w:p w14:paraId="0D47FBC8" w14:textId="77777777" w:rsidR="00A70432" w:rsidRDefault="00A70432">
      <w:pPr>
        <w:pStyle w:val="NormalWeb"/>
        <w:divId w:val="1844275456"/>
      </w:pPr>
      <w:r>
        <w:t>Most common diseases, including coronary artery disease, type 2 diabetes, breast cancer, hypertension and psychiatric disorders, are highly polygenic. Early twin and family studies established that genetic variation contributes substantially to liability for such traits, but identifying the responsible variants proved difficult, a gap often described as the problem of missing heritability (</w:t>
      </w:r>
      <w:proofErr w:type="spellStart"/>
      <w:r>
        <w:t>Manolio</w:t>
      </w:r>
      <w:proofErr w:type="spellEnd"/>
      <w:r>
        <w:t xml:space="preserve"> et al., 2009). Two decades of GWAS have since identified thousands of associated loci, and the field has learned that individual effects are small, spread widely across the genome, and enriched in regulatory regions (</w:t>
      </w:r>
      <w:proofErr w:type="spellStart"/>
      <w:r>
        <w:t>Visscher</w:t>
      </w:r>
      <w:proofErr w:type="spellEnd"/>
      <w:r>
        <w:t xml:space="preserve"> et al., 2017).</w:t>
      </w:r>
    </w:p>
    <w:p w14:paraId="1D92F2F6" w14:textId="77777777" w:rsidR="00A70432" w:rsidRDefault="00A70432">
      <w:pPr>
        <w:pStyle w:val="NormalWeb"/>
        <w:divId w:val="1844275456"/>
      </w:pPr>
      <w:r>
        <w:t xml:space="preserve">This architecture shapes the statistical models that are appropriate. It </w:t>
      </w:r>
      <w:proofErr w:type="spellStart"/>
      <w:r>
        <w:t>favours</w:t>
      </w:r>
      <w:proofErr w:type="spellEnd"/>
      <w:r>
        <w:t xml:space="preserve"> methods that pool information across many variants (mixed models, heritability partitioning, polygenic scores) over those that test single variants in isolation. It also raises questions that a purely cross-sectional, case-control view cannot answer. When in life does disease begin, and do genetic risk factors influence timing as well as occurrence? How does genetic risk interact with biological aging? In pregnancy, where two genomes (mother and fetus) influence the outcome, what is the appropriate unit of analysis? And, practically, when can genomic information improve individual risk prediction enough to change care?</w:t>
      </w:r>
    </w:p>
    <w:p w14:paraId="297F8FE6" w14:textId="77777777" w:rsidR="00A70432" w:rsidRDefault="00A70432">
      <w:pPr>
        <w:pStyle w:val="NormalWeb"/>
        <w:divId w:val="1844275456"/>
      </w:pPr>
      <w:r>
        <w:t>This paper addresses these questions in a unified statistical framework. Section 2 reviews models of genetic architecture. Sections 3 to 5 address age of onset, aging, and maternal health. Section 6 covers genomic prediction, and Section 7 proposes an integrated framework with a validation protocol. Section 8 discusses ethics and equity, and Section 9 limitations.</w:t>
      </w:r>
    </w:p>
    <w:p w14:paraId="1DC03DCD" w14:textId="77777777" w:rsidR="00A70432" w:rsidRDefault="00A70432">
      <w:pPr>
        <w:pStyle w:val="Heading2"/>
        <w:divId w:val="1844275456"/>
        <w:rPr>
          <w:rFonts w:eastAsia="Times New Roman"/>
        </w:rPr>
      </w:pPr>
      <w:r>
        <w:rPr>
          <w:rFonts w:eastAsia="Times New Roman"/>
        </w:rPr>
        <w:t>2. Statistical models for the genetic basis of complex disease</w:t>
      </w:r>
    </w:p>
    <w:p w14:paraId="730FB3BE" w14:textId="77777777" w:rsidR="00A70432" w:rsidRDefault="00A70432">
      <w:pPr>
        <w:pStyle w:val="Heading3"/>
        <w:divId w:val="1844275456"/>
        <w:rPr>
          <w:rFonts w:eastAsia="Times New Roman"/>
        </w:rPr>
      </w:pPr>
      <w:r>
        <w:rPr>
          <w:rFonts w:eastAsia="Times New Roman"/>
        </w:rPr>
        <w:t>2.1 Quantitative-genetic foundations and the liability-threshold model</w:t>
      </w:r>
    </w:p>
    <w:p w14:paraId="3C6F6ACC" w14:textId="77777777" w:rsidR="00A70432" w:rsidRDefault="00A70432">
      <w:pPr>
        <w:pStyle w:val="NormalWeb"/>
        <w:divId w:val="1844275456"/>
      </w:pPr>
      <w:r>
        <w:t>For a binary disease, the liability-threshold model assumes an underlying continuous liability, composed of additive genetic and environmental components, with disease occurring when liability exceeds a threshold determined by population prevalence (Falconer, 1965). Writing liability as L = G + E, with G ~ N(0, h²) and E ~ N(0, 1 − h²), the heritability on the liability scale is h². Observed-scale heritability from case-control data depends on ascertainment and must be transformed to the liability scale for interpretation (Lee et al., 2011). The model also provides a principled way to incorporate family history: a parent's disease status carries information about the individual's genetic liability, and liability-threshold approaches that combine case-control status with family history have been shown to increase association power (</w:t>
      </w:r>
      <w:proofErr w:type="spellStart"/>
      <w:r>
        <w:t>Hujoel</w:t>
      </w:r>
      <w:proofErr w:type="spellEnd"/>
      <w:r>
        <w:t xml:space="preserve"> et al., 2020).</w:t>
      </w:r>
    </w:p>
    <w:p w14:paraId="1960E7CF" w14:textId="77777777" w:rsidR="00A70432" w:rsidRDefault="00A70432">
      <w:pPr>
        <w:pStyle w:val="Heading3"/>
        <w:divId w:val="1844275456"/>
        <w:rPr>
          <w:rFonts w:eastAsia="Times New Roman"/>
        </w:rPr>
      </w:pPr>
      <w:r>
        <w:rPr>
          <w:rFonts w:eastAsia="Times New Roman"/>
        </w:rPr>
        <w:t>2.2 Single-variant association and linear mixed models</w:t>
      </w:r>
    </w:p>
    <w:p w14:paraId="35A99F8E" w14:textId="77777777" w:rsidR="00A70432" w:rsidRDefault="00A70432">
      <w:pPr>
        <w:pStyle w:val="NormalWeb"/>
        <w:divId w:val="1844275456"/>
      </w:pPr>
      <w:r>
        <w:t xml:space="preserve">The workhorse of GWAS is the regression of phenotype y on genotype dosage </w:t>
      </w:r>
      <w:proofErr w:type="spellStart"/>
      <w:r>
        <w:t>x_j</w:t>
      </w:r>
      <w:proofErr w:type="spellEnd"/>
      <w:r>
        <w:t xml:space="preserve"> for variant j, with covariates for age, sex and genetic principal components. Population structure and relatedness can inflate test statistics, and linear mixed models address this by modelling y = Xβ + g + ε, with g ~ N(0, σ²_g K), where K is a genomic relationship matrix. Large </w:t>
      </w:r>
      <w:proofErr w:type="spellStart"/>
      <w:r>
        <w:t>biobanks</w:t>
      </w:r>
      <w:proofErr w:type="spellEnd"/>
      <w:r>
        <w:t xml:space="preserve"> such as the UK </w:t>
      </w:r>
      <w:proofErr w:type="spellStart"/>
      <w:r>
        <w:t>Biobank</w:t>
      </w:r>
      <w:proofErr w:type="spellEnd"/>
      <w:r>
        <w:t>, with deep phenotyping and genotypes on roughly half a million participants, have made these analyses routine (</w:t>
      </w:r>
      <w:proofErr w:type="spellStart"/>
      <w:r>
        <w:t>Bycroft</w:t>
      </w:r>
      <w:proofErr w:type="spellEnd"/>
      <w:r>
        <w:t xml:space="preserve"> et al., 2018).</w:t>
      </w:r>
    </w:p>
    <w:p w14:paraId="60B38DE9" w14:textId="77777777" w:rsidR="000C3852" w:rsidRDefault="000C3852">
      <w:pPr>
        <w:pStyle w:val="NormalWeb"/>
        <w:divId w:val="1844275456"/>
      </w:pPr>
      <w:r>
        <w:t>2.3 Heritability estimation from genome-wide data</w:t>
      </w:r>
    </w:p>
    <w:p w14:paraId="635812FC" w14:textId="77777777" w:rsidR="000C3852" w:rsidRDefault="000C3852">
      <w:pPr>
        <w:pStyle w:val="NormalWeb"/>
        <w:divId w:val="1844275456"/>
      </w:pPr>
      <w:r>
        <w:t>Genome-wide complex trait analysis (GCTA) estimates the variance explained by all common variants using the genomic relationship matrix, and showed for height that common SNPs capture a large share of heritability (Yang et al., 2010; Yang et al., 2011). Summary-statistic methods such as LD score regression estimate heritability and genetic correlation from GWAS results while distinguishing polygenic signal from confounding (</w:t>
      </w:r>
      <w:proofErr w:type="spellStart"/>
      <w:r>
        <w:t>Bulik</w:t>
      </w:r>
      <w:proofErr w:type="spellEnd"/>
      <w:r>
        <w:t>-Sullivan et al., 2015). The choice of method matters: heritability estimates are sensitive to assumptions about how effect size depends on allele frequency and linkage disequilibrium (LD), and methods differ in their robustness to misspecification (Evans et al., 2018).</w:t>
      </w:r>
    </w:p>
    <w:p w14:paraId="44DD4A9A" w14:textId="77777777" w:rsidR="000C3852" w:rsidRDefault="000C3852">
      <w:pPr>
        <w:pStyle w:val="NormalWeb"/>
        <w:divId w:val="1844275456"/>
      </w:pPr>
      <w:r>
        <w:t xml:space="preserve">2.4 Polygenic and </w:t>
      </w:r>
      <w:proofErr w:type="spellStart"/>
      <w:r>
        <w:t>omnigenic</w:t>
      </w:r>
      <w:proofErr w:type="spellEnd"/>
      <w:r>
        <w:t xml:space="preserve"> views</w:t>
      </w:r>
    </w:p>
    <w:p w14:paraId="7883D5DA" w14:textId="77777777" w:rsidR="000C3852" w:rsidRDefault="000C3852">
      <w:pPr>
        <w:pStyle w:val="NormalWeb"/>
        <w:divId w:val="1844275456"/>
      </w:pPr>
      <w:r>
        <w:t xml:space="preserve">The infinitesimal model treats every variant as contributing a small effect. The </w:t>
      </w:r>
      <w:proofErr w:type="spellStart"/>
      <w:r>
        <w:t>omnigenic</w:t>
      </w:r>
      <w:proofErr w:type="spellEnd"/>
      <w:r>
        <w:t xml:space="preserve"> proposal argues that, because regulatory networks are highly interconnected, most expressed genes can influence disease through a smaller set of core genes (Boyle et al., 2017). Whatever its biological merit, the practical statistical implication is the same: effect sizes follow heavy-tailed distributions with many small and few moderate effects, which motivates Bayesian shrinkage priors in prediction models. Epistasis (non-additive interaction) is biologically plausible, but its detection is limited by power and its contribution to population-level prediction appears small compared with additive effects (Mackay, 2014).</w:t>
      </w:r>
    </w:p>
    <w:p w14:paraId="74AFF937" w14:textId="77777777" w:rsidR="000C3852" w:rsidRDefault="000C3852">
      <w:pPr>
        <w:pStyle w:val="NormalWeb"/>
        <w:divId w:val="1844275456"/>
      </w:pPr>
      <w:r>
        <w:t>2.5 Causal inference: Mendelian randomization</w:t>
      </w:r>
    </w:p>
    <w:p w14:paraId="1DF897E9" w14:textId="1CEFB9C3" w:rsidR="000C3852" w:rsidRDefault="000C3852">
      <w:pPr>
        <w:pStyle w:val="NormalWeb"/>
        <w:divId w:val="1844275456"/>
      </w:pPr>
      <w:r>
        <w:t>Because genotypes are assigned at conception, genetic variants can serve as instruments to estimate causal effects of modifiable exposures on disease. The key assumptions are relevance, independence from confounders, and no pleiotropic path to the outcome except through the exposure. These are strong, and sensitivity analyses (for example, median-based, MR-Egger and multivariable approaches) should accompany any primary estimate. In this paper’s domains, Mendelian randomization is particularly relevant to biomarkers of aging and to maternal exposures during pregnancy, where randomized trials are often infeasible.</w:t>
      </w:r>
      <w:r w:rsidR="000F0BC4">
        <w:t xml:space="preserve"> </w:t>
      </w:r>
    </w:p>
    <w:p w14:paraId="199075E6" w14:textId="77777777" w:rsidR="000F0BC4" w:rsidRDefault="000F0BC4">
      <w:pPr>
        <w:pStyle w:val="NormalWeb"/>
        <w:divId w:val="1722706558"/>
      </w:pPr>
      <w:r>
        <w:t xml:space="preserve">martingale residuals. Case-only analyses are vulnerable to collider bias if variants also influence case status, which can generate spurious associations with onset. Sample size is the main limitation, since onset data are available only for cases or for events accrued during follow-up. Meta-analysis across </w:t>
      </w:r>
      <w:proofErr w:type="spellStart"/>
      <w:r>
        <w:t>biobanks</w:t>
      </w:r>
      <w:proofErr w:type="spellEnd"/>
      <w:r>
        <w:t xml:space="preserve"> with harmonized onset definitions, validated against linked health records, is therefore essential.</w:t>
      </w:r>
    </w:p>
    <w:p w14:paraId="5607B120" w14:textId="77777777" w:rsidR="000F0BC4" w:rsidRDefault="000F0BC4">
      <w:pPr>
        <w:pStyle w:val="Heading2"/>
        <w:divId w:val="1722706558"/>
        <w:rPr>
          <w:rFonts w:eastAsia="Times New Roman"/>
        </w:rPr>
      </w:pPr>
      <w:r>
        <w:rPr>
          <w:rFonts w:eastAsia="Times New Roman"/>
        </w:rPr>
        <w:t>4. The genetics of aging</w:t>
      </w:r>
    </w:p>
    <w:p w14:paraId="0022F7CA" w14:textId="77777777" w:rsidR="000F0BC4" w:rsidRDefault="000F0BC4">
      <w:pPr>
        <w:pStyle w:val="Heading3"/>
        <w:divId w:val="1722706558"/>
        <w:rPr>
          <w:rFonts w:eastAsia="Times New Roman"/>
        </w:rPr>
      </w:pPr>
      <w:r>
        <w:rPr>
          <w:rFonts w:eastAsia="Times New Roman"/>
        </w:rPr>
        <w:t>4.1 Phenotype definitions</w:t>
      </w:r>
    </w:p>
    <w:p w14:paraId="5888A7B8" w14:textId="77777777" w:rsidR="000F0BC4" w:rsidRDefault="000F0BC4">
      <w:pPr>
        <w:pStyle w:val="NormalWeb"/>
        <w:divId w:val="1722706558"/>
      </w:pPr>
      <w:r>
        <w:t xml:space="preserve">"Aging" is not a single phenotype. Studies use lifespan (or parental lifespan as a proxy), </w:t>
      </w:r>
      <w:proofErr w:type="spellStart"/>
      <w:r>
        <w:t>healthspan</w:t>
      </w:r>
      <w:proofErr w:type="spellEnd"/>
      <w:r>
        <w:t xml:space="preserve"> (years free of major disease), and molecular or physiological biomarkers of biological age. Each has different measurement error and different genetic architecture. The hallmarks-of-aging framework organizes mechanisms such as genomic instability, telomere attrition, epigenetic alteration and cellular senescence (</w:t>
      </w:r>
      <w:proofErr w:type="spellStart"/>
      <w:r>
        <w:t>López-Otín</w:t>
      </w:r>
      <w:proofErr w:type="spellEnd"/>
      <w:r>
        <w:t xml:space="preserve"> et al., 2013), but statistical studies must still choose measurable outcomes.</w:t>
      </w:r>
    </w:p>
    <w:p w14:paraId="6CD7FAF2" w14:textId="77777777" w:rsidR="00EC5EE0" w:rsidRDefault="00EC5EE0">
      <w:pPr>
        <w:pStyle w:val="Heading3"/>
        <w:divId w:val="453836819"/>
        <w:rPr>
          <w:rFonts w:eastAsia="Times New Roman"/>
          <w:kern w:val="0"/>
          <w:sz w:val="27"/>
          <w:szCs w:val="27"/>
          <w14:ligatures w14:val="none"/>
        </w:rPr>
      </w:pPr>
      <w:r>
        <w:rPr>
          <w:rFonts w:eastAsia="Times New Roman"/>
        </w:rPr>
        <w:t>4.2 Heritability of longevity</w:t>
      </w:r>
    </w:p>
    <w:p w14:paraId="34C2F466" w14:textId="77777777" w:rsidR="00EC5EE0" w:rsidRDefault="00EC5EE0">
      <w:pPr>
        <w:pStyle w:val="NormalWeb"/>
        <w:divId w:val="453836819"/>
      </w:pPr>
      <w:r>
        <w:t>Estimates of the heritability of lifespan have varied. Analysis of large genealogical data indicated that earlier twin-based figures were inflated by assortative mating, with heritability closer to roughly 7 percent (Ruby et al., 2018). This is a reminder that family-based estimates depend on assumptions about mating patterns and shared environment, and that lifespan is much less heritable than many disease risk traits.</w:t>
      </w:r>
    </w:p>
    <w:p w14:paraId="3626C8D8" w14:textId="77777777" w:rsidR="00EC5EE0" w:rsidRDefault="00EC5EE0">
      <w:pPr>
        <w:pStyle w:val="Heading3"/>
        <w:divId w:val="453836819"/>
        <w:rPr>
          <w:rFonts w:eastAsia="Times New Roman"/>
        </w:rPr>
      </w:pPr>
      <w:r>
        <w:rPr>
          <w:rFonts w:eastAsia="Times New Roman"/>
        </w:rPr>
        <w:t>4.3 Genome-wide findings</w:t>
      </w:r>
    </w:p>
    <w:p w14:paraId="08F3CD81" w14:textId="77777777" w:rsidR="00EC5EE0" w:rsidRDefault="00EC5EE0">
      <w:pPr>
        <w:pStyle w:val="NormalWeb"/>
        <w:divId w:val="453836819"/>
      </w:pPr>
      <w:r>
        <w:t xml:space="preserve">GWAS of lifespan have used parental survival from </w:t>
      </w:r>
      <w:proofErr w:type="spellStart"/>
      <w:r>
        <w:t>biobanks</w:t>
      </w:r>
      <w:proofErr w:type="spellEnd"/>
      <w:r>
        <w:t xml:space="preserve"> to increase sample size. A study of roughly one million parents' lifespans identified loci with links to smoking </w:t>
      </w:r>
      <w:proofErr w:type="spellStart"/>
      <w:r>
        <w:t>behaviour</w:t>
      </w:r>
      <w:proofErr w:type="spellEnd"/>
      <w:r>
        <w:t>, cardiovascular disease and neurodegeneration, indicating that much of the genetic influence on lifespan operates through major age-related diseases (</w:t>
      </w:r>
      <w:proofErr w:type="spellStart"/>
      <w:r>
        <w:t>Timmers</w:t>
      </w:r>
      <w:proofErr w:type="spellEnd"/>
      <w:r>
        <w:t xml:space="preserve"> et al., 2019). APOE and the CHRNA3/5 region have been reported with age- and sex-dependent effects on lifespan (Joshi et al., 2016). Using parental lifespan requires adjusting for the offspring's genotype sharing (each parent contributes half the offspring's genome) and for sex-specific effects.</w:t>
      </w:r>
    </w:p>
    <w:p w14:paraId="0C1F88D6" w14:textId="77777777" w:rsidR="00EC5EE0" w:rsidRDefault="00EC5EE0">
      <w:pPr>
        <w:pStyle w:val="Heading3"/>
        <w:divId w:val="453836819"/>
        <w:rPr>
          <w:rFonts w:eastAsia="Times New Roman"/>
        </w:rPr>
      </w:pPr>
      <w:r>
        <w:rPr>
          <w:rFonts w:eastAsia="Times New Roman"/>
        </w:rPr>
        <w:t>4.4 Epigenetic clocks and biological age</w:t>
      </w:r>
    </w:p>
    <w:p w14:paraId="30D12B59" w14:textId="77777777" w:rsidR="00EC5EE0" w:rsidRDefault="00EC5EE0">
      <w:pPr>
        <w:pStyle w:val="NormalWeb"/>
        <w:divId w:val="453836819"/>
      </w:pPr>
      <w:r>
        <w:t xml:space="preserve">DNA methylation clocks predict chronological age with high accuracy (Horvath, 2013), and second-generation clocks trained against mortality and clinical markers predict lifespan and </w:t>
      </w:r>
      <w:proofErr w:type="spellStart"/>
      <w:r>
        <w:t>healthspan</w:t>
      </w:r>
      <w:proofErr w:type="spellEnd"/>
      <w:r>
        <w:t xml:space="preserve"> (Levine et al., 2018). Statistically, a key question is whether acceleration of a clock is a cause, a consequence or a correlate of age-related disease. Mendelian randomization and longitudinal designs with repeated methylation measures can help, but clocks trained on cross-sectional data may reflect cohort and cell-composition effects.</w:t>
      </w:r>
    </w:p>
    <w:p w14:paraId="6378B23F" w14:textId="77777777" w:rsidR="00EC5EE0" w:rsidRDefault="00EC5EE0">
      <w:pPr>
        <w:pStyle w:val="Heading3"/>
        <w:divId w:val="453836819"/>
        <w:rPr>
          <w:rFonts w:eastAsia="Times New Roman"/>
        </w:rPr>
      </w:pPr>
      <w:r>
        <w:rPr>
          <w:rFonts w:eastAsia="Times New Roman"/>
        </w:rPr>
        <w:t>4.5 Methodological pitfalls</w:t>
      </w:r>
    </w:p>
    <w:p w14:paraId="285B0E94" w14:textId="77777777" w:rsidR="00EC5EE0" w:rsidRDefault="00EC5EE0" w:rsidP="00EC5EE0">
      <w:pPr>
        <w:numPr>
          <w:ilvl w:val="0"/>
          <w:numId w:val="2"/>
        </w:numPr>
        <w:spacing w:before="100" w:beforeAutospacing="1" w:after="100" w:afterAutospacing="1" w:line="240" w:lineRule="auto"/>
        <w:divId w:val="453836819"/>
        <w:rPr>
          <w:rFonts w:eastAsia="Times New Roman"/>
        </w:rPr>
      </w:pPr>
      <w:r>
        <w:rPr>
          <w:rStyle w:val="Strong"/>
          <w:rFonts w:eastAsia="Times New Roman"/>
        </w:rPr>
        <w:t>Survivor selection.</w:t>
      </w:r>
      <w:r>
        <w:rPr>
          <w:rFonts w:eastAsia="Times New Roman"/>
        </w:rPr>
        <w:t xml:space="preserve"> Genotyped participants in </w:t>
      </w:r>
      <w:proofErr w:type="spellStart"/>
      <w:r>
        <w:rPr>
          <w:rFonts w:eastAsia="Times New Roman"/>
        </w:rPr>
        <w:t>biobanks</w:t>
      </w:r>
      <w:proofErr w:type="spellEnd"/>
      <w:r>
        <w:rPr>
          <w:rFonts w:eastAsia="Times New Roman"/>
        </w:rPr>
        <w:t xml:space="preserve"> tend to be healthier and more likely to survive to recruitment, which can bias associations with late-life traits.</w:t>
      </w:r>
    </w:p>
    <w:p w14:paraId="484B08A0" w14:textId="77777777" w:rsidR="00EC5EE0" w:rsidRDefault="00EC5EE0" w:rsidP="00EC5EE0">
      <w:pPr>
        <w:numPr>
          <w:ilvl w:val="0"/>
          <w:numId w:val="2"/>
        </w:numPr>
        <w:spacing w:before="100" w:beforeAutospacing="1" w:after="100" w:afterAutospacing="1" w:line="240" w:lineRule="auto"/>
        <w:divId w:val="453836819"/>
        <w:rPr>
          <w:rFonts w:eastAsia="Times New Roman"/>
        </w:rPr>
      </w:pPr>
      <w:r>
        <w:rPr>
          <w:rStyle w:val="Strong"/>
          <w:rFonts w:eastAsia="Times New Roman"/>
        </w:rPr>
        <w:t xml:space="preserve">Antagonistic </w:t>
      </w:r>
      <w:proofErr w:type="spellStart"/>
      <w:r>
        <w:rPr>
          <w:rStyle w:val="Strong"/>
          <w:rFonts w:eastAsia="Times New Roman"/>
        </w:rPr>
        <w:t>pleiotropy</w:t>
      </w:r>
      <w:proofErr w:type="spellEnd"/>
      <w:r>
        <w:rPr>
          <w:rStyle w:val="Strong"/>
          <w:rFonts w:eastAsia="Times New Roman"/>
        </w:rPr>
        <w:t>.</w:t>
      </w:r>
      <w:r>
        <w:rPr>
          <w:rFonts w:eastAsia="Times New Roman"/>
        </w:rPr>
        <w:t xml:space="preserve"> Variants beneficial early in life and harmful later require age-varying effect models.</w:t>
      </w:r>
    </w:p>
    <w:p w14:paraId="0196B932" w14:textId="77777777" w:rsidR="00EC5EE0" w:rsidRDefault="00EC5EE0" w:rsidP="00EC5EE0">
      <w:pPr>
        <w:numPr>
          <w:ilvl w:val="0"/>
          <w:numId w:val="2"/>
        </w:numPr>
        <w:spacing w:before="100" w:beforeAutospacing="1" w:after="100" w:afterAutospacing="1" w:line="240" w:lineRule="auto"/>
        <w:divId w:val="453836819"/>
        <w:rPr>
          <w:rFonts w:eastAsia="Times New Roman"/>
        </w:rPr>
      </w:pPr>
      <w:r>
        <w:rPr>
          <w:rStyle w:val="Strong"/>
          <w:rFonts w:eastAsia="Times New Roman"/>
        </w:rPr>
        <w:t>Collider and index-event bias.</w:t>
      </w:r>
      <w:r>
        <w:rPr>
          <w:rFonts w:eastAsia="Times New Roman"/>
        </w:rPr>
        <w:t xml:space="preserve"> Conditioning on disease status when studying </w:t>
      </w:r>
      <w:proofErr w:type="spellStart"/>
      <w:r>
        <w:rPr>
          <w:rFonts w:eastAsia="Times New Roman"/>
        </w:rPr>
        <w:t>healthspan</w:t>
      </w:r>
      <w:proofErr w:type="spellEnd"/>
      <w:r>
        <w:rPr>
          <w:rFonts w:eastAsia="Times New Roman"/>
        </w:rPr>
        <w:t xml:space="preserve"> can induce spurious associations.</w:t>
      </w:r>
    </w:p>
    <w:p w14:paraId="0E4B6931" w14:textId="77777777" w:rsidR="00EC5EE0" w:rsidRDefault="00EC5EE0" w:rsidP="00EC5EE0">
      <w:pPr>
        <w:numPr>
          <w:ilvl w:val="0"/>
          <w:numId w:val="2"/>
        </w:numPr>
        <w:spacing w:before="100" w:beforeAutospacing="1" w:after="100" w:afterAutospacing="1" w:line="240" w:lineRule="auto"/>
        <w:divId w:val="453836819"/>
        <w:rPr>
          <w:rFonts w:eastAsia="Times New Roman"/>
        </w:rPr>
      </w:pPr>
      <w:r>
        <w:rPr>
          <w:rStyle w:val="Strong"/>
          <w:rFonts w:eastAsia="Times New Roman"/>
        </w:rPr>
        <w:t>Rare extreme phenotypes.</w:t>
      </w:r>
      <w:r>
        <w:rPr>
          <w:rFonts w:eastAsia="Times New Roman"/>
        </w:rPr>
        <w:t xml:space="preserve"> Centenarian studies are powerful for rare variants but need carefully matched controls.</w:t>
      </w:r>
    </w:p>
    <w:p w14:paraId="46D3C8B5" w14:textId="77777777" w:rsidR="00913DD8" w:rsidRDefault="00913DD8">
      <w:pPr>
        <w:pStyle w:val="NormalWeb"/>
        <w:divId w:val="1950156734"/>
      </w:pPr>
      <w:r>
        <w:t>metabolic disease in the mother, making pregnancy a window for early risk identification. Models that incorporate pregnancy complications as time-varying covariates in long-term risk prediction are therefore a promising direction.</w:t>
      </w:r>
    </w:p>
    <w:p w14:paraId="45C7A304" w14:textId="77777777" w:rsidR="00913DD8" w:rsidRDefault="00913DD8">
      <w:pPr>
        <w:pStyle w:val="Heading2"/>
        <w:divId w:val="1950156734"/>
        <w:rPr>
          <w:rFonts w:eastAsia="Times New Roman"/>
        </w:rPr>
      </w:pPr>
      <w:r>
        <w:rPr>
          <w:rFonts w:eastAsia="Times New Roman"/>
        </w:rPr>
        <w:t>6. Genomic prediction for personalized health</w:t>
      </w:r>
    </w:p>
    <w:p w14:paraId="16C5B370" w14:textId="77777777" w:rsidR="00913DD8" w:rsidRDefault="00913DD8">
      <w:pPr>
        <w:pStyle w:val="Heading3"/>
        <w:divId w:val="1950156734"/>
        <w:rPr>
          <w:rFonts w:eastAsia="Times New Roman"/>
        </w:rPr>
      </w:pPr>
      <w:r>
        <w:rPr>
          <w:rFonts w:eastAsia="Times New Roman"/>
        </w:rPr>
        <w:t>6.1 Constructing polygenic scores</w:t>
      </w:r>
    </w:p>
    <w:p w14:paraId="39818124" w14:textId="77777777" w:rsidR="00913DD8" w:rsidRDefault="00913DD8">
      <w:pPr>
        <w:pStyle w:val="NormalWeb"/>
        <w:divId w:val="1950156734"/>
      </w:pPr>
      <w:r>
        <w:t xml:space="preserve">A polygenic score is a weighted sum of risk alleles, </w:t>
      </w:r>
      <w:proofErr w:type="spellStart"/>
      <w:r>
        <w:t>PRS_i</w:t>
      </w:r>
      <w:proofErr w:type="spellEnd"/>
      <w:r>
        <w:t xml:space="preserve"> = </w:t>
      </w:r>
      <w:proofErr w:type="spellStart"/>
      <w:r>
        <w:t>Σ_j</w:t>
      </w:r>
      <w:proofErr w:type="spellEnd"/>
      <w:r>
        <w:t xml:space="preserve"> </w:t>
      </w:r>
      <w:proofErr w:type="spellStart"/>
      <w:r>
        <w:t>w_j</w:t>
      </w:r>
      <w:proofErr w:type="spellEnd"/>
      <w:r>
        <w:t xml:space="preserve"> · </w:t>
      </w:r>
      <w:proofErr w:type="spellStart"/>
      <w:r>
        <w:t>x_ij</w:t>
      </w:r>
      <w:proofErr w:type="spellEnd"/>
      <w:r>
        <w:t>. Methods differ in how weights are derived from GWAS summary statistics:</w:t>
      </w:r>
    </w:p>
    <w:p w14:paraId="3844176C" w14:textId="77777777" w:rsidR="00913DD8" w:rsidRDefault="00913DD8" w:rsidP="00913DD8">
      <w:pPr>
        <w:numPr>
          <w:ilvl w:val="0"/>
          <w:numId w:val="3"/>
        </w:numPr>
        <w:spacing w:before="100" w:beforeAutospacing="1" w:after="100" w:afterAutospacing="1" w:line="240" w:lineRule="auto"/>
        <w:divId w:val="1950156734"/>
        <w:rPr>
          <w:rFonts w:eastAsia="Times New Roman"/>
        </w:rPr>
      </w:pPr>
      <w:r>
        <w:rPr>
          <w:rStyle w:val="Strong"/>
          <w:rFonts w:eastAsia="Times New Roman"/>
        </w:rPr>
        <w:t xml:space="preserve">Clumping and </w:t>
      </w:r>
      <w:proofErr w:type="spellStart"/>
      <w:r>
        <w:rPr>
          <w:rStyle w:val="Strong"/>
          <w:rFonts w:eastAsia="Times New Roman"/>
        </w:rPr>
        <w:t>thresholding</w:t>
      </w:r>
      <w:proofErr w:type="spellEnd"/>
      <w:r>
        <w:rPr>
          <w:rFonts w:eastAsia="Times New Roman"/>
        </w:rPr>
        <w:t xml:space="preserve"> selects approximately independent variants below a p-value cut-off.</w:t>
      </w:r>
    </w:p>
    <w:p w14:paraId="27435FCE" w14:textId="77777777" w:rsidR="00913DD8" w:rsidRDefault="00913DD8" w:rsidP="00913DD8">
      <w:pPr>
        <w:numPr>
          <w:ilvl w:val="0"/>
          <w:numId w:val="3"/>
        </w:numPr>
        <w:spacing w:before="100" w:beforeAutospacing="1" w:after="100" w:afterAutospacing="1" w:line="240" w:lineRule="auto"/>
        <w:divId w:val="1950156734"/>
        <w:rPr>
          <w:rFonts w:eastAsia="Times New Roman"/>
        </w:rPr>
      </w:pPr>
      <w:proofErr w:type="spellStart"/>
      <w:r>
        <w:rPr>
          <w:rStyle w:val="Strong"/>
          <w:rFonts w:eastAsia="Times New Roman"/>
        </w:rPr>
        <w:t>LDpred</w:t>
      </w:r>
      <w:proofErr w:type="spellEnd"/>
      <w:r>
        <w:rPr>
          <w:rStyle w:val="Strong"/>
          <w:rFonts w:eastAsia="Times New Roman"/>
        </w:rPr>
        <w:t xml:space="preserve"> and LDpred2</w:t>
      </w:r>
      <w:r>
        <w:rPr>
          <w:rFonts w:eastAsia="Times New Roman"/>
        </w:rPr>
        <w:t xml:space="preserve"> place a prior on effect sizes and use an LD reference to infer posterior means (</w:t>
      </w:r>
      <w:proofErr w:type="spellStart"/>
      <w:r>
        <w:rPr>
          <w:rFonts w:eastAsia="Times New Roman"/>
        </w:rPr>
        <w:t>Vilhjálmsson</w:t>
      </w:r>
      <w:proofErr w:type="spellEnd"/>
      <w:r>
        <w:rPr>
          <w:rFonts w:eastAsia="Times New Roman"/>
        </w:rPr>
        <w:t xml:space="preserve"> et al., 2015; </w:t>
      </w:r>
      <w:proofErr w:type="spellStart"/>
      <w:r>
        <w:rPr>
          <w:rFonts w:eastAsia="Times New Roman"/>
        </w:rPr>
        <w:t>Privé</w:t>
      </w:r>
      <w:proofErr w:type="spellEnd"/>
      <w:r>
        <w:rPr>
          <w:rFonts w:eastAsia="Times New Roman"/>
        </w:rPr>
        <w:t xml:space="preserve"> et al., 2020).</w:t>
      </w:r>
    </w:p>
    <w:p w14:paraId="5EBF25F2" w14:textId="77777777" w:rsidR="00913DD8" w:rsidRDefault="00913DD8" w:rsidP="00913DD8">
      <w:pPr>
        <w:numPr>
          <w:ilvl w:val="0"/>
          <w:numId w:val="3"/>
        </w:numPr>
        <w:spacing w:before="100" w:beforeAutospacing="1" w:after="100" w:afterAutospacing="1" w:line="240" w:lineRule="auto"/>
        <w:divId w:val="1950156734"/>
        <w:rPr>
          <w:rFonts w:eastAsia="Times New Roman"/>
        </w:rPr>
      </w:pPr>
      <w:r>
        <w:rPr>
          <w:rStyle w:val="Strong"/>
          <w:rFonts w:eastAsia="Times New Roman"/>
        </w:rPr>
        <w:t>PRS-CS</w:t>
      </w:r>
      <w:r>
        <w:rPr>
          <w:rFonts w:eastAsia="Times New Roman"/>
        </w:rPr>
        <w:t xml:space="preserve"> uses continuous shrinkage priors (Ge et al., 2019).</w:t>
      </w:r>
    </w:p>
    <w:p w14:paraId="661F9306" w14:textId="77777777" w:rsidR="00913DD8" w:rsidRDefault="00913DD8" w:rsidP="00913DD8">
      <w:pPr>
        <w:numPr>
          <w:ilvl w:val="0"/>
          <w:numId w:val="3"/>
        </w:numPr>
        <w:spacing w:before="100" w:beforeAutospacing="1" w:after="100" w:afterAutospacing="1" w:line="240" w:lineRule="auto"/>
        <w:divId w:val="1950156734"/>
        <w:rPr>
          <w:rFonts w:eastAsia="Times New Roman"/>
        </w:rPr>
      </w:pPr>
      <w:proofErr w:type="spellStart"/>
      <w:r>
        <w:rPr>
          <w:rStyle w:val="Strong"/>
          <w:rFonts w:eastAsia="Times New Roman"/>
        </w:rPr>
        <w:t>Lassosum</w:t>
      </w:r>
      <w:proofErr w:type="spellEnd"/>
      <w:r>
        <w:rPr>
          <w:rFonts w:eastAsia="Times New Roman"/>
        </w:rPr>
        <w:t xml:space="preserve"> applies penalized regression on summary statistics (</w:t>
      </w:r>
      <w:proofErr w:type="spellStart"/>
      <w:r>
        <w:rPr>
          <w:rFonts w:eastAsia="Times New Roman"/>
        </w:rPr>
        <w:t>Mak</w:t>
      </w:r>
      <w:proofErr w:type="spellEnd"/>
      <w:r>
        <w:rPr>
          <w:rFonts w:eastAsia="Times New Roman"/>
        </w:rPr>
        <w:t xml:space="preserve"> et al., 2017).</w:t>
      </w:r>
    </w:p>
    <w:p w14:paraId="64582C69" w14:textId="77777777" w:rsidR="00913DD8" w:rsidRDefault="00913DD8" w:rsidP="00913DD8">
      <w:pPr>
        <w:numPr>
          <w:ilvl w:val="0"/>
          <w:numId w:val="3"/>
        </w:numPr>
        <w:spacing w:before="100" w:beforeAutospacing="1" w:after="100" w:afterAutospacing="1" w:line="240" w:lineRule="auto"/>
        <w:divId w:val="1950156734"/>
        <w:rPr>
          <w:rFonts w:eastAsia="Times New Roman"/>
        </w:rPr>
      </w:pPr>
      <w:proofErr w:type="spellStart"/>
      <w:r>
        <w:rPr>
          <w:rStyle w:val="Strong"/>
          <w:rFonts w:eastAsia="Times New Roman"/>
        </w:rPr>
        <w:t>SBayesR</w:t>
      </w:r>
      <w:proofErr w:type="spellEnd"/>
      <w:r>
        <w:rPr>
          <w:rFonts w:eastAsia="Times New Roman"/>
        </w:rPr>
        <w:t xml:space="preserve"> uses a Bayesian multiple regression with a finite mixture prior (Lloyd-Jones et al., 2019).</w:t>
      </w:r>
    </w:p>
    <w:p w14:paraId="25ACB32E" w14:textId="77777777" w:rsidR="00913DD8" w:rsidRDefault="00913DD8" w:rsidP="00913DD8">
      <w:pPr>
        <w:numPr>
          <w:ilvl w:val="0"/>
          <w:numId w:val="3"/>
        </w:numPr>
        <w:spacing w:before="100" w:beforeAutospacing="1" w:after="100" w:afterAutospacing="1" w:line="240" w:lineRule="auto"/>
        <w:divId w:val="1950156734"/>
        <w:rPr>
          <w:rFonts w:eastAsia="Times New Roman"/>
        </w:rPr>
      </w:pPr>
      <w:r>
        <w:rPr>
          <w:rStyle w:val="Strong"/>
          <w:rFonts w:eastAsia="Times New Roman"/>
        </w:rPr>
        <w:t>Genome-wide polygenic scores</w:t>
      </w:r>
      <w:r>
        <w:rPr>
          <w:rFonts w:eastAsia="Times New Roman"/>
        </w:rPr>
        <w:t xml:space="preserve"> with millions of variants have been shown to identify individuals whose risk for several common diseases is comparable to that of carriers of monogenic mutations (</w:t>
      </w:r>
      <w:proofErr w:type="spellStart"/>
      <w:r>
        <w:rPr>
          <w:rFonts w:eastAsia="Times New Roman"/>
        </w:rPr>
        <w:t>Khera</w:t>
      </w:r>
      <w:proofErr w:type="spellEnd"/>
      <w:r>
        <w:rPr>
          <w:rFonts w:eastAsia="Times New Roman"/>
        </w:rPr>
        <w:t xml:space="preserve"> et al., 2018).</w:t>
      </w:r>
    </w:p>
    <w:p w14:paraId="6D62A8ED" w14:textId="77777777" w:rsidR="00913DD8" w:rsidRDefault="00913DD8">
      <w:pPr>
        <w:pStyle w:val="NormalWeb"/>
        <w:divId w:val="1950156734"/>
      </w:pPr>
      <w:r>
        <w:t xml:space="preserve">The appropriate method depends on trait architecture and the availability of an unbiased tuning set. </w:t>
      </w:r>
      <w:proofErr w:type="spellStart"/>
      <w:r>
        <w:t>Hyperparameters</w:t>
      </w:r>
      <w:proofErr w:type="spellEnd"/>
      <w:r>
        <w:t xml:space="preserve"> should be tuned in data independent of the final test set, and the choice should be pre-specified.</w:t>
      </w:r>
    </w:p>
    <w:p w14:paraId="77F67E48" w14:textId="77777777" w:rsidR="006B37B7" w:rsidRDefault="006B37B7">
      <w:pPr>
        <w:pStyle w:val="Heading3"/>
        <w:rPr>
          <w:rFonts w:eastAsia="Times New Roman"/>
        </w:rPr>
      </w:pPr>
      <w:r>
        <w:rPr>
          <w:rFonts w:eastAsia="Times New Roman"/>
        </w:rPr>
        <w:t>6.2 Evaluating clinical utility</w:t>
      </w:r>
    </w:p>
    <w:p w14:paraId="46578F3C" w14:textId="77777777" w:rsidR="006B37B7" w:rsidRDefault="006B37B7">
      <w:pPr>
        <w:pStyle w:val="NormalWeb"/>
      </w:pPr>
      <w:r>
        <w:t>Predictive performance has several dimensions that should all be reported:</w:t>
      </w:r>
    </w:p>
    <w:p w14:paraId="281ECD09" w14:textId="77777777" w:rsidR="006B37B7" w:rsidRDefault="006B37B7" w:rsidP="006B37B7">
      <w:pPr>
        <w:numPr>
          <w:ilvl w:val="0"/>
          <w:numId w:val="1"/>
        </w:numPr>
        <w:spacing w:before="100" w:beforeAutospacing="1" w:after="100" w:afterAutospacing="1" w:line="240" w:lineRule="auto"/>
        <w:rPr>
          <w:rFonts w:eastAsia="Times New Roman"/>
        </w:rPr>
      </w:pPr>
      <w:r>
        <w:rPr>
          <w:rStyle w:val="Strong"/>
          <w:rFonts w:eastAsia="Times New Roman"/>
        </w:rPr>
        <w:t>Discrimination:</w:t>
      </w:r>
      <w:r>
        <w:rPr>
          <w:rFonts w:eastAsia="Times New Roman"/>
        </w:rPr>
        <w:t xml:space="preserve"> area under the ROC curve or, for time-to-event outcomes, Harrell's C-index or time-dependent AUC.</w:t>
      </w:r>
    </w:p>
    <w:p w14:paraId="40AC9CC0" w14:textId="77777777" w:rsidR="006B37B7" w:rsidRDefault="006B37B7" w:rsidP="006B37B7">
      <w:pPr>
        <w:numPr>
          <w:ilvl w:val="0"/>
          <w:numId w:val="1"/>
        </w:numPr>
        <w:spacing w:before="100" w:beforeAutospacing="1" w:after="100" w:afterAutospacing="1" w:line="240" w:lineRule="auto"/>
        <w:rPr>
          <w:rFonts w:eastAsia="Times New Roman"/>
        </w:rPr>
      </w:pPr>
      <w:r>
        <w:rPr>
          <w:rStyle w:val="Strong"/>
          <w:rFonts w:eastAsia="Times New Roman"/>
        </w:rPr>
        <w:t>Calibration:</w:t>
      </w:r>
      <w:r>
        <w:rPr>
          <w:rFonts w:eastAsia="Times New Roman"/>
        </w:rPr>
        <w:t xml:space="preserve"> agreement between predicted and observed risk, using calibration plots and slope, which is essential for absolute-risk communication.</w:t>
      </w:r>
    </w:p>
    <w:p w14:paraId="39063A5B" w14:textId="77777777" w:rsidR="006B37B7" w:rsidRDefault="006B37B7" w:rsidP="006B37B7">
      <w:pPr>
        <w:numPr>
          <w:ilvl w:val="0"/>
          <w:numId w:val="1"/>
        </w:numPr>
        <w:spacing w:before="100" w:beforeAutospacing="1" w:after="100" w:afterAutospacing="1" w:line="240" w:lineRule="auto"/>
        <w:rPr>
          <w:rFonts w:eastAsia="Times New Roman"/>
        </w:rPr>
      </w:pPr>
      <w:r>
        <w:rPr>
          <w:rStyle w:val="Strong"/>
          <w:rFonts w:eastAsia="Times New Roman"/>
        </w:rPr>
        <w:t>Incremental value:</w:t>
      </w:r>
      <w:r>
        <w:rPr>
          <w:rFonts w:eastAsia="Times New Roman"/>
        </w:rPr>
        <w:t xml:space="preserve"> change in discrimination, net reclassification and decision-curve analysis relative to a clinical-only model.</w:t>
      </w:r>
    </w:p>
    <w:p w14:paraId="3EF98F46" w14:textId="77777777" w:rsidR="006B37B7" w:rsidRDefault="006B37B7" w:rsidP="006B37B7">
      <w:pPr>
        <w:numPr>
          <w:ilvl w:val="0"/>
          <w:numId w:val="1"/>
        </w:numPr>
        <w:spacing w:before="100" w:beforeAutospacing="1" w:after="100" w:afterAutospacing="1" w:line="240" w:lineRule="auto"/>
        <w:rPr>
          <w:rFonts w:eastAsia="Times New Roman"/>
        </w:rPr>
      </w:pPr>
      <w:r>
        <w:rPr>
          <w:rStyle w:val="Strong"/>
          <w:rFonts w:eastAsia="Times New Roman"/>
        </w:rPr>
        <w:t>Risk stratification:</w:t>
      </w:r>
      <w:r>
        <w:rPr>
          <w:rFonts w:eastAsia="Times New Roman"/>
        </w:rPr>
        <w:t xml:space="preserve"> the proportion of the population above clinically meaningful thresholds and the enrichment of events in the top percentiles.</w:t>
      </w:r>
    </w:p>
    <w:p w14:paraId="06FA3E95" w14:textId="77777777" w:rsidR="006B37B7" w:rsidRDefault="006B37B7">
      <w:pPr>
        <w:pStyle w:val="NormalWeb"/>
      </w:pPr>
      <w:r>
        <w:t xml:space="preserve">Evidence to date shows that polygenic scores can add information for coronary disease and breast cancer (Inouye et al., 2018; </w:t>
      </w:r>
      <w:proofErr w:type="spellStart"/>
      <w:r>
        <w:t>Mavaddat</w:t>
      </w:r>
      <w:proofErr w:type="spellEnd"/>
      <w:r>
        <w:t xml:space="preserve"> et al., 2019), and that their value is greatest when integrated with clinical risk rather than used alone (</w:t>
      </w:r>
      <w:proofErr w:type="spellStart"/>
      <w:r>
        <w:t>Torkamani</w:t>
      </w:r>
      <w:proofErr w:type="spellEnd"/>
      <w:r>
        <w:t xml:space="preserve"> et al., 2018; Lewis and </w:t>
      </w:r>
      <w:proofErr w:type="spellStart"/>
      <w:r>
        <w:t>Vassos</w:t>
      </w:r>
      <w:proofErr w:type="spellEnd"/>
      <w:r>
        <w:t>, 2020). A primer on the translation from research to practice is provided by Wray et al. (2021).</w:t>
      </w:r>
    </w:p>
    <w:p w14:paraId="493F9EEA" w14:textId="77777777" w:rsidR="006B37B7" w:rsidRDefault="006B37B7">
      <w:pPr>
        <w:pStyle w:val="Heading3"/>
        <w:rPr>
          <w:rFonts w:eastAsia="Times New Roman"/>
        </w:rPr>
      </w:pPr>
      <w:r>
        <w:rPr>
          <w:rFonts w:eastAsia="Times New Roman"/>
        </w:rPr>
        <w:t>6.3 Portability across ancestries</w:t>
      </w:r>
    </w:p>
    <w:p w14:paraId="28C0471C" w14:textId="77777777" w:rsidR="006B37B7" w:rsidRDefault="006B37B7">
      <w:pPr>
        <w:pStyle w:val="NormalWeb"/>
      </w:pPr>
      <w:r>
        <w:t>Polygenic scores trained mostly on European-ancestry GWAS lose accuracy in other populations because of differences in LD, allele frequencies and effect heterogeneity, and clinical use of current scores may therefore widen health disparities (Martin et al., 2019). Strategies include multi-ancestry GWAS, methods that jointly model ancestry-specific effects (for example, PRS-</w:t>
      </w:r>
      <w:proofErr w:type="spellStart"/>
      <w:r>
        <w:t>CSx</w:t>
      </w:r>
      <w:proofErr w:type="spellEnd"/>
      <w:r>
        <w:t xml:space="preserve">; </w:t>
      </w:r>
      <w:proofErr w:type="spellStart"/>
      <w:r>
        <w:t>Ruan</w:t>
      </w:r>
      <w:proofErr w:type="spellEnd"/>
      <w:r>
        <w:t xml:space="preserve"> et al., 2022), local-ancestry-aware approaches, and ancestry-specific calibration. A broader review of transfer methods is given by </w:t>
      </w:r>
      <w:proofErr w:type="spellStart"/>
      <w:r>
        <w:t>Kachuri</w:t>
      </w:r>
      <w:proofErr w:type="spellEnd"/>
      <w:r>
        <w:t xml:space="preserve"> et al. (2024). Treating ancestry as a continuum, for example through principal components, is preferable to discrete categories for both modelling and reporting.</w:t>
      </w:r>
    </w:p>
    <w:p w14:paraId="7CDACEAB" w14:textId="77777777" w:rsidR="00611063" w:rsidRDefault="00611063">
      <w:pPr>
        <w:pStyle w:val="NormalWeb"/>
      </w:pPr>
      <w:r>
        <w:t>6.4 Toward age-aware and life-course prediction</w:t>
      </w:r>
    </w:p>
    <w:p w14:paraId="71377E7D" w14:textId="77777777" w:rsidR="00611063" w:rsidRDefault="00611063">
      <w:pPr>
        <w:pStyle w:val="NormalWeb"/>
      </w:pPr>
      <w:r>
        <w:t>Most deployed scores output a single lifetime or fixed-horizon risk. A personalized-health setting needs risk as a function of age and time horizon. This can be achieved by embedding the polygenic score in a survival model with age-varying effects (Section 3.2), by landmark models that update risk at successive ages with new clinical data, or by joint models linking longitudinal biomarkers to event times. For women, pregnancy events can be included as time-varying inputs (Section 5.4).</w:t>
      </w:r>
    </w:p>
    <w:p w14:paraId="78FC71B9" w14:textId="77777777" w:rsidR="00611063" w:rsidRDefault="00611063">
      <w:pPr>
        <w:pStyle w:val="NormalWeb"/>
      </w:pPr>
      <w:r>
        <w:t>7. Proposed integrated framework and validation plan</w:t>
      </w:r>
    </w:p>
    <w:p w14:paraId="07A3D134" w14:textId="77777777" w:rsidR="00611063" w:rsidRDefault="00611063">
      <w:pPr>
        <w:pStyle w:val="NormalWeb"/>
      </w:pPr>
      <w:r>
        <w:t>7.1 Framework</w:t>
      </w:r>
    </w:p>
    <w:p w14:paraId="329D6945" w14:textId="77777777" w:rsidR="00611063" w:rsidRDefault="00611063">
      <w:pPr>
        <w:pStyle w:val="NormalWeb"/>
      </w:pPr>
      <w:r>
        <w:t>We propose a modular framework with four components:</w:t>
      </w:r>
    </w:p>
    <w:p w14:paraId="5BDC4A71" w14:textId="77777777" w:rsidR="00611063" w:rsidRDefault="00611063">
      <w:pPr>
        <w:pStyle w:val="NormalWeb"/>
      </w:pPr>
      <w:r>
        <w:t>1. Genetic layer. Ancestry-aware polygenic scores for target diseases and, where relevant, for risk factors (blood pressure, glucose, lipids) and aging-related traits. Scores are derived from multi-ancestry summary statistics with shrinkage methods, and standardized within ancestry-continuum-adjusted reference distributions.</w:t>
      </w:r>
    </w:p>
    <w:p w14:paraId="2D20AABE" w14:textId="77777777" w:rsidR="00611063" w:rsidRDefault="00611063">
      <w:pPr>
        <w:pStyle w:val="NormalWeb"/>
      </w:pPr>
      <w:r>
        <w:t>2. Clinical layer. Established risk factors and, for women, reproductive and pregnancy history. A clinical-only model serves as the benchmark.</w:t>
      </w:r>
    </w:p>
    <w:p w14:paraId="5942FEC2" w14:textId="77777777" w:rsidR="00611063" w:rsidRDefault="00611063">
      <w:pPr>
        <w:pStyle w:val="NormalWeb"/>
      </w:pPr>
      <w:r>
        <w:t>3. Temporal layer. A time-to-event model with age as the time scale, left truncation for delayed entry, competing risks, and age-varying genetic effects, producing absolute risk over clinically relevant horizons.</w:t>
      </w:r>
    </w:p>
    <w:p w14:paraId="7A343A1B" w14:textId="77777777" w:rsidR="00611063" w:rsidRDefault="00611063">
      <w:pPr>
        <w:pStyle w:val="NormalWeb"/>
      </w:pPr>
      <w:r>
        <w:t>4. Maternal-fetal layer (where applicable). Joint maternal and fetal genetic effects for pregnancy outcomes, with explicit handling of selection on live birth.</w:t>
      </w:r>
    </w:p>
    <w:p w14:paraId="40A611A6" w14:textId="77777777" w:rsidR="00611063" w:rsidRDefault="00611063">
      <w:pPr>
        <w:pStyle w:val="NormalWeb"/>
      </w:pPr>
      <w:r>
        <w:t>7.2 Study design and analysis plan</w:t>
      </w:r>
    </w:p>
    <w:p w14:paraId="3DFFE01A" w14:textId="77777777" w:rsidR="00611063" w:rsidRDefault="00611063">
      <w:pPr>
        <w:pStyle w:val="NormalWeb"/>
      </w:pPr>
      <w:r>
        <w:t>We recommend a pre-registered design with the following elements.</w:t>
      </w:r>
    </w:p>
    <w:p w14:paraId="1C451446" w14:textId="77777777" w:rsidR="00611063" w:rsidRDefault="00611063">
      <w:pPr>
        <w:pStyle w:val="NormalWeb"/>
      </w:pPr>
      <w:r>
        <w:t xml:space="preserve">• Data. A population </w:t>
      </w:r>
      <w:proofErr w:type="spellStart"/>
      <w:r>
        <w:t>biobank</w:t>
      </w:r>
      <w:proofErr w:type="spellEnd"/>
      <w:r>
        <w:t xml:space="preserve"> or health-system cohort with genotype data, longitudinal electronic health records, and, for the maternal component, linked pregnancy records. A fully independent cohort, preferably of different ancestry composition, is reserved for external validation.</w:t>
      </w:r>
    </w:p>
    <w:p w14:paraId="21277834" w14:textId="77777777" w:rsidR="00611063" w:rsidRDefault="00611063">
      <w:pPr>
        <w:pStyle w:val="NormalWeb"/>
      </w:pPr>
      <w:r>
        <w:t>• Splits. Training, tuning and testing sets separated by individual and, to avoid leakage, by family relatedness.</w:t>
      </w:r>
    </w:p>
    <w:p w14:paraId="023B3444" w14:textId="77777777" w:rsidR="00611063" w:rsidRDefault="00611063">
      <w:pPr>
        <w:pStyle w:val="NormalWeb"/>
      </w:pPr>
      <w:r>
        <w:t>• Outcomes. Incident disease with validated phenotype definitions, onset age from linked records, and competing mortality.</w:t>
      </w:r>
    </w:p>
    <w:p w14:paraId="3450D238" w14:textId="77777777" w:rsidR="00611063" w:rsidRDefault="00611063">
      <w:pPr>
        <w:pStyle w:val="NormalWeb"/>
      </w:pPr>
      <w:r>
        <w:t>• Primary comparison. Clinical-only model versus clinical plus polygenic model, evaluated by time-dependent AUC, calibration slope, and decision-curve net benefit at pre-specified thresholds.</w:t>
      </w:r>
    </w:p>
    <w:p w14:paraId="1B9D8D0F" w14:textId="77777777" w:rsidR="00611063" w:rsidRDefault="00611063">
      <w:pPr>
        <w:pStyle w:val="NormalWeb"/>
      </w:pPr>
      <w:r>
        <w:t>• Subgroups. Performance reported by ancestry continuum, sex, and age band, with explicit analysis of calibration drift.</w:t>
      </w:r>
    </w:p>
    <w:p w14:paraId="06393359" w14:textId="77777777" w:rsidR="00611063" w:rsidRDefault="00611063">
      <w:pPr>
        <w:pStyle w:val="NormalWeb"/>
      </w:pPr>
      <w:r>
        <w:t xml:space="preserve">• Sensitivity analyses. Alternative score-construction methods, alternative onset definitions, inverse-probability weighting for selection into the </w:t>
      </w:r>
      <w:proofErr w:type="spellStart"/>
      <w:r>
        <w:t>biobank</w:t>
      </w:r>
      <w:proofErr w:type="spellEnd"/>
      <w:r>
        <w:t>, and negative-control outcomes.</w:t>
      </w:r>
    </w:p>
    <w:p w14:paraId="5B7387F7" w14:textId="77777777" w:rsidR="00611063" w:rsidRDefault="00611063">
      <w:pPr>
        <w:pStyle w:val="NormalWeb"/>
      </w:pPr>
      <w:r>
        <w:t>• Reporting. Adherence to TRIPOD for prediction models and, for genetic-association components, STREGA, with the polygenic score reporting standards followed for score documentation.</w:t>
      </w:r>
    </w:p>
    <w:p w14:paraId="0295CAFB" w14:textId="77777777" w:rsidR="00E84D8D" w:rsidRDefault="00E84D8D" w:rsidP="00E84D8D">
      <w:pPr>
        <w:numPr>
          <w:ilvl w:val="0"/>
          <w:numId w:val="4"/>
        </w:numPr>
        <w:spacing w:before="100" w:beforeAutospacing="1" w:after="100" w:afterAutospacing="1" w:line="240" w:lineRule="auto"/>
        <w:divId w:val="1713459307"/>
        <w:rPr>
          <w:rFonts w:eastAsia="Times New Roman"/>
          <w:kern w:val="0"/>
          <w14:ligatures w14:val="none"/>
        </w:rPr>
      </w:pPr>
      <w:r>
        <w:rPr>
          <w:rFonts w:eastAsia="Times New Roman"/>
        </w:rPr>
        <w:t>557.</w:t>
      </w:r>
    </w:p>
    <w:p w14:paraId="4798AC66" w14:textId="77777777" w:rsidR="00E84D8D" w:rsidRDefault="00E84D8D" w:rsidP="00E84D8D">
      <w:pPr>
        <w:numPr>
          <w:ilvl w:val="0"/>
          <w:numId w:val="4"/>
        </w:numPr>
        <w:spacing w:before="100" w:beforeAutospacing="1" w:after="100" w:afterAutospacing="1" w:line="240" w:lineRule="auto"/>
        <w:divId w:val="1713459307"/>
        <w:rPr>
          <w:rFonts w:eastAsia="Times New Roman"/>
        </w:rPr>
      </w:pPr>
      <w:r>
        <w:rPr>
          <w:rFonts w:eastAsia="Times New Roman"/>
        </w:rPr>
        <w:t xml:space="preserve">Martin AR, et al. (2019). Clinical use of current polygenic risk scores may exacerbate health disparities. </w:t>
      </w:r>
      <w:r>
        <w:rPr>
          <w:rStyle w:val="Emphasis"/>
          <w:rFonts w:eastAsia="Times New Roman"/>
        </w:rPr>
        <w:t>Nat Genet</w:t>
      </w:r>
      <w:r>
        <w:rPr>
          <w:rFonts w:eastAsia="Times New Roman"/>
        </w:rPr>
        <w:t xml:space="preserve"> 51:584-591.</w:t>
      </w:r>
    </w:p>
    <w:p w14:paraId="471AB2DF" w14:textId="77777777" w:rsidR="00E84D8D" w:rsidRDefault="00E84D8D" w:rsidP="00E84D8D">
      <w:pPr>
        <w:numPr>
          <w:ilvl w:val="0"/>
          <w:numId w:val="4"/>
        </w:numPr>
        <w:spacing w:before="100" w:beforeAutospacing="1" w:after="100" w:afterAutospacing="1" w:line="240" w:lineRule="auto"/>
        <w:divId w:val="1713459307"/>
        <w:rPr>
          <w:rFonts w:eastAsia="Times New Roman"/>
        </w:rPr>
      </w:pPr>
      <w:proofErr w:type="spellStart"/>
      <w:r>
        <w:rPr>
          <w:rFonts w:eastAsia="Times New Roman"/>
        </w:rPr>
        <w:t>Mavaddat</w:t>
      </w:r>
      <w:proofErr w:type="spellEnd"/>
      <w:r>
        <w:rPr>
          <w:rFonts w:eastAsia="Times New Roman"/>
        </w:rPr>
        <w:t xml:space="preserve"> N, et al. (2019). Polygenic risk scores for prediction of breast cancer and breast cancer subtypes. </w:t>
      </w:r>
      <w:r>
        <w:rPr>
          <w:rStyle w:val="Emphasis"/>
          <w:rFonts w:eastAsia="Times New Roman"/>
        </w:rPr>
        <w:t>Am J Hum Genet</w:t>
      </w:r>
      <w:r>
        <w:rPr>
          <w:rFonts w:eastAsia="Times New Roman"/>
        </w:rPr>
        <w:t xml:space="preserve"> 104:21-34.</w:t>
      </w:r>
    </w:p>
    <w:p w14:paraId="664CF25F" w14:textId="77777777" w:rsidR="00E84D8D" w:rsidRDefault="00E84D8D" w:rsidP="00E84D8D">
      <w:pPr>
        <w:numPr>
          <w:ilvl w:val="0"/>
          <w:numId w:val="4"/>
        </w:numPr>
        <w:spacing w:before="100" w:beforeAutospacing="1" w:after="100" w:afterAutospacing="1" w:line="240" w:lineRule="auto"/>
        <w:divId w:val="1713459307"/>
        <w:rPr>
          <w:rFonts w:eastAsia="Times New Roman"/>
        </w:rPr>
      </w:pPr>
      <w:proofErr w:type="spellStart"/>
      <w:r>
        <w:rPr>
          <w:rFonts w:eastAsia="Times New Roman"/>
        </w:rPr>
        <w:t>Pervjakova</w:t>
      </w:r>
      <w:proofErr w:type="spellEnd"/>
      <w:r>
        <w:rPr>
          <w:rFonts w:eastAsia="Times New Roman"/>
        </w:rPr>
        <w:t xml:space="preserve"> N, et al. (2022). Multi-ancestry genome-wide association study of gestational diabetes mellitus highlights genetic links with type 2 diabetes. </w:t>
      </w:r>
      <w:r>
        <w:rPr>
          <w:rStyle w:val="Emphasis"/>
          <w:rFonts w:eastAsia="Times New Roman"/>
        </w:rPr>
        <w:t xml:space="preserve">Hum </w:t>
      </w:r>
      <w:proofErr w:type="spellStart"/>
      <w:r>
        <w:rPr>
          <w:rStyle w:val="Emphasis"/>
          <w:rFonts w:eastAsia="Times New Roman"/>
        </w:rPr>
        <w:t>Mol</w:t>
      </w:r>
      <w:proofErr w:type="spellEnd"/>
      <w:r>
        <w:rPr>
          <w:rStyle w:val="Emphasis"/>
          <w:rFonts w:eastAsia="Times New Roman"/>
        </w:rPr>
        <w:t xml:space="preserve"> Genet</w:t>
      </w:r>
      <w:r>
        <w:rPr>
          <w:rFonts w:eastAsia="Times New Roman"/>
        </w:rPr>
        <w:t xml:space="preserve"> 31:3377-3391.</w:t>
      </w:r>
    </w:p>
    <w:p w14:paraId="30FB0CCA" w14:textId="77777777" w:rsidR="00E84D8D" w:rsidRDefault="00E84D8D" w:rsidP="00E84D8D">
      <w:pPr>
        <w:numPr>
          <w:ilvl w:val="0"/>
          <w:numId w:val="4"/>
        </w:numPr>
        <w:spacing w:before="100" w:beforeAutospacing="1" w:after="100" w:afterAutospacing="1" w:line="240" w:lineRule="auto"/>
        <w:divId w:val="1713459307"/>
        <w:rPr>
          <w:rFonts w:eastAsia="Times New Roman"/>
        </w:rPr>
      </w:pPr>
      <w:proofErr w:type="spellStart"/>
      <w:r>
        <w:rPr>
          <w:rFonts w:eastAsia="Times New Roman"/>
        </w:rPr>
        <w:t>Privé</w:t>
      </w:r>
      <w:proofErr w:type="spellEnd"/>
      <w:r>
        <w:rPr>
          <w:rFonts w:eastAsia="Times New Roman"/>
        </w:rPr>
        <w:t xml:space="preserve"> F, </w:t>
      </w:r>
      <w:proofErr w:type="spellStart"/>
      <w:r>
        <w:rPr>
          <w:rFonts w:eastAsia="Times New Roman"/>
        </w:rPr>
        <w:t>Arbel</w:t>
      </w:r>
      <w:proofErr w:type="spellEnd"/>
      <w:r>
        <w:rPr>
          <w:rFonts w:eastAsia="Times New Roman"/>
        </w:rPr>
        <w:t xml:space="preserve"> J, </w:t>
      </w:r>
      <w:proofErr w:type="spellStart"/>
      <w:r>
        <w:rPr>
          <w:rFonts w:eastAsia="Times New Roman"/>
        </w:rPr>
        <w:t>Vilhjálmsson</w:t>
      </w:r>
      <w:proofErr w:type="spellEnd"/>
      <w:r>
        <w:rPr>
          <w:rFonts w:eastAsia="Times New Roman"/>
        </w:rPr>
        <w:t xml:space="preserve"> BJ (2020). LDpred2: better, faster, stronger. </w:t>
      </w:r>
      <w:r>
        <w:rPr>
          <w:rStyle w:val="Emphasis"/>
          <w:rFonts w:eastAsia="Times New Roman"/>
        </w:rPr>
        <w:t>Bioinformatics</w:t>
      </w:r>
      <w:r>
        <w:rPr>
          <w:rFonts w:eastAsia="Times New Roman"/>
        </w:rPr>
        <w:t xml:space="preserve"> 36:5424-5431.</w:t>
      </w:r>
    </w:p>
    <w:p w14:paraId="2A2678E7" w14:textId="77777777" w:rsidR="00E84D8D" w:rsidRDefault="00E84D8D" w:rsidP="00E84D8D">
      <w:pPr>
        <w:numPr>
          <w:ilvl w:val="0"/>
          <w:numId w:val="4"/>
        </w:numPr>
        <w:spacing w:before="100" w:beforeAutospacing="1" w:after="100" w:afterAutospacing="1" w:line="240" w:lineRule="auto"/>
        <w:divId w:val="1713459307"/>
        <w:rPr>
          <w:rFonts w:eastAsia="Times New Roman"/>
        </w:rPr>
      </w:pPr>
      <w:proofErr w:type="spellStart"/>
      <w:r>
        <w:rPr>
          <w:rFonts w:eastAsia="Times New Roman"/>
        </w:rPr>
        <w:t>Ruan</w:t>
      </w:r>
      <w:proofErr w:type="spellEnd"/>
      <w:r>
        <w:rPr>
          <w:rFonts w:eastAsia="Times New Roman"/>
        </w:rPr>
        <w:t xml:space="preserve"> Y, et al. (2022). Improving polygenic prediction in ancestrally diverse populations. </w:t>
      </w:r>
      <w:r>
        <w:rPr>
          <w:rStyle w:val="Emphasis"/>
          <w:rFonts w:eastAsia="Times New Roman"/>
        </w:rPr>
        <w:t>Nat Genet</w:t>
      </w:r>
      <w:r>
        <w:rPr>
          <w:rFonts w:eastAsia="Times New Roman"/>
        </w:rPr>
        <w:t xml:space="preserve"> 54:573-580.</w:t>
      </w:r>
    </w:p>
    <w:p w14:paraId="20F8EF64" w14:textId="77777777" w:rsidR="00E84D8D" w:rsidRDefault="00E84D8D" w:rsidP="00E84D8D">
      <w:pPr>
        <w:numPr>
          <w:ilvl w:val="0"/>
          <w:numId w:val="4"/>
        </w:numPr>
        <w:spacing w:before="100" w:beforeAutospacing="1" w:after="100" w:afterAutospacing="1" w:line="240" w:lineRule="auto"/>
        <w:divId w:val="1713459307"/>
        <w:rPr>
          <w:rFonts w:eastAsia="Times New Roman"/>
        </w:rPr>
      </w:pPr>
      <w:r>
        <w:rPr>
          <w:rFonts w:eastAsia="Times New Roman"/>
        </w:rPr>
        <w:t xml:space="preserve">Ruby JG, et al. (2018). Estimates of the heritability of human longevity are substantially inflated due to assortative mating. </w:t>
      </w:r>
      <w:r>
        <w:rPr>
          <w:rStyle w:val="Emphasis"/>
          <w:rFonts w:eastAsia="Times New Roman"/>
        </w:rPr>
        <w:t>Genetics</w:t>
      </w:r>
      <w:r>
        <w:rPr>
          <w:rFonts w:eastAsia="Times New Roman"/>
        </w:rPr>
        <w:t xml:space="preserve"> 210:1109-1124.</w:t>
      </w:r>
    </w:p>
    <w:p w14:paraId="09048F05" w14:textId="77777777" w:rsidR="00E84D8D" w:rsidRDefault="00E84D8D" w:rsidP="00E84D8D">
      <w:pPr>
        <w:numPr>
          <w:ilvl w:val="0"/>
          <w:numId w:val="4"/>
        </w:numPr>
        <w:spacing w:before="100" w:beforeAutospacing="1" w:after="100" w:afterAutospacing="1" w:line="240" w:lineRule="auto"/>
        <w:divId w:val="1713459307"/>
        <w:rPr>
          <w:rFonts w:eastAsia="Times New Roman"/>
        </w:rPr>
      </w:pPr>
      <w:proofErr w:type="spellStart"/>
      <w:r>
        <w:rPr>
          <w:rFonts w:eastAsia="Times New Roman"/>
        </w:rPr>
        <w:t>Steinthorsdottir</w:t>
      </w:r>
      <w:proofErr w:type="spellEnd"/>
      <w:r>
        <w:rPr>
          <w:rFonts w:eastAsia="Times New Roman"/>
        </w:rPr>
        <w:t xml:space="preserve"> V, et al. (2020). Genetic predisposition to hypertension is associated with preeclampsia in European and Central Asian women. </w:t>
      </w:r>
      <w:r>
        <w:rPr>
          <w:rStyle w:val="Emphasis"/>
          <w:rFonts w:eastAsia="Times New Roman"/>
        </w:rPr>
        <w:t xml:space="preserve">Nat </w:t>
      </w:r>
      <w:proofErr w:type="spellStart"/>
      <w:r>
        <w:rPr>
          <w:rStyle w:val="Emphasis"/>
          <w:rFonts w:eastAsia="Times New Roman"/>
        </w:rPr>
        <w:t>Commun</w:t>
      </w:r>
      <w:proofErr w:type="spellEnd"/>
      <w:r>
        <w:rPr>
          <w:rFonts w:eastAsia="Times New Roman"/>
        </w:rPr>
        <w:t xml:space="preserve"> 11:5976.</w:t>
      </w:r>
    </w:p>
    <w:p w14:paraId="0EEF756E" w14:textId="77777777" w:rsidR="00E84D8D" w:rsidRDefault="00E84D8D" w:rsidP="00E84D8D">
      <w:pPr>
        <w:numPr>
          <w:ilvl w:val="0"/>
          <w:numId w:val="4"/>
        </w:numPr>
        <w:spacing w:before="100" w:beforeAutospacing="1" w:after="100" w:afterAutospacing="1" w:line="240" w:lineRule="auto"/>
        <w:divId w:val="1713459307"/>
        <w:rPr>
          <w:rFonts w:eastAsia="Times New Roman"/>
        </w:rPr>
      </w:pPr>
      <w:proofErr w:type="spellStart"/>
      <w:r>
        <w:rPr>
          <w:rFonts w:eastAsia="Times New Roman"/>
        </w:rPr>
        <w:t>Timmers</w:t>
      </w:r>
      <w:proofErr w:type="spellEnd"/>
      <w:r>
        <w:rPr>
          <w:rFonts w:eastAsia="Times New Roman"/>
        </w:rPr>
        <w:t xml:space="preserve"> PRHJ, et al. (2019). Genomics of 1 million parent lifespans implicates novel pathways and common diseases and distinguishes survival chances. </w:t>
      </w:r>
      <w:proofErr w:type="spellStart"/>
      <w:r>
        <w:rPr>
          <w:rStyle w:val="Emphasis"/>
          <w:rFonts w:eastAsia="Times New Roman"/>
        </w:rPr>
        <w:t>eLife</w:t>
      </w:r>
      <w:proofErr w:type="spellEnd"/>
      <w:r>
        <w:rPr>
          <w:rFonts w:eastAsia="Times New Roman"/>
        </w:rPr>
        <w:t xml:space="preserve"> 8:e39856.</w:t>
      </w:r>
    </w:p>
    <w:p w14:paraId="1378C2CC" w14:textId="77777777" w:rsidR="00E84D8D" w:rsidRDefault="00E84D8D" w:rsidP="00E84D8D">
      <w:pPr>
        <w:numPr>
          <w:ilvl w:val="0"/>
          <w:numId w:val="4"/>
        </w:numPr>
        <w:spacing w:before="100" w:beforeAutospacing="1" w:after="100" w:afterAutospacing="1" w:line="240" w:lineRule="auto"/>
        <w:divId w:val="1713459307"/>
        <w:rPr>
          <w:rFonts w:eastAsia="Times New Roman"/>
        </w:rPr>
      </w:pPr>
      <w:proofErr w:type="spellStart"/>
      <w:r>
        <w:rPr>
          <w:rFonts w:eastAsia="Times New Roman"/>
        </w:rPr>
        <w:t>Torkamani</w:t>
      </w:r>
      <w:proofErr w:type="spellEnd"/>
      <w:r>
        <w:rPr>
          <w:rFonts w:eastAsia="Times New Roman"/>
        </w:rPr>
        <w:t xml:space="preserve"> A, </w:t>
      </w:r>
      <w:proofErr w:type="spellStart"/>
      <w:r>
        <w:rPr>
          <w:rFonts w:eastAsia="Times New Roman"/>
        </w:rPr>
        <w:t>Wineinger</w:t>
      </w:r>
      <w:proofErr w:type="spellEnd"/>
      <w:r>
        <w:rPr>
          <w:rFonts w:eastAsia="Times New Roman"/>
        </w:rPr>
        <w:t xml:space="preserve"> NE, </w:t>
      </w:r>
      <w:proofErr w:type="spellStart"/>
      <w:r>
        <w:rPr>
          <w:rFonts w:eastAsia="Times New Roman"/>
        </w:rPr>
        <w:t>Topol</w:t>
      </w:r>
      <w:proofErr w:type="spellEnd"/>
      <w:r>
        <w:rPr>
          <w:rFonts w:eastAsia="Times New Roman"/>
        </w:rPr>
        <w:t xml:space="preserve"> EJ (2018). The personal and clinical utility of polygenic risk scores. </w:t>
      </w:r>
      <w:r>
        <w:rPr>
          <w:rStyle w:val="Emphasis"/>
          <w:rFonts w:eastAsia="Times New Roman"/>
        </w:rPr>
        <w:t>Nat Rev Genet</w:t>
      </w:r>
      <w:r>
        <w:rPr>
          <w:rFonts w:eastAsia="Times New Roman"/>
        </w:rPr>
        <w:t xml:space="preserve"> 19:581-590.</w:t>
      </w:r>
    </w:p>
    <w:p w14:paraId="1AD5CAAD" w14:textId="77777777" w:rsidR="00E84D8D" w:rsidRDefault="00E84D8D" w:rsidP="00E84D8D">
      <w:pPr>
        <w:numPr>
          <w:ilvl w:val="0"/>
          <w:numId w:val="4"/>
        </w:numPr>
        <w:spacing w:before="100" w:beforeAutospacing="1" w:after="100" w:afterAutospacing="1" w:line="240" w:lineRule="auto"/>
        <w:divId w:val="1713459307"/>
        <w:rPr>
          <w:rFonts w:eastAsia="Times New Roman"/>
        </w:rPr>
      </w:pPr>
      <w:proofErr w:type="spellStart"/>
      <w:r>
        <w:rPr>
          <w:rFonts w:eastAsia="Times New Roman"/>
        </w:rPr>
        <w:t>Vilhjálmsson</w:t>
      </w:r>
      <w:proofErr w:type="spellEnd"/>
      <w:r>
        <w:rPr>
          <w:rFonts w:eastAsia="Times New Roman"/>
        </w:rPr>
        <w:t xml:space="preserve"> BJ, et al. (2015). Modeling linkage disequilibrium increases accuracy of polygenic risk scores. </w:t>
      </w:r>
      <w:r>
        <w:rPr>
          <w:rStyle w:val="Emphasis"/>
          <w:rFonts w:eastAsia="Times New Roman"/>
        </w:rPr>
        <w:t>Am J Hum Genet</w:t>
      </w:r>
      <w:r>
        <w:rPr>
          <w:rFonts w:eastAsia="Times New Roman"/>
        </w:rPr>
        <w:t xml:space="preserve"> 97:576-592.</w:t>
      </w:r>
    </w:p>
    <w:p w14:paraId="16CD1C07" w14:textId="77777777" w:rsidR="00E84D8D" w:rsidRDefault="00E84D8D" w:rsidP="00E84D8D">
      <w:pPr>
        <w:numPr>
          <w:ilvl w:val="0"/>
          <w:numId w:val="4"/>
        </w:numPr>
        <w:spacing w:before="100" w:beforeAutospacing="1" w:after="100" w:afterAutospacing="1" w:line="240" w:lineRule="auto"/>
        <w:divId w:val="1713459307"/>
        <w:rPr>
          <w:rFonts w:eastAsia="Times New Roman"/>
        </w:rPr>
      </w:pPr>
      <w:proofErr w:type="spellStart"/>
      <w:r>
        <w:rPr>
          <w:rFonts w:eastAsia="Times New Roman"/>
        </w:rPr>
        <w:t>Visscher</w:t>
      </w:r>
      <w:proofErr w:type="spellEnd"/>
      <w:r>
        <w:rPr>
          <w:rFonts w:eastAsia="Times New Roman"/>
        </w:rPr>
        <w:t xml:space="preserve"> PM, et al. (2017). 10 years of GWAS discovery: biology, function, and translation. </w:t>
      </w:r>
      <w:r>
        <w:rPr>
          <w:rStyle w:val="Emphasis"/>
          <w:rFonts w:eastAsia="Times New Roman"/>
        </w:rPr>
        <w:t>Am J Hum Genet</w:t>
      </w:r>
      <w:r>
        <w:rPr>
          <w:rFonts w:eastAsia="Times New Roman"/>
        </w:rPr>
        <w:t xml:space="preserve"> 101:5-22.</w:t>
      </w:r>
    </w:p>
    <w:p w14:paraId="55B8EF77" w14:textId="77777777" w:rsidR="00E84D8D" w:rsidRDefault="00E84D8D" w:rsidP="00E84D8D">
      <w:pPr>
        <w:numPr>
          <w:ilvl w:val="0"/>
          <w:numId w:val="4"/>
        </w:numPr>
        <w:spacing w:before="100" w:beforeAutospacing="1" w:after="100" w:afterAutospacing="1" w:line="240" w:lineRule="auto"/>
        <w:divId w:val="1713459307"/>
        <w:rPr>
          <w:rFonts w:eastAsia="Times New Roman"/>
        </w:rPr>
      </w:pPr>
      <w:r>
        <w:rPr>
          <w:rFonts w:eastAsia="Times New Roman"/>
        </w:rPr>
        <w:t xml:space="preserve">Warrington NM, et al. (2019). Maternal and fetal genetic effects on birth weight and their relevance to cardio-metabolic risk factors. </w:t>
      </w:r>
      <w:r>
        <w:rPr>
          <w:rStyle w:val="Emphasis"/>
          <w:rFonts w:eastAsia="Times New Roman"/>
        </w:rPr>
        <w:t>Nat Genet</w:t>
      </w:r>
      <w:r>
        <w:rPr>
          <w:rFonts w:eastAsia="Times New Roman"/>
        </w:rPr>
        <w:t xml:space="preserve"> 51:804-814.</w:t>
      </w:r>
    </w:p>
    <w:p w14:paraId="32C7878A" w14:textId="77777777" w:rsidR="00E84D8D" w:rsidRDefault="00E84D8D" w:rsidP="00E84D8D">
      <w:pPr>
        <w:numPr>
          <w:ilvl w:val="0"/>
          <w:numId w:val="4"/>
        </w:numPr>
        <w:spacing w:before="100" w:beforeAutospacing="1" w:after="100" w:afterAutospacing="1" w:line="240" w:lineRule="auto"/>
        <w:divId w:val="1713459307"/>
        <w:rPr>
          <w:rFonts w:eastAsia="Times New Roman"/>
        </w:rPr>
      </w:pPr>
      <w:r>
        <w:rPr>
          <w:rFonts w:eastAsia="Times New Roman"/>
        </w:rPr>
        <w:t xml:space="preserve">Wray NR, et al. (2021). From basic science to clinical application of polygenic risk scores: a primer. </w:t>
      </w:r>
      <w:r>
        <w:rPr>
          <w:rStyle w:val="Emphasis"/>
          <w:rFonts w:eastAsia="Times New Roman"/>
        </w:rPr>
        <w:t>JAMA Psychiatry</w:t>
      </w:r>
      <w:r>
        <w:rPr>
          <w:rFonts w:eastAsia="Times New Roman"/>
        </w:rPr>
        <w:t xml:space="preserve"> 78:101-109.</w:t>
      </w:r>
    </w:p>
    <w:p w14:paraId="2BA794C6" w14:textId="77777777" w:rsidR="00E84D8D" w:rsidRDefault="00E84D8D" w:rsidP="00E84D8D">
      <w:pPr>
        <w:numPr>
          <w:ilvl w:val="0"/>
          <w:numId w:val="4"/>
        </w:numPr>
        <w:spacing w:before="100" w:beforeAutospacing="1" w:after="100" w:afterAutospacing="1" w:line="240" w:lineRule="auto"/>
        <w:divId w:val="1713459307"/>
        <w:rPr>
          <w:rFonts w:eastAsia="Times New Roman"/>
        </w:rPr>
      </w:pPr>
      <w:r>
        <w:rPr>
          <w:rFonts w:eastAsia="Times New Roman"/>
        </w:rPr>
        <w:t xml:space="preserve">Yang J, et al. (2010). Common SNPs explain a large proportion of the heritability for human height. </w:t>
      </w:r>
      <w:r>
        <w:rPr>
          <w:rStyle w:val="Emphasis"/>
          <w:rFonts w:eastAsia="Times New Roman"/>
        </w:rPr>
        <w:t>Nat Genet</w:t>
      </w:r>
      <w:r>
        <w:rPr>
          <w:rFonts w:eastAsia="Times New Roman"/>
        </w:rPr>
        <w:t xml:space="preserve"> 42:565-569.</w:t>
      </w:r>
    </w:p>
    <w:p w14:paraId="57032906" w14:textId="77777777" w:rsidR="00E84D8D" w:rsidRDefault="00E84D8D" w:rsidP="00E84D8D">
      <w:pPr>
        <w:numPr>
          <w:ilvl w:val="0"/>
          <w:numId w:val="4"/>
        </w:numPr>
        <w:spacing w:before="100" w:beforeAutospacing="1" w:after="100" w:afterAutospacing="1" w:line="240" w:lineRule="auto"/>
        <w:divId w:val="1713459307"/>
        <w:rPr>
          <w:rFonts w:eastAsia="Times New Roman"/>
        </w:rPr>
      </w:pPr>
      <w:r>
        <w:rPr>
          <w:rFonts w:eastAsia="Times New Roman"/>
        </w:rPr>
        <w:t xml:space="preserve">Yang J, et al. (2011). GCTA: a tool for genome-wide complex trait analysis. </w:t>
      </w:r>
      <w:r>
        <w:rPr>
          <w:rStyle w:val="Emphasis"/>
          <w:rFonts w:eastAsia="Times New Roman"/>
        </w:rPr>
        <w:t>Am J Hum Genet</w:t>
      </w:r>
      <w:r>
        <w:rPr>
          <w:rFonts w:eastAsia="Times New Roman"/>
        </w:rPr>
        <w:t xml:space="preserve"> 88:76-82.</w:t>
      </w:r>
    </w:p>
    <w:p w14:paraId="2F49B4C1" w14:textId="77777777" w:rsidR="00E84D8D" w:rsidRDefault="00E84D8D" w:rsidP="00E84D8D">
      <w:pPr>
        <w:numPr>
          <w:ilvl w:val="0"/>
          <w:numId w:val="4"/>
        </w:numPr>
        <w:spacing w:before="100" w:beforeAutospacing="1" w:after="100" w:afterAutospacing="1" w:line="240" w:lineRule="auto"/>
        <w:divId w:val="1713459307"/>
        <w:rPr>
          <w:rFonts w:eastAsia="Times New Roman"/>
        </w:rPr>
      </w:pPr>
      <w:r>
        <w:rPr>
          <w:rFonts w:eastAsia="Times New Roman"/>
        </w:rPr>
        <w:t xml:space="preserve">Zhang G, et al. (2017). Genetic associations with gestational duration and spontaneous preterm birth. </w:t>
      </w:r>
      <w:r>
        <w:rPr>
          <w:rStyle w:val="Emphasis"/>
          <w:rFonts w:eastAsia="Times New Roman"/>
        </w:rPr>
        <w:t xml:space="preserve">N </w:t>
      </w:r>
      <w:proofErr w:type="spellStart"/>
      <w:r>
        <w:rPr>
          <w:rStyle w:val="Emphasis"/>
          <w:rFonts w:eastAsia="Times New Roman"/>
        </w:rPr>
        <w:t>Engl</w:t>
      </w:r>
      <w:proofErr w:type="spellEnd"/>
      <w:r>
        <w:rPr>
          <w:rStyle w:val="Emphasis"/>
          <w:rFonts w:eastAsia="Times New Roman"/>
        </w:rPr>
        <w:t xml:space="preserve"> J Med</w:t>
      </w:r>
      <w:r>
        <w:rPr>
          <w:rFonts w:eastAsia="Times New Roman"/>
        </w:rPr>
        <w:t xml:space="preserve"> 377:1156-1167.</w:t>
      </w:r>
    </w:p>
    <w:p w14:paraId="3363D63C" w14:textId="77777777" w:rsidR="006B37B7" w:rsidRDefault="006B37B7"/>
    <w:sectPr w:rsidR="006B37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270778"/>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211037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167F31"/>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B6517C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0642854">
    <w:abstractNumId w:val="0"/>
  </w:num>
  <w:num w:numId="2" w16cid:durableId="71901483">
    <w:abstractNumId w:val="3"/>
  </w:num>
  <w:num w:numId="3" w16cid:durableId="1063335678">
    <w:abstractNumId w:val="1"/>
  </w:num>
  <w:num w:numId="4" w16cid:durableId="15656059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8"/>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7B7"/>
    <w:rsid w:val="000C3852"/>
    <w:rsid w:val="000F0BC4"/>
    <w:rsid w:val="00295910"/>
    <w:rsid w:val="00320089"/>
    <w:rsid w:val="005450AB"/>
    <w:rsid w:val="00611063"/>
    <w:rsid w:val="006B2A3F"/>
    <w:rsid w:val="006B37B7"/>
    <w:rsid w:val="00723D21"/>
    <w:rsid w:val="00913DD8"/>
    <w:rsid w:val="00A70432"/>
    <w:rsid w:val="00B84B56"/>
    <w:rsid w:val="00D63A3A"/>
    <w:rsid w:val="00E84D8D"/>
    <w:rsid w:val="00EC5E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71932D"/>
  <w15:chartTrackingRefBased/>
  <w15:docId w15:val="{C47DD740-BE4F-4E41-8D05-4741EAC50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37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B37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B37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37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37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37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37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37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37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37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37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37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37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37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37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37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37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37B7"/>
    <w:rPr>
      <w:rFonts w:eastAsiaTheme="majorEastAsia" w:cstheme="majorBidi"/>
      <w:color w:val="272727" w:themeColor="text1" w:themeTint="D8"/>
    </w:rPr>
  </w:style>
  <w:style w:type="paragraph" w:styleId="Title">
    <w:name w:val="Title"/>
    <w:basedOn w:val="Normal"/>
    <w:next w:val="Normal"/>
    <w:link w:val="TitleChar"/>
    <w:uiPriority w:val="10"/>
    <w:qFormat/>
    <w:rsid w:val="006B37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37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37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37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37B7"/>
    <w:pPr>
      <w:spacing w:before="160"/>
      <w:jc w:val="center"/>
    </w:pPr>
    <w:rPr>
      <w:i/>
      <w:iCs/>
      <w:color w:val="404040" w:themeColor="text1" w:themeTint="BF"/>
    </w:rPr>
  </w:style>
  <w:style w:type="character" w:customStyle="1" w:styleId="QuoteChar">
    <w:name w:val="Quote Char"/>
    <w:basedOn w:val="DefaultParagraphFont"/>
    <w:link w:val="Quote"/>
    <w:uiPriority w:val="29"/>
    <w:rsid w:val="006B37B7"/>
    <w:rPr>
      <w:i/>
      <w:iCs/>
      <w:color w:val="404040" w:themeColor="text1" w:themeTint="BF"/>
    </w:rPr>
  </w:style>
  <w:style w:type="paragraph" w:styleId="ListParagraph">
    <w:name w:val="List Paragraph"/>
    <w:basedOn w:val="Normal"/>
    <w:uiPriority w:val="34"/>
    <w:qFormat/>
    <w:rsid w:val="006B37B7"/>
    <w:pPr>
      <w:ind w:left="720"/>
      <w:contextualSpacing/>
    </w:pPr>
  </w:style>
  <w:style w:type="character" w:styleId="IntenseEmphasis">
    <w:name w:val="Intense Emphasis"/>
    <w:basedOn w:val="DefaultParagraphFont"/>
    <w:uiPriority w:val="21"/>
    <w:qFormat/>
    <w:rsid w:val="006B37B7"/>
    <w:rPr>
      <w:i/>
      <w:iCs/>
      <w:color w:val="0F4761" w:themeColor="accent1" w:themeShade="BF"/>
    </w:rPr>
  </w:style>
  <w:style w:type="paragraph" w:styleId="IntenseQuote">
    <w:name w:val="Intense Quote"/>
    <w:basedOn w:val="Normal"/>
    <w:next w:val="Normal"/>
    <w:link w:val="IntenseQuoteChar"/>
    <w:uiPriority w:val="30"/>
    <w:qFormat/>
    <w:rsid w:val="006B37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37B7"/>
    <w:rPr>
      <w:i/>
      <w:iCs/>
      <w:color w:val="0F4761" w:themeColor="accent1" w:themeShade="BF"/>
    </w:rPr>
  </w:style>
  <w:style w:type="character" w:styleId="IntenseReference">
    <w:name w:val="Intense Reference"/>
    <w:basedOn w:val="DefaultParagraphFont"/>
    <w:uiPriority w:val="32"/>
    <w:qFormat/>
    <w:rsid w:val="006B37B7"/>
    <w:rPr>
      <w:b/>
      <w:bCs/>
      <w:smallCaps/>
      <w:color w:val="0F4761" w:themeColor="accent1" w:themeShade="BF"/>
      <w:spacing w:val="5"/>
    </w:rPr>
  </w:style>
  <w:style w:type="paragraph" w:styleId="NormalWeb">
    <w:name w:val="Normal (Web)"/>
    <w:basedOn w:val="Normal"/>
    <w:uiPriority w:val="99"/>
    <w:semiHidden/>
    <w:unhideWhenUsed/>
    <w:rsid w:val="006B37B7"/>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6B37B7"/>
    <w:rPr>
      <w:b/>
      <w:bCs/>
    </w:rPr>
  </w:style>
  <w:style w:type="character" w:styleId="Emphasis">
    <w:name w:val="Emphasis"/>
    <w:basedOn w:val="DefaultParagraphFont"/>
    <w:uiPriority w:val="20"/>
    <w:qFormat/>
    <w:rsid w:val="00B84B5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659161">
      <w:marLeft w:val="0"/>
      <w:marRight w:val="0"/>
      <w:marTop w:val="0"/>
      <w:marBottom w:val="0"/>
      <w:divBdr>
        <w:top w:val="none" w:sz="0" w:space="0" w:color="auto"/>
        <w:left w:val="none" w:sz="0" w:space="0" w:color="auto"/>
        <w:bottom w:val="none" w:sz="0" w:space="0" w:color="auto"/>
        <w:right w:val="none" w:sz="0" w:space="0" w:color="auto"/>
      </w:divBdr>
    </w:div>
    <w:div w:id="453836819">
      <w:marLeft w:val="0"/>
      <w:marRight w:val="0"/>
      <w:marTop w:val="0"/>
      <w:marBottom w:val="0"/>
      <w:divBdr>
        <w:top w:val="none" w:sz="0" w:space="0" w:color="auto"/>
        <w:left w:val="none" w:sz="0" w:space="0" w:color="auto"/>
        <w:bottom w:val="none" w:sz="0" w:space="0" w:color="auto"/>
        <w:right w:val="none" w:sz="0" w:space="0" w:color="auto"/>
      </w:divBdr>
    </w:div>
    <w:div w:id="1713459307">
      <w:bodyDiv w:val="1"/>
      <w:marLeft w:val="0"/>
      <w:marRight w:val="0"/>
      <w:marTop w:val="0"/>
      <w:marBottom w:val="0"/>
      <w:divBdr>
        <w:top w:val="none" w:sz="0" w:space="0" w:color="auto"/>
        <w:left w:val="none" w:sz="0" w:space="0" w:color="auto"/>
        <w:bottom w:val="none" w:sz="0" w:space="0" w:color="auto"/>
        <w:right w:val="none" w:sz="0" w:space="0" w:color="auto"/>
      </w:divBdr>
    </w:div>
    <w:div w:id="1722706558">
      <w:marLeft w:val="0"/>
      <w:marRight w:val="0"/>
      <w:marTop w:val="0"/>
      <w:marBottom w:val="0"/>
      <w:divBdr>
        <w:top w:val="none" w:sz="0" w:space="0" w:color="auto"/>
        <w:left w:val="none" w:sz="0" w:space="0" w:color="auto"/>
        <w:bottom w:val="none" w:sz="0" w:space="0" w:color="auto"/>
        <w:right w:val="none" w:sz="0" w:space="0" w:color="auto"/>
      </w:divBdr>
    </w:div>
    <w:div w:id="1844275456">
      <w:marLeft w:val="0"/>
      <w:marRight w:val="0"/>
      <w:marTop w:val="0"/>
      <w:marBottom w:val="0"/>
      <w:divBdr>
        <w:top w:val="none" w:sz="0" w:space="0" w:color="auto"/>
        <w:left w:val="none" w:sz="0" w:space="0" w:color="auto"/>
        <w:bottom w:val="none" w:sz="0" w:space="0" w:color="auto"/>
        <w:right w:val="none" w:sz="0" w:space="0" w:color="auto"/>
      </w:divBdr>
    </w:div>
    <w:div w:id="1950156734">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2829</Words>
  <Characters>16130</Characters>
  <Application>Microsoft Office Word</Application>
  <DocSecurity>0</DocSecurity>
  <Lines>134</Lines>
  <Paragraphs>37</Paragraphs>
  <ScaleCrop>false</ScaleCrop>
  <Company/>
  <LinksUpToDate>false</LinksUpToDate>
  <CharactersWithSpaces>18922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Hafiz muhammad hamza Hamza</dc:creator>
  <cp:keywords/>
  <dc:description/>
  <cp:lastModifiedBy>Hafiz muhammad hamza Hamza</cp:lastModifiedBy>
  <cp:revision>2</cp:revision>
  <dcterms:created xsi:type="dcterms:W3CDTF">2026-10-07T19:05:00Z</dcterms:created>
  <dcterms:modified xsi:type="dcterms:W3CDTF">2026-10-07T19:05:00Z</dcterms:modified>
</cp:coreProperties>
</file>