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44475">
      <w:pPr>
        <w:keepNext w:val="0"/>
        <w:keepLines w:val="0"/>
        <w:widowControl/>
        <w:suppressLineNumbers w:val="0"/>
        <w:jc w:val="center"/>
        <w:rPr>
          <w:rFonts w:ascii="Helvetica" w:hAnsi="Helvetica" w:eastAsia="Helvetica" w:cs="Helvetica"/>
          <w:b/>
          <w:bCs/>
          <w:i/>
          <w:iCs/>
          <w:color w:val="000000"/>
          <w:kern w:val="0"/>
          <w:sz w:val="20"/>
          <w:szCs w:val="20"/>
          <w:lang w:val="en-US" w:eastAsia="zh-CN" w:bidi="ar"/>
        </w:rPr>
      </w:pPr>
      <w:r>
        <w:rPr>
          <w:rFonts w:ascii="Helvetica" w:hAnsi="Helvetica" w:eastAsia="Helvetica" w:cs="Helvetica"/>
          <w:b/>
          <w:bCs/>
          <w:i/>
          <w:iCs/>
          <w:color w:val="000000"/>
          <w:kern w:val="0"/>
          <w:sz w:val="20"/>
          <w:szCs w:val="20"/>
          <w:lang w:val="en-US" w:eastAsia="zh-CN" w:bidi="ar"/>
        </w:rPr>
        <w:t xml:space="preserve"> Credit Card Fraud Detection — </w:t>
      </w:r>
      <w:r>
        <w:rPr>
          <w:rFonts w:hint="default" w:ascii="Helvetica" w:hAnsi="Helvetica" w:eastAsia="Helvetica" w:cs="Helvetica"/>
          <w:b/>
          <w:bCs/>
          <w:i/>
          <w:iCs/>
          <w:color w:val="000000"/>
          <w:kern w:val="0"/>
          <w:sz w:val="20"/>
          <w:szCs w:val="20"/>
          <w:lang w:val="en-US" w:eastAsia="zh-CN" w:bidi="ar"/>
        </w:rPr>
        <w:t>Report</w:t>
      </w:r>
      <w:r>
        <w:rPr>
          <w:rFonts w:ascii="Helvetica" w:hAnsi="Helvetica" w:eastAsia="Helvetica" w:cs="Helvetica"/>
          <w:b/>
          <w:bCs/>
          <w:i/>
          <w:iCs/>
          <w:color w:val="000000"/>
          <w:kern w:val="0"/>
          <w:sz w:val="20"/>
          <w:szCs w:val="20"/>
          <w:lang w:val="en-US" w:eastAsia="zh-CN" w:bidi="ar"/>
        </w:rPr>
        <w:br w:type="textWrapping"/>
      </w:r>
    </w:p>
    <w:p w14:paraId="2412E882">
      <w:pPr>
        <w:keepNext w:val="0"/>
        <w:keepLines w:val="0"/>
        <w:widowControl/>
        <w:suppressLineNumbers w:val="0"/>
      </w:pPr>
    </w:p>
    <w:p w14:paraId="14A85D34">
      <w:pPr>
        <w:pStyle w:val="2"/>
        <w:keepNext w:val="0"/>
        <w:keepLines w:val="0"/>
        <w:widowControl/>
        <w:suppressLineNumbers w:val="0"/>
        <w:jc w:val="center"/>
        <w:rPr>
          <w:rStyle w:val="7"/>
          <w:rFonts w:hint="default" w:ascii="Times New Roman" w:hAnsi="Times New Roman" w:cs="Times New Roman"/>
          <w:b/>
          <w:bCs/>
          <w:i w:val="0"/>
          <w:iCs w:val="0"/>
          <w:sz w:val="24"/>
          <w:szCs w:val="24"/>
          <w:lang w:val="en-US"/>
        </w:rPr>
      </w:pPr>
      <w:r>
        <w:rPr>
          <w:rStyle w:val="7"/>
          <w:rFonts w:hint="default" w:ascii="Times New Roman" w:hAnsi="Times New Roman" w:cs="Times New Roman"/>
          <w:b/>
          <w:bCs/>
          <w:i w:val="0"/>
          <w:iCs w:val="0"/>
          <w:sz w:val="24"/>
          <w:szCs w:val="24"/>
        </w:rPr>
        <w:t>1.</w:t>
      </w:r>
      <w:r>
        <w:rPr>
          <w:rStyle w:val="7"/>
          <w:rFonts w:hint="default" w:ascii="Times New Roman" w:hAnsi="Times New Roman" w:cs="Times New Roman"/>
          <w:b/>
          <w:bCs/>
          <w:i w:val="0"/>
          <w:iCs w:val="0"/>
          <w:sz w:val="24"/>
          <w:szCs w:val="24"/>
          <w:lang w:val="en-US"/>
        </w:rPr>
        <w:t>Introduction</w:t>
      </w:r>
    </w:p>
    <w:p w14:paraId="3B164AC2">
      <w:pPr>
        <w:keepNext w:val="0"/>
        <w:keepLines w:val="0"/>
        <w:widowControl/>
        <w:suppressLineNumbers w:val="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The main goal of this project is to develop a machine learning model capable of detecting fraudulent credit card transactions. Given the high imbalance between normal and fraudulent transactions, the project emphasizes strategies to maximize detection of fraud while minimizing false alarms.</w:t>
      </w:r>
    </w:p>
    <w:p w14:paraId="4B3DEC53">
      <w:pPr>
        <w:keepNext w:val="0"/>
        <w:keepLines w:val="0"/>
        <w:widowControl/>
        <w:suppressLineNumbers w:val="0"/>
      </w:pPr>
    </w:p>
    <w:p w14:paraId="5F68A4A5">
      <w:pPr>
        <w:pStyle w:val="2"/>
        <w:keepNext w:val="0"/>
        <w:keepLines w:val="0"/>
        <w:widowControl/>
        <w:suppressLineNumbers w:val="0"/>
        <w:jc w:val="left"/>
        <w:rPr>
          <w:rStyle w:val="7"/>
          <w:rFonts w:hint="default" w:ascii="Times New Roman" w:hAnsi="Times New Roman" w:cs="Times New Roman"/>
          <w:b/>
          <w:bCs/>
          <w:i w:val="0"/>
          <w:iCs w:val="0"/>
          <w:sz w:val="24"/>
          <w:szCs w:val="24"/>
        </w:rPr>
      </w:pPr>
      <w:r>
        <w:rPr>
          <w:rStyle w:val="7"/>
          <w:rFonts w:hint="default" w:ascii="Times New Roman" w:hAnsi="Times New Roman" w:cs="Times New Roman"/>
          <w:b/>
          <w:bCs/>
          <w:i w:val="0"/>
          <w:iCs w:val="0"/>
          <w:sz w:val="24"/>
          <w:szCs w:val="24"/>
        </w:rPr>
        <w:t>2. Dataset &amp; EDA</w:t>
      </w:r>
    </w:p>
    <w:p w14:paraId="3B0B4F46">
      <w:pPr>
        <w:keepNext w:val="0"/>
        <w:keepLines w:val="0"/>
        <w:widowControl/>
        <w:suppressLineNumbers w:val="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The dataset used contains credit card transactions labeled as either normal (0) or fraud (1).</w:t>
      </w:r>
    </w:p>
    <w:p w14:paraId="621CDAE6">
      <w:pPr>
        <w:keepNext w:val="0"/>
        <w:keepLines w:val="0"/>
        <w:widowControl/>
        <w:suppressLineNumbers w:val="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Exploratory Data Analysis (EDA) revealed a highly skewed distribution of the Amount feature, with most transactions being small and fraud cases showing higher variance. The PCA analysis of the features indicated limited separation between normal and fraud classes, highlighting the challenge of identifying fraud with standard visualization techniques. The bar chart of class distribution clearly shows the severe imbalance.</w:t>
      </w:r>
    </w:p>
    <w:p w14:paraId="69CFFC84">
      <w:pPr>
        <w:keepNext w:val="0"/>
        <w:keepLines w:val="0"/>
        <w:widowControl/>
        <w:suppressLineNumbers w:val="0"/>
      </w:pPr>
    </w:p>
    <w:p w14:paraId="373BDBF8">
      <w:pPr>
        <w:pStyle w:val="2"/>
        <w:keepNext w:val="0"/>
        <w:keepLines w:val="0"/>
        <w:widowControl/>
        <w:suppressLineNumbers w:val="0"/>
        <w:jc w:val="left"/>
        <w:rPr>
          <w:rStyle w:val="7"/>
          <w:rFonts w:hint="default" w:ascii="Times New Roman" w:hAnsi="Times New Roman" w:cs="Times New Roman"/>
          <w:b/>
          <w:bCs/>
          <w:i w:val="0"/>
          <w:iCs w:val="0"/>
          <w:sz w:val="24"/>
          <w:szCs w:val="24"/>
        </w:rPr>
      </w:pPr>
      <w:r>
        <w:rPr>
          <w:rStyle w:val="7"/>
          <w:rFonts w:hint="default" w:ascii="Times New Roman" w:hAnsi="Times New Roman" w:cs="Times New Roman"/>
          <w:b/>
          <w:bCs/>
          <w:i w:val="0"/>
          <w:iCs w:val="0"/>
          <w:sz w:val="24"/>
          <w:szCs w:val="24"/>
        </w:rPr>
        <w:t>3. Methods Tried</w:t>
      </w:r>
    </w:p>
    <w:p w14:paraId="57CFDE17">
      <w:pPr>
        <w:pStyle w:val="6"/>
        <w:keepNext w:val="0"/>
        <w:keepLines w:val="0"/>
        <w:widowControl/>
        <w:numPr>
          <w:ilvl w:val="0"/>
          <w:numId w:val="1"/>
        </w:numPr>
        <w:suppressLineNumbers w:val="0"/>
        <w:ind w:left="420" w:leftChars="0" w:hanging="420" w:firstLineChars="0"/>
      </w:pPr>
      <w:r>
        <w:rPr>
          <w:rStyle w:val="7"/>
          <w:sz w:val="21"/>
          <w:szCs w:val="21"/>
        </w:rPr>
        <w:t>Random Forest (baseline)</w:t>
      </w:r>
      <w:r>
        <w:rPr>
          <w:rStyle w:val="7"/>
        </w:rPr>
        <w:t>:</w:t>
      </w:r>
      <w:r>
        <w:rPr>
          <w:rFonts w:ascii="Helvetica" w:hAnsi="Helvetica" w:eastAsia="Helvetica" w:cs="Helvetica"/>
          <w:color w:val="000000"/>
          <w:kern w:val="0"/>
          <w:sz w:val="20"/>
          <w:szCs w:val="20"/>
          <w:lang w:val="en-US" w:eastAsia="zh-CN" w:bidi="ar"/>
        </w:rPr>
        <w:t xml:space="preserve"> Initially trained on the imbalanced dataset to understand the baseline performance. The default hyperparameters included 100 trees and maximum depth unrestricted.</w:t>
      </w:r>
    </w:p>
    <w:p w14:paraId="4FA90A7E">
      <w:pPr>
        <w:pStyle w:val="6"/>
        <w:keepNext w:val="0"/>
        <w:keepLines w:val="0"/>
        <w:widowControl/>
        <w:numPr>
          <w:ilvl w:val="0"/>
          <w:numId w:val="1"/>
        </w:numPr>
        <w:suppressLineNumbers w:val="0"/>
        <w:ind w:left="420" w:leftChars="0" w:hanging="420" w:firstLineChars="0"/>
      </w:pPr>
      <w:r>
        <w:rPr>
          <w:rStyle w:val="7"/>
          <w:rFonts w:ascii="Times New Roman" w:hAnsi="Times New Roman" w:eastAsia="SimSun" w:cs="Times New Roman"/>
          <w:sz w:val="21"/>
          <w:szCs w:val="21"/>
        </w:rPr>
        <w:t>Random Forest with SMOTE</w:t>
      </w:r>
      <w:r>
        <w:rPr>
          <w:rStyle w:val="7"/>
        </w:rPr>
        <w:t>:</w:t>
      </w:r>
      <w:r>
        <w:rPr>
          <w:rFonts w:ascii="Helvetica" w:hAnsi="Helvetica" w:eastAsia="Helvetica" w:cs="Helvetica"/>
          <w:color w:val="000000"/>
          <w:kern w:val="0"/>
          <w:sz w:val="20"/>
          <w:szCs w:val="20"/>
          <w:lang w:val="en-US" w:eastAsia="zh-CN" w:bidi="ar"/>
        </w:rPr>
        <w:t xml:space="preserve"> Oversampling the minority class using SMOTE to balance the dataset before training. This improved recall significantly by allowing the model to learn patterns from rare fraud cases</w:t>
      </w:r>
      <w:r>
        <w:t>.</w:t>
      </w:r>
    </w:p>
    <w:p w14:paraId="3B82773C">
      <w:pPr>
        <w:pStyle w:val="6"/>
        <w:keepNext w:val="0"/>
        <w:keepLines w:val="0"/>
        <w:widowControl/>
        <w:numPr>
          <w:ilvl w:val="0"/>
          <w:numId w:val="1"/>
        </w:numPr>
        <w:suppressLineNumbers w:val="0"/>
        <w:ind w:left="420" w:leftChars="0" w:hanging="420" w:firstLineChars="0"/>
      </w:pPr>
      <w:r>
        <w:rPr>
          <w:rStyle w:val="7"/>
          <w:rFonts w:ascii="Times New Roman" w:hAnsi="Times New Roman" w:eastAsia="SimSun" w:cs="Times New Roman"/>
          <w:sz w:val="21"/>
          <w:szCs w:val="21"/>
        </w:rPr>
        <w:t>XGBoost with scale_pos_weight</w:t>
      </w:r>
      <w:r>
        <w:rPr>
          <w:rStyle w:val="7"/>
        </w:rPr>
        <w:t>:</w:t>
      </w:r>
      <w:r>
        <w:t xml:space="preserve"> </w:t>
      </w:r>
      <w:r>
        <w:rPr>
          <w:rFonts w:ascii="Helvetica" w:hAnsi="Helvetica" w:eastAsia="Helvetica" w:cs="Helvetica"/>
          <w:color w:val="000000"/>
          <w:kern w:val="0"/>
          <w:sz w:val="20"/>
          <w:szCs w:val="20"/>
          <w:lang w:val="en-US" w:eastAsia="zh-CN" w:bidi="ar"/>
        </w:rPr>
        <w:t>Used to handle imbalance by weighting the positive class proportionally to its frequency. This method provides better gradient-based learning on imbalanced datasets.</w:t>
      </w:r>
    </w:p>
    <w:p w14:paraId="347BF958">
      <w:pPr>
        <w:pStyle w:val="6"/>
        <w:keepNext w:val="0"/>
        <w:keepLines w:val="0"/>
        <w:widowControl/>
        <w:numPr>
          <w:ilvl w:val="0"/>
          <w:numId w:val="1"/>
        </w:numPr>
        <w:suppressLineNumbers w:val="0"/>
        <w:ind w:left="420" w:leftChars="0" w:hanging="420" w:firstLineChars="0"/>
        <w:rPr>
          <w:rFonts w:ascii="Helvetica" w:hAnsi="Helvetica" w:eastAsia="Helvetica" w:cs="Helvetica"/>
          <w:color w:val="000000"/>
          <w:kern w:val="0"/>
          <w:sz w:val="20"/>
          <w:szCs w:val="20"/>
          <w:lang w:val="en-US" w:eastAsia="zh-CN" w:bidi="ar"/>
        </w:rPr>
      </w:pPr>
      <w:r>
        <w:rPr>
          <w:rStyle w:val="7"/>
          <w:rFonts w:ascii="Times New Roman" w:hAnsi="Times New Roman" w:eastAsia="SimSun" w:cs="Times New Roman"/>
          <w:sz w:val="21"/>
          <w:szCs w:val="21"/>
        </w:rPr>
        <w:t>RandomUnderSampler:</w:t>
      </w:r>
      <w:r>
        <w:t xml:space="preserve"> </w:t>
      </w:r>
      <w:r>
        <w:rPr>
          <w:rFonts w:ascii="Helvetica" w:hAnsi="Helvetica" w:eastAsia="Helvetica" w:cs="Helvetica"/>
          <w:color w:val="000000"/>
          <w:kern w:val="0"/>
          <w:sz w:val="20"/>
          <w:szCs w:val="20"/>
          <w:lang w:val="en-US" w:eastAsia="zh-CN" w:bidi="ar"/>
        </w:rPr>
        <w:t>Reduces the number of normal transactions to match the number of fraud cases, creating a balanced dataset for training.</w:t>
      </w:r>
    </w:p>
    <w:p w14:paraId="4F8CF309">
      <w:pPr>
        <w:pStyle w:val="6"/>
        <w:keepNext w:val="0"/>
        <w:keepLines w:val="0"/>
        <w:widowControl/>
        <w:numPr>
          <w:ilvl w:val="0"/>
          <w:numId w:val="1"/>
        </w:numPr>
        <w:suppressLineNumbers w:val="0"/>
        <w:ind w:left="420" w:leftChars="0" w:hanging="420" w:firstLineChars="0"/>
        <w:rPr>
          <w:rFonts w:ascii="Helvetica" w:hAnsi="Helvetica" w:eastAsia="Helvetica" w:cs="Helvetica"/>
          <w:color w:val="000000"/>
          <w:kern w:val="0"/>
          <w:sz w:val="20"/>
          <w:szCs w:val="20"/>
          <w:lang w:val="en-US" w:eastAsia="zh-CN" w:bidi="ar"/>
        </w:rPr>
      </w:pPr>
      <w:r>
        <w:rPr>
          <w:rStyle w:val="7"/>
          <w:rFonts w:ascii="Times New Roman" w:hAnsi="Times New Roman" w:eastAsia="SimSun" w:cs="Times New Roman"/>
          <w:sz w:val="21"/>
          <w:szCs w:val="21"/>
        </w:rPr>
        <w:t>KMeans anomaly detection:</w:t>
      </w:r>
      <w:r>
        <w:t xml:space="preserve"> </w:t>
      </w:r>
      <w:r>
        <w:rPr>
          <w:rFonts w:ascii="Helvetica" w:hAnsi="Helvetica" w:eastAsia="Helvetica" w:cs="Helvetica"/>
          <w:color w:val="000000"/>
          <w:kern w:val="0"/>
          <w:sz w:val="20"/>
          <w:szCs w:val="20"/>
          <w:lang w:val="en-US" w:eastAsia="zh-CN" w:bidi="ar"/>
        </w:rPr>
        <w:t>An unsupervised approach where distances to cluster centroids are used to flag anomalies. Though simple, it provides a baseline for alternative methods.</w:t>
      </w:r>
    </w:p>
    <w:p w14:paraId="4FDC7867">
      <w:pPr>
        <w:pStyle w:val="2"/>
        <w:keepNext w:val="0"/>
        <w:keepLines w:val="0"/>
        <w:widowControl/>
        <w:suppressLineNumbers w:val="0"/>
        <w:jc w:val="left"/>
        <w:rPr>
          <w:rStyle w:val="7"/>
          <w:rFonts w:hint="default" w:ascii="Times New Roman" w:hAnsi="Times New Roman" w:cs="Times New Roman"/>
          <w:b/>
          <w:bCs/>
          <w:i w:val="0"/>
          <w:iCs w:val="0"/>
          <w:sz w:val="24"/>
          <w:szCs w:val="24"/>
        </w:rPr>
      </w:pPr>
    </w:p>
    <w:p w14:paraId="5E1A607B">
      <w:pPr>
        <w:pStyle w:val="2"/>
        <w:keepNext w:val="0"/>
        <w:keepLines w:val="0"/>
        <w:widowControl/>
        <w:suppressLineNumbers w:val="0"/>
        <w:jc w:val="left"/>
        <w:rPr>
          <w:rStyle w:val="7"/>
          <w:rFonts w:hint="default" w:ascii="Times New Roman" w:hAnsi="Times New Roman" w:cs="Times New Roman"/>
          <w:b/>
          <w:bCs/>
          <w:i w:val="0"/>
          <w:iCs w:val="0"/>
          <w:sz w:val="24"/>
          <w:szCs w:val="24"/>
        </w:rPr>
      </w:pPr>
      <w:r>
        <w:rPr>
          <w:rStyle w:val="7"/>
          <w:rFonts w:hint="default" w:ascii="Times New Roman" w:hAnsi="Times New Roman" w:cs="Times New Roman"/>
          <w:b/>
          <w:bCs/>
          <w:i w:val="0"/>
          <w:iCs w:val="0"/>
          <w:sz w:val="24"/>
          <w:szCs w:val="24"/>
        </w:rPr>
        <w:t>4. Results &amp; Evaluation</w:t>
      </w:r>
    </w:p>
    <w:p w14:paraId="4DA9674F">
      <w:pPr>
        <w:pStyle w:val="6"/>
        <w:keepNext w:val="0"/>
        <w:keepLines w:val="0"/>
        <w:widowControl/>
        <w:numPr>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The baseline Random Forest model achieved high accuracy (~99.8%) but failed to detect most fraud cases, demonstrating the misleading nature of accuracy in imbalanced datasets.</w:t>
      </w:r>
    </w:p>
    <w:tbl>
      <w:tblPr>
        <w:tblStyle w:val="4"/>
        <w:tblpPr w:leftFromText="180" w:rightFromText="180" w:vertAnchor="text" w:horzAnchor="page" w:tblpX="4286" w:tblpY="609"/>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1"/>
        <w:gridCol w:w="394"/>
        <w:gridCol w:w="394"/>
        <w:gridCol w:w="394"/>
        <w:gridCol w:w="783"/>
        <w:gridCol w:w="631"/>
      </w:tblGrid>
      <w:tr w14:paraId="0A4BC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1" w:hRule="atLeast"/>
          <w:tblHeader/>
          <w:tblCellSpacing w:w="15" w:type="dxa"/>
        </w:trPr>
        <w:tc>
          <w:tcPr>
            <w:tcW w:w="0" w:type="auto"/>
            <w:shd w:val="clear" w:color="auto" w:fill="auto"/>
            <w:vAlign w:val="center"/>
          </w:tcPr>
          <w:p w14:paraId="31389581">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bookmarkStart w:id="0" w:name="_GoBack"/>
            <w:bookmarkEnd w:id="0"/>
            <w:r>
              <w:rPr>
                <w:rFonts w:ascii="Helvetica" w:hAnsi="Helvetica" w:eastAsia="Helvetica" w:cs="Helvetica"/>
                <w:color w:val="000000"/>
                <w:kern w:val="0"/>
                <w:sz w:val="20"/>
                <w:szCs w:val="20"/>
                <w:lang w:val="en-US" w:eastAsia="zh-CN" w:bidi="ar"/>
              </w:rPr>
              <w:t>Model</w:t>
            </w:r>
          </w:p>
        </w:tc>
        <w:tc>
          <w:tcPr>
            <w:tcW w:w="0" w:type="auto"/>
            <w:shd w:val="clear" w:color="auto" w:fill="auto"/>
            <w:vAlign w:val="center"/>
          </w:tcPr>
          <w:p w14:paraId="7DF1A3A0">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TP</w:t>
            </w:r>
          </w:p>
        </w:tc>
        <w:tc>
          <w:tcPr>
            <w:tcW w:w="0" w:type="auto"/>
            <w:shd w:val="clear" w:color="auto" w:fill="auto"/>
            <w:vAlign w:val="center"/>
          </w:tcPr>
          <w:p w14:paraId="3892984F">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FP</w:t>
            </w:r>
          </w:p>
        </w:tc>
        <w:tc>
          <w:tcPr>
            <w:tcW w:w="0" w:type="auto"/>
            <w:shd w:val="clear" w:color="auto" w:fill="auto"/>
            <w:vAlign w:val="center"/>
          </w:tcPr>
          <w:p w14:paraId="568E7347">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FN</w:t>
            </w:r>
          </w:p>
        </w:tc>
        <w:tc>
          <w:tcPr>
            <w:tcW w:w="0" w:type="auto"/>
            <w:shd w:val="clear" w:color="auto" w:fill="auto"/>
            <w:vAlign w:val="center"/>
          </w:tcPr>
          <w:p w14:paraId="0D1FB757">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TN</w:t>
            </w:r>
          </w:p>
        </w:tc>
        <w:tc>
          <w:tcPr>
            <w:tcW w:w="0" w:type="auto"/>
            <w:shd w:val="clear" w:color="auto" w:fill="auto"/>
            <w:vAlign w:val="center"/>
          </w:tcPr>
          <w:p w14:paraId="1FE53488">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Recall</w:t>
            </w:r>
          </w:p>
        </w:tc>
      </w:tr>
      <w:tr w14:paraId="202F5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5" w:hRule="atLeast"/>
          <w:tblCellSpacing w:w="15" w:type="dxa"/>
        </w:trPr>
        <w:tc>
          <w:tcPr>
            <w:tcW w:w="0" w:type="auto"/>
            <w:shd w:val="clear" w:color="auto" w:fill="auto"/>
            <w:vAlign w:val="center"/>
          </w:tcPr>
          <w:p w14:paraId="55C6BABB">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RF (baseline)</w:t>
            </w:r>
          </w:p>
        </w:tc>
        <w:tc>
          <w:tcPr>
            <w:tcW w:w="0" w:type="auto"/>
            <w:shd w:val="clear" w:color="auto" w:fill="auto"/>
            <w:vAlign w:val="center"/>
          </w:tcPr>
          <w:p w14:paraId="22F0FAAB">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25</w:t>
            </w:r>
          </w:p>
        </w:tc>
        <w:tc>
          <w:tcPr>
            <w:tcW w:w="0" w:type="auto"/>
            <w:shd w:val="clear" w:color="auto" w:fill="auto"/>
            <w:vAlign w:val="center"/>
          </w:tcPr>
          <w:p w14:paraId="694AB522">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5</w:t>
            </w:r>
          </w:p>
        </w:tc>
        <w:tc>
          <w:tcPr>
            <w:tcW w:w="0" w:type="auto"/>
            <w:shd w:val="clear" w:color="auto" w:fill="auto"/>
            <w:vAlign w:val="center"/>
          </w:tcPr>
          <w:p w14:paraId="28757C20">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467</w:t>
            </w:r>
          </w:p>
        </w:tc>
        <w:tc>
          <w:tcPr>
            <w:tcW w:w="0" w:type="auto"/>
            <w:shd w:val="clear" w:color="auto" w:fill="auto"/>
            <w:vAlign w:val="center"/>
          </w:tcPr>
          <w:p w14:paraId="320C6CCE">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284,310</w:t>
            </w:r>
          </w:p>
        </w:tc>
        <w:tc>
          <w:tcPr>
            <w:tcW w:w="0" w:type="auto"/>
            <w:shd w:val="clear" w:color="auto" w:fill="auto"/>
            <w:vAlign w:val="center"/>
          </w:tcPr>
          <w:p w14:paraId="3C5A90F9">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0.05</w:t>
            </w:r>
          </w:p>
        </w:tc>
      </w:tr>
      <w:tr w14:paraId="408AB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5" w:hRule="atLeast"/>
          <w:tblCellSpacing w:w="15" w:type="dxa"/>
        </w:trPr>
        <w:tc>
          <w:tcPr>
            <w:tcW w:w="0" w:type="auto"/>
            <w:shd w:val="clear" w:color="auto" w:fill="auto"/>
            <w:vAlign w:val="center"/>
          </w:tcPr>
          <w:p w14:paraId="2B063673">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RF + SMOTE</w:t>
            </w:r>
          </w:p>
        </w:tc>
        <w:tc>
          <w:tcPr>
            <w:tcW w:w="0" w:type="auto"/>
            <w:shd w:val="clear" w:color="auto" w:fill="auto"/>
            <w:vAlign w:val="center"/>
          </w:tcPr>
          <w:p w14:paraId="23FF5E98">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410</w:t>
            </w:r>
          </w:p>
        </w:tc>
        <w:tc>
          <w:tcPr>
            <w:tcW w:w="0" w:type="auto"/>
            <w:shd w:val="clear" w:color="auto" w:fill="auto"/>
            <w:vAlign w:val="center"/>
          </w:tcPr>
          <w:p w14:paraId="53F565EF">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120</w:t>
            </w:r>
          </w:p>
        </w:tc>
        <w:tc>
          <w:tcPr>
            <w:tcW w:w="0" w:type="auto"/>
            <w:shd w:val="clear" w:color="auto" w:fill="auto"/>
            <w:vAlign w:val="center"/>
          </w:tcPr>
          <w:p w14:paraId="42C303C4">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82</w:t>
            </w:r>
          </w:p>
        </w:tc>
        <w:tc>
          <w:tcPr>
            <w:tcW w:w="0" w:type="auto"/>
            <w:shd w:val="clear" w:color="auto" w:fill="auto"/>
            <w:vAlign w:val="center"/>
          </w:tcPr>
          <w:p w14:paraId="5DF174F9">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284,195</w:t>
            </w:r>
          </w:p>
        </w:tc>
        <w:tc>
          <w:tcPr>
            <w:tcW w:w="0" w:type="auto"/>
            <w:shd w:val="clear" w:color="auto" w:fill="auto"/>
            <w:vAlign w:val="center"/>
          </w:tcPr>
          <w:p w14:paraId="5C687330">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0.83</w:t>
            </w:r>
          </w:p>
        </w:tc>
      </w:tr>
      <w:tr w14:paraId="4BF2E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5" w:hRule="atLeast"/>
          <w:tblCellSpacing w:w="15" w:type="dxa"/>
        </w:trPr>
        <w:tc>
          <w:tcPr>
            <w:tcW w:w="0" w:type="auto"/>
            <w:shd w:val="clear" w:color="auto" w:fill="auto"/>
            <w:vAlign w:val="center"/>
          </w:tcPr>
          <w:p w14:paraId="2480ACE4">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XGBoost</w:t>
            </w:r>
          </w:p>
        </w:tc>
        <w:tc>
          <w:tcPr>
            <w:tcW w:w="0" w:type="auto"/>
            <w:shd w:val="clear" w:color="auto" w:fill="auto"/>
            <w:vAlign w:val="center"/>
          </w:tcPr>
          <w:p w14:paraId="4BFFA5CF">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440</w:t>
            </w:r>
          </w:p>
        </w:tc>
        <w:tc>
          <w:tcPr>
            <w:tcW w:w="0" w:type="auto"/>
            <w:shd w:val="clear" w:color="auto" w:fill="auto"/>
            <w:vAlign w:val="center"/>
          </w:tcPr>
          <w:p w14:paraId="022BC69E">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150</w:t>
            </w:r>
          </w:p>
        </w:tc>
        <w:tc>
          <w:tcPr>
            <w:tcW w:w="0" w:type="auto"/>
            <w:shd w:val="clear" w:color="auto" w:fill="auto"/>
            <w:vAlign w:val="center"/>
          </w:tcPr>
          <w:p w14:paraId="69B2DA0A">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52</w:t>
            </w:r>
          </w:p>
        </w:tc>
        <w:tc>
          <w:tcPr>
            <w:tcW w:w="0" w:type="auto"/>
            <w:shd w:val="clear" w:color="auto" w:fill="auto"/>
            <w:vAlign w:val="center"/>
          </w:tcPr>
          <w:p w14:paraId="109F8B8D">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284,165</w:t>
            </w:r>
          </w:p>
        </w:tc>
        <w:tc>
          <w:tcPr>
            <w:tcW w:w="0" w:type="auto"/>
            <w:shd w:val="clear" w:color="auto" w:fill="auto"/>
            <w:vAlign w:val="center"/>
          </w:tcPr>
          <w:p w14:paraId="7FCE3F73">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0.89</w:t>
            </w:r>
          </w:p>
        </w:tc>
      </w:tr>
      <w:tr w14:paraId="0FAFA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1" w:hRule="atLeast"/>
          <w:tblCellSpacing w:w="15" w:type="dxa"/>
        </w:trPr>
        <w:tc>
          <w:tcPr>
            <w:tcW w:w="0" w:type="auto"/>
            <w:shd w:val="clear" w:color="auto" w:fill="auto"/>
            <w:vAlign w:val="center"/>
          </w:tcPr>
          <w:p w14:paraId="0E208396">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KMeans</w:t>
            </w:r>
          </w:p>
        </w:tc>
        <w:tc>
          <w:tcPr>
            <w:tcW w:w="0" w:type="auto"/>
            <w:shd w:val="clear" w:color="auto" w:fill="auto"/>
            <w:vAlign w:val="center"/>
          </w:tcPr>
          <w:p w14:paraId="567FC64C">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300</w:t>
            </w:r>
          </w:p>
        </w:tc>
        <w:tc>
          <w:tcPr>
            <w:tcW w:w="0" w:type="auto"/>
            <w:shd w:val="clear" w:color="auto" w:fill="auto"/>
            <w:vAlign w:val="center"/>
          </w:tcPr>
          <w:p w14:paraId="328AA31E">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500</w:t>
            </w:r>
          </w:p>
        </w:tc>
        <w:tc>
          <w:tcPr>
            <w:tcW w:w="0" w:type="auto"/>
            <w:shd w:val="clear" w:color="auto" w:fill="auto"/>
            <w:vAlign w:val="center"/>
          </w:tcPr>
          <w:p w14:paraId="0A7A8515">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192</w:t>
            </w:r>
          </w:p>
        </w:tc>
        <w:tc>
          <w:tcPr>
            <w:tcW w:w="0" w:type="auto"/>
            <w:shd w:val="clear" w:color="auto" w:fill="auto"/>
            <w:vAlign w:val="center"/>
          </w:tcPr>
          <w:p w14:paraId="579D1E76">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283,815</w:t>
            </w:r>
          </w:p>
        </w:tc>
        <w:tc>
          <w:tcPr>
            <w:tcW w:w="0" w:type="auto"/>
            <w:shd w:val="clear" w:color="auto" w:fill="auto"/>
            <w:vAlign w:val="center"/>
          </w:tcPr>
          <w:p w14:paraId="1D5F117D">
            <w:pPr>
              <w:pStyle w:val="6"/>
              <w:keepNext w:val="0"/>
              <w:keepLines w:val="0"/>
              <w:widowControl/>
              <w:numPr>
                <w:ilvl w:val="0"/>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0.61</w:t>
            </w:r>
          </w:p>
        </w:tc>
      </w:tr>
    </w:tbl>
    <w:p w14:paraId="11B848BE">
      <w:pPr>
        <w:pStyle w:val="6"/>
        <w:keepNext w:val="0"/>
        <w:keepLines w:val="0"/>
        <w:widowControl/>
        <w:numPr>
          <w:numId w:val="0"/>
        </w:numPr>
        <w:suppressLineNumbers w:val="0"/>
        <w:ind w:leftChars="0" w:right="0" w:rightChars="0"/>
        <w:jc w:val="left"/>
        <w:rPr>
          <w:rFonts w:ascii="Helvetica" w:hAnsi="Helvetica" w:eastAsia="Helvetica" w:cs="Helvetica"/>
          <w:color w:val="000000"/>
          <w:kern w:val="0"/>
          <w:sz w:val="20"/>
          <w:szCs w:val="20"/>
          <w:lang w:val="en-US" w:eastAsia="zh-CN" w:bidi="ar"/>
        </w:rPr>
      </w:pPr>
    </w:p>
    <w:p w14:paraId="6B5B653A">
      <w:pPr>
        <w:pStyle w:val="6"/>
        <w:keepNext w:val="0"/>
        <w:keepLines w:val="0"/>
        <w:widowControl/>
        <w:numPr>
          <w:numId w:val="0"/>
        </w:numPr>
        <w:suppressLineNumbers w:val="0"/>
        <w:ind w:leftChars="0" w:right="0" w:rightChars="0"/>
        <w:jc w:val="left"/>
        <w:rPr>
          <w:rFonts w:ascii="Helvetica" w:hAnsi="Helvetica" w:eastAsia="Helvetica" w:cs="Helvetica"/>
          <w:color w:val="000000"/>
          <w:kern w:val="0"/>
          <w:sz w:val="20"/>
          <w:szCs w:val="20"/>
          <w:lang w:val="en-US" w:eastAsia="zh-CN" w:bidi="ar"/>
        </w:rPr>
      </w:pPr>
    </w:p>
    <w:p w14:paraId="38901FED">
      <w:pPr>
        <w:pStyle w:val="6"/>
        <w:keepNext w:val="0"/>
        <w:keepLines w:val="0"/>
        <w:widowControl/>
        <w:numPr>
          <w:numId w:val="0"/>
        </w:numPr>
        <w:suppressLineNumbers w:val="0"/>
        <w:ind w:leftChars="0" w:right="0" w:rightChars="0"/>
        <w:jc w:val="left"/>
        <w:rPr>
          <w:rFonts w:ascii="Helvetica" w:hAnsi="Helvetica" w:eastAsia="Helvetica" w:cs="Helvetica"/>
          <w:color w:val="000000"/>
          <w:kern w:val="0"/>
          <w:sz w:val="20"/>
          <w:szCs w:val="20"/>
          <w:lang w:val="en-US" w:eastAsia="zh-CN" w:bidi="ar"/>
        </w:rPr>
      </w:pPr>
    </w:p>
    <w:p w14:paraId="413BC5AE">
      <w:pPr>
        <w:pStyle w:val="6"/>
        <w:keepNext w:val="0"/>
        <w:keepLines w:val="0"/>
        <w:widowControl/>
        <w:numPr>
          <w:numId w:val="0"/>
        </w:numPr>
        <w:suppressLineNumbers w:val="0"/>
        <w:ind w:leftChars="0" w:right="0" w:rightChars="0"/>
        <w:jc w:val="left"/>
        <w:rPr>
          <w:rFonts w:ascii="Helvetica" w:hAnsi="Helvetica" w:eastAsia="Helvetica" w:cs="Helvetica"/>
          <w:color w:val="000000"/>
          <w:kern w:val="0"/>
          <w:sz w:val="20"/>
          <w:szCs w:val="20"/>
          <w:lang w:val="en-US" w:eastAsia="zh-CN" w:bidi="ar"/>
        </w:rPr>
      </w:pPr>
    </w:p>
    <w:p w14:paraId="36A97F70">
      <w:pPr>
        <w:pStyle w:val="6"/>
        <w:keepNext w:val="0"/>
        <w:keepLines w:val="0"/>
        <w:widowControl/>
        <w:numPr>
          <w:numId w:val="0"/>
        </w:numPr>
        <w:suppressLineNumbers w:val="0"/>
        <w:ind w:leftChars="0" w:right="0" w:rightChars="0"/>
        <w:jc w:val="left"/>
        <w:rPr>
          <w:rFonts w:ascii="Helvetica" w:hAnsi="Helvetica" w:eastAsia="Helvetica" w:cs="Helvetica"/>
          <w:color w:val="000000"/>
          <w:kern w:val="0"/>
          <w:sz w:val="20"/>
          <w:szCs w:val="20"/>
          <w:lang w:val="en-US" w:eastAsia="zh-CN" w:bidi="ar"/>
        </w:rPr>
      </w:pPr>
    </w:p>
    <w:p w14:paraId="432A0965">
      <w:pPr>
        <w:pStyle w:val="6"/>
        <w:keepNext w:val="0"/>
        <w:keepLines w:val="0"/>
        <w:widowControl/>
        <w:numPr>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Confusion matrices indicate that SMOTE and XGBoost models achieve higher recall, meaning they successfully identify more fraud cases. Accuracy alone is misleading because predicting all transactions as normal gives 99.8% accuracy but zero detection of fraud. Recall is prioritized to minimize false negatives, which represent undetected fraud.</w:t>
      </w:r>
    </w:p>
    <w:p w14:paraId="55C5EABF">
      <w:pPr>
        <w:keepNext w:val="0"/>
        <w:keepLines w:val="0"/>
        <w:widowControl/>
        <w:suppressLineNumbers w:val="0"/>
      </w:pPr>
    </w:p>
    <w:p w14:paraId="4B0FC0D6">
      <w:pPr>
        <w:keepNext w:val="0"/>
        <w:keepLines w:val="0"/>
        <w:widowControl/>
        <w:suppressLineNumbers w:val="0"/>
      </w:pPr>
    </w:p>
    <w:p w14:paraId="6D6B6983">
      <w:pPr>
        <w:pStyle w:val="2"/>
        <w:keepNext w:val="0"/>
        <w:keepLines w:val="0"/>
        <w:widowControl/>
        <w:suppressLineNumbers w:val="0"/>
        <w:jc w:val="left"/>
        <w:rPr>
          <w:rStyle w:val="7"/>
          <w:rFonts w:hint="default" w:ascii="Times New Roman" w:hAnsi="Times New Roman" w:cs="Times New Roman"/>
          <w:b/>
          <w:bCs/>
          <w:i w:val="0"/>
          <w:iCs w:val="0"/>
          <w:sz w:val="24"/>
          <w:szCs w:val="24"/>
        </w:rPr>
      </w:pPr>
      <w:r>
        <w:rPr>
          <w:rStyle w:val="7"/>
          <w:rFonts w:hint="default" w:ascii="Times New Roman" w:hAnsi="Times New Roman" w:cs="Times New Roman"/>
          <w:b/>
          <w:bCs/>
          <w:i w:val="0"/>
          <w:iCs w:val="0"/>
          <w:sz w:val="24"/>
          <w:szCs w:val="24"/>
          <w:lang w:val="en-US"/>
        </w:rPr>
        <w:t>5</w:t>
      </w:r>
      <w:r>
        <w:rPr>
          <w:rStyle w:val="7"/>
          <w:rFonts w:hint="default" w:ascii="Times New Roman" w:hAnsi="Times New Roman" w:cs="Times New Roman"/>
          <w:b/>
          <w:bCs/>
          <w:i w:val="0"/>
          <w:iCs w:val="0"/>
          <w:sz w:val="24"/>
          <w:szCs w:val="24"/>
        </w:rPr>
        <w:t>. Conclusion</w:t>
      </w:r>
    </w:p>
    <w:p w14:paraId="75C76682">
      <w:pPr>
        <w:pStyle w:val="6"/>
        <w:keepNext w:val="0"/>
        <w:keepLines w:val="0"/>
        <w:widowControl/>
        <w:numPr>
          <w:numId w:val="0"/>
        </w:numPr>
        <w:suppressLineNumbers w:val="0"/>
        <w:ind w:leftChars="0" w:right="0" w:rightChars="0"/>
        <w:jc w:val="left"/>
        <w:rPr>
          <w:rFonts w:ascii="Helvetica" w:hAnsi="Helvetica" w:eastAsia="Helvetica" w:cs="Helvetica"/>
          <w:color w:val="000000"/>
          <w:kern w:val="0"/>
          <w:sz w:val="20"/>
          <w:szCs w:val="20"/>
          <w:lang w:val="en-US" w:eastAsia="zh-CN" w:bidi="ar"/>
        </w:rPr>
      </w:pPr>
      <w:r>
        <w:rPr>
          <w:rFonts w:ascii="Helvetica" w:hAnsi="Helvetica" w:eastAsia="Helvetica" w:cs="Helvetica"/>
          <w:color w:val="000000"/>
          <w:kern w:val="0"/>
          <w:sz w:val="20"/>
          <w:szCs w:val="20"/>
          <w:lang w:val="en-US" w:eastAsia="zh-CN" w:bidi="ar"/>
        </w:rPr>
        <w:t>Based on recall and operational tradeoffs, the XGBoost model with scale_pos_weight is recommended for deployment. It detects the highest number of fraud cases while maintaining acceptable false positives. Next steps include continuous monitoring, threshold tuning, and combining model predictions with real-time business rules to further reduce undetected fraud.</w:t>
      </w:r>
    </w:p>
    <w:p w14:paraId="7E84CD9B">
      <w:pPr>
        <w:keepNext w:val="0"/>
        <w:keepLines w:val="0"/>
        <w:widowControl/>
        <w:suppressLineNumbers w:val="0"/>
      </w:pPr>
    </w:p>
    <w:p w14:paraId="3133ADB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004B0A"/>
    <w:multiLevelType w:val="singleLevel"/>
    <w:tmpl w:val="65004B0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E31569"/>
    <w:rsid w:val="16386D1F"/>
    <w:rsid w:val="53E31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2025-11-27T19:54:00Z</dcterms:created>
  <dc:creator>Hafsa</dc:creator>
  <cp:lastModifiedBy>Hafsa</cp:lastModifiedBy>
  <dcterms:modified xsi:type="dcterms:W3CDTF">2025-11-27T20:44:09Z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7ED97F0FC0FE4E6BB6788197CA68D47D_11</vt:lpwstr>
  </property>
</Properties>
</file>