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CodeAudit budget</w:t>
      </w:r>
    </w:p>
    <w:tbl>
      <w:tr>
        <w:tc>
          <w:p>
            <w:r>
              <w:t>Item</w:t>
            </w:r>
          </w:p>
        </w:tc>
        <w:tc>
          <w:p>
            <w:r>
              <w:t>Estimated</w:t>
            </w:r>
          </w:p>
        </w:tc>
        <w:tc>
          <w:p>
            <w:r>
              <w:t>Actual</w:t>
            </w:r>
          </w:p>
        </w:tc>
      </w:tr>
      <w:tr>
        <w:tc>
          <w:p>
            <w:r>
              <w:t>Cloud hosting</w:t>
            </w:r>
          </w:p>
        </w:tc>
        <w:tc>
          <w:p>
            <w:r>
              <w:t>100</w:t>
            </w:r>
          </w:p>
        </w:tc>
        <w:tc>
          <w:p>
            <w:r>
              <w:t>80</w:t>
            </w:r>
          </w:p>
        </w:tc>
      </w:tr>
      <w:tr>
        <w:tc>
          <w:p>
            <w:r>
              <w:t>Test tooling</w:t>
            </w:r>
          </w:p>
        </w:tc>
        <w:tc>
          <w:p>
            <w:r>
              <w:t>200</w:t>
            </w:r>
          </w:p>
        </w:tc>
        <w:tc>
          <w:p>
            <w:r>
              <w:t>220</w:t>
            </w:r>
          </w:p>
        </w:tc>
      </w:tr>
    </w:tbl>
    <w:p>
      <w:r>
        <w:t>The planned accessibility audit costs USD 75. The team paid USD 40 for domain registration.</w:t>
      </w:r>
    </w:p>
  </w:body>
</w:document>
</file>

<file path=word/_rels/document.xml.rels><Relationships xmlns="http://schemas.openxmlformats.org/package/2006/relationships"/>
</file>