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color w:val="444444"/>
          <w:sz w:val="26"/>
        </w:rPr>
        <w:t>Université / École d'Ingénieurs</w:t>
      </w:r>
    </w:p>
    <w:p>
      <w:pPr>
        <w:jc w:val="center"/>
      </w:pPr>
      <w:r>
        <w:rPr>
          <w:color w:val="666666"/>
          <w:sz w:val="24"/>
        </w:rPr>
        <w:t>Département Informatique — Master / Licence</w:t>
      </w:r>
    </w:p>
    <w:p/>
    <w:p/>
    <w:p>
      <w:pPr>
        <w:spacing w:after="40"/>
        <w:pBdr>
          <w:bottom w:val="single" w:sz="4" w:space="1" w:color="AAAAAA"/>
        </w:pBdr>
      </w:pPr>
    </w:p>
    <w:p/>
    <w:p>
      <w:pPr>
        <w:jc w:val="center"/>
      </w:pPr>
      <w:r>
        <w:rPr>
          <w:b/>
          <w:color w:val="1A537A"/>
          <w:sz w:val="48"/>
        </w:rPr>
        <w:t>Prédiction des Feux de Forêt</w:t>
      </w:r>
    </w:p>
    <w:p>
      <w:pPr>
        <w:jc w:val="center"/>
      </w:pPr>
      <w:r>
        <w:rPr>
          <w:b/>
          <w:color w:val="1A537A"/>
          <w:sz w:val="36"/>
        </w:rPr>
        <w:t>basée sur des Modèles d'Apprentissage Profond</w:t>
      </w:r>
    </w:p>
    <w:p>
      <w:pPr>
        <w:jc w:val="center"/>
      </w:pPr>
      <w:r>
        <w:rPr>
          <w:i/>
          <w:color w:val="444444"/>
          <w:sz w:val="26"/>
        </w:rPr>
        <w:t>Comparaison AlexNet-1D vs ResNet-1D sur données MODIS — Turquie 2020</w:t>
      </w:r>
    </w:p>
    <w:p/>
    <w:p>
      <w:pPr>
        <w:spacing w:after="40"/>
        <w:pBdr>
          <w:bottom w:val="single" w:sz="4" w:space="1" w:color="AAAAAA"/>
        </w:pBdr>
      </w:pPr>
    </w:p>
    <w:p/>
    <w:p/>
    <w:p>
      <w:pPr>
        <w:jc w:val="center"/>
      </w:pPr>
      <w:r>
        <w:rPr>
          <w:b/>
          <w:sz w:val="24"/>
        </w:rPr>
        <w:t xml:space="preserve">Auteur :  </w:t>
      </w:r>
      <w:r>
        <w:rPr>
          <w:sz w:val="24"/>
        </w:rPr>
        <w:t>Nom Prénom</w:t>
      </w:r>
    </w:p>
    <w:p>
      <w:pPr>
        <w:jc w:val="center"/>
      </w:pPr>
      <w:r>
        <w:rPr>
          <w:b/>
          <w:sz w:val="24"/>
        </w:rPr>
        <w:t xml:space="preserve">Encadrant :  </w:t>
      </w:r>
      <w:r>
        <w:rPr>
          <w:sz w:val="24"/>
        </w:rPr>
        <w:t>Nom Encadrant</w:t>
      </w:r>
    </w:p>
    <w:p>
      <w:pPr>
        <w:jc w:val="center"/>
      </w:pPr>
      <w:r>
        <w:rPr>
          <w:b/>
          <w:sz w:val="24"/>
        </w:rPr>
        <w:t xml:space="preserve">Filière :  </w:t>
      </w:r>
      <w:r>
        <w:rPr>
          <w:sz w:val="24"/>
        </w:rPr>
        <w:t>Informatique / Data Science</w:t>
      </w:r>
    </w:p>
    <w:p>
      <w:pPr>
        <w:jc w:val="center"/>
      </w:pPr>
      <w:r>
        <w:rPr>
          <w:b/>
          <w:sz w:val="24"/>
        </w:rPr>
        <w:t xml:space="preserve">Année universitaire :  </w:t>
      </w:r>
      <w:r>
        <w:rPr>
          <w:sz w:val="24"/>
        </w:rPr>
        <w:t>2024 - 2025</w:t>
      </w:r>
    </w:p>
    <w:p/>
    <w:p>
      <w:pPr>
        <w:jc w:val="center"/>
      </w:pPr>
      <w:r>
        <w:rPr>
          <w:color w:val="777777"/>
          <w:sz w:val="22"/>
        </w:rPr>
        <w:t>Date : 31 May 2026</w:t>
      </w:r>
    </w:p>
    <w:p>
      <w:r>
        <w:br w:type="page"/>
      </w:r>
    </w:p>
    <w:p>
      <w:pPr>
        <w:pStyle w:val="Heading1"/>
      </w:pPr>
      <w:r>
        <w:rPr>
          <w:color w:val="1A537A"/>
          <w:sz w:val="32"/>
        </w:rPr>
        <w:t>Résumé</w:t>
      </w:r>
    </w:p>
    <w:p>
      <w:pPr>
        <w:spacing w:after="80" w:before="0"/>
      </w:pPr>
      <w:r>
        <w:rPr>
          <w:rFonts w:ascii="Calibri" w:hAnsi="Calibri"/>
          <w:b w:val="0"/>
          <w:i w:val="0"/>
          <w:sz w:val="22"/>
        </w:rPr>
        <w:t>Ce projet de fin d'années porte sur la classification automatique des types de feux de forêt à partir des données satellitaires MODIS (Moderate Resolution Imaging Spectroradiometer) enregistrées en Turquie durant l'année 2020. Le dataset contient 8 834 observations décrites par 15 variables incluant des mesures thermiques (brightness, FRP), géographiques (latitude, longitude) et temporelles.</w:t>
      </w:r>
    </w:p>
    <w:p>
      <w:pPr>
        <w:spacing w:after="80" w:before="0"/>
      </w:pPr>
      <w:r>
        <w:rPr>
          <w:rFonts w:ascii="Calibri" w:hAnsi="Calibri"/>
          <w:b w:val="0"/>
          <w:i w:val="0"/>
          <w:sz w:val="22"/>
        </w:rPr>
        <w:t>Face au fort déséquilibre des classes (92.9% de feux de végétation contre 7% de volcans et 0.08% d'autres sources), deux stratégies de rééquilibrage sont comparées : les poids de classes (class_weight) et le sur-échantillonnage synthétique (SMOTE). Deux architectures CNN 1D adaptées aux données tabulaires sont implémentées : une inspirée d'AlexNet et une inspirée de ResNet, toutes deux sous Keras/TensorFlow.</w:t>
      </w:r>
    </w:p>
    <w:p>
      <w:pPr>
        <w:spacing w:after="80" w:before="0"/>
      </w:pPr>
      <w:r>
        <w:rPr>
          <w:rFonts w:ascii="Calibri" w:hAnsi="Calibri"/>
          <w:b w:val="0"/>
          <w:i w:val="0"/>
          <w:sz w:val="22"/>
        </w:rPr>
        <w:t>Les résultats montrent que ResNet-1D avec SMOTE obtient les meilleures performances avec un F1-score pondéré de 90.67% et un RMSE de 0.6249, surpassant légèrement AlexNet-1D avec class_weight (F1 = 90.10%, RMSE = 0.6334). Les deux modèles classifient très bien la classe majoritaire (F1 = 0.95) mais peinent sur les classes minoritaires, notamment la classe 3 représentée par seulement 7 exemples dans l'ensemble du dataset.</w:t>
      </w:r>
    </w:p>
    <w:p>
      <w:r>
        <w:rPr>
          <w:b/>
          <w:sz w:val="20"/>
        </w:rPr>
        <w:t xml:space="preserve">Mots-clés : </w:t>
      </w:r>
      <w:r>
        <w:rPr>
          <w:i/>
          <w:sz w:val="20"/>
        </w:rPr>
        <w:t>Feux de forêt, MODIS, CNN 1D, AlexNet, ResNet, SMOTE, class_weight, déséquilibre des classes, classification, deep learning</w:t>
      </w:r>
    </w:p>
    <w:p>
      <w:r>
        <w:br w:type="page"/>
      </w:r>
    </w:p>
    <w:p>
      <w:pPr>
        <w:pStyle w:val="Heading1"/>
      </w:pPr>
      <w:r>
        <w:rPr>
          <w:color w:val="1A537A"/>
          <w:sz w:val="32"/>
        </w:rPr>
        <w:t>1. Introduction et Problématique</w:t>
      </w:r>
    </w:p>
    <w:p>
      <w:pPr>
        <w:pStyle w:val="Heading2"/>
      </w:pPr>
      <w:r>
        <w:rPr>
          <w:color w:val="2E7DA8"/>
          <w:sz w:val="26"/>
        </w:rPr>
        <w:t>1.1 Contexte</w:t>
      </w:r>
    </w:p>
    <w:p>
      <w:pPr>
        <w:spacing w:after="80" w:before="0"/>
      </w:pPr>
      <w:r>
        <w:rPr>
          <w:rFonts w:ascii="Calibri" w:hAnsi="Calibri"/>
          <w:b w:val="0"/>
          <w:i w:val="0"/>
          <w:sz w:val="22"/>
        </w:rPr>
        <w:t>Les feux de forêt constituent une menace environnementale, économique et humanitaire croissante, particulièrement dans les régions méditerranéennes. La Turquie a connu en 2020 une saison de feux exceptionnellement active, avec des milliers d'hectares dévastés. La détection rapide et la classification précise des types de feux à partir de données satellitaires sont essentielles pour les systèmes d'alerte précoce et la gestion des risques.</w:t>
      </w:r>
    </w:p>
    <w:p>
      <w:pPr>
        <w:spacing w:after="80" w:before="0"/>
      </w:pPr>
      <w:r>
        <w:rPr>
          <w:rFonts w:ascii="Calibri" w:hAnsi="Calibri"/>
          <w:b w:val="0"/>
          <w:i w:val="0"/>
          <w:sz w:val="22"/>
        </w:rPr>
        <w:t>Le satellite MODIS (NASA) fournit des données de détection active des feux en temps quasi-réel, incluant la puissance radiative (FRP), la température de brillance, et la localisation géographique. Ces données tabulaires multi-variables constituent une base idéale pour les méthodes d'apprentissage automatique.</w:t>
      </w:r>
    </w:p>
    <w:p>
      <w:pPr>
        <w:pStyle w:val="Heading2"/>
      </w:pPr>
      <w:r>
        <w:rPr>
          <w:color w:val="2E7DA8"/>
          <w:sz w:val="26"/>
        </w:rPr>
        <w:t>1.2 Problématique</w:t>
      </w:r>
    </w:p>
    <w:p>
      <w:pPr>
        <w:spacing w:after="80" w:before="0"/>
      </w:pPr>
      <w:r>
        <w:rPr>
          <w:rFonts w:ascii="Calibri" w:hAnsi="Calibri"/>
          <w:b w:val="0"/>
          <w:i w:val="0"/>
          <w:sz w:val="22"/>
        </w:rPr>
        <w:t>La variable cible (type de feu) présente un déséquilibre extrême entre ses trois classes (0 : végétation, 2 : volcan, 3 : autre). Ce déséquilibre, combiné à la nature tabulaire des données (ne disposant pas de la structure spatiale des images), pose deux défis majeurs :</w:t>
      </w:r>
    </w:p>
    <w:p>
      <w:pPr>
        <w:pStyle w:val="ListBullet"/>
        <w:ind w:left="850"/>
      </w:pPr>
      <w:r>
        <w:rPr>
          <w:sz w:val="22"/>
        </w:rPr>
        <w:t>Comment adapter l'architecture CNN — conçue pour les données structurées — à des données tabulaires 1D ?</w:t>
      </w:r>
    </w:p>
    <w:p>
      <w:pPr>
        <w:pStyle w:val="ListBullet"/>
        <w:ind w:left="850"/>
      </w:pPr>
      <w:r>
        <w:rPr>
          <w:sz w:val="22"/>
        </w:rPr>
        <w:t>Quelle stratégie de gestion du déséquilibre (class_weight ou SMOTE) est la plus efficace ?</w:t>
      </w:r>
    </w:p>
    <w:p>
      <w:pPr>
        <w:pStyle w:val="Heading2"/>
      </w:pPr>
      <w:r>
        <w:rPr>
          <w:color w:val="2E7DA8"/>
          <w:sz w:val="26"/>
        </w:rPr>
        <w:t>1.3 Objectifs</w:t>
      </w:r>
    </w:p>
    <w:p>
      <w:pPr>
        <w:pStyle w:val="ListBullet"/>
        <w:ind w:left="850"/>
      </w:pPr>
      <w:r>
        <w:rPr>
          <w:sz w:val="22"/>
        </w:rPr>
        <w:t>Réaliser une analyse exploratoire complète du dataset MODIS Turquie 2020</w:t>
      </w:r>
    </w:p>
    <w:p>
      <w:pPr>
        <w:pStyle w:val="ListBullet"/>
        <w:ind w:left="850"/>
      </w:pPr>
      <w:r>
        <w:rPr>
          <w:sz w:val="22"/>
        </w:rPr>
        <w:t>Développer un pipeline de prétraitement adapté (encodage, feature engineering, normalisation)</w:t>
      </w:r>
    </w:p>
    <w:p>
      <w:pPr>
        <w:pStyle w:val="ListBullet"/>
        <w:ind w:left="850"/>
      </w:pPr>
      <w:r>
        <w:rPr>
          <w:sz w:val="22"/>
        </w:rPr>
        <w:t>Implémenter deux architectures CNN 1D (AlexNet-inspired et ResNet-inspired) sous Keras</w:t>
      </w:r>
    </w:p>
    <w:p>
      <w:pPr>
        <w:pStyle w:val="ListBullet"/>
        <w:ind w:left="850"/>
      </w:pPr>
      <w:r>
        <w:rPr>
          <w:sz w:val="22"/>
        </w:rPr>
        <w:t>Comparer deux stratégies anti-déséquilibre : class_weight et SMOTE</w:t>
      </w:r>
    </w:p>
    <w:p>
      <w:pPr>
        <w:pStyle w:val="ListBullet"/>
        <w:ind w:left="850"/>
      </w:pPr>
      <w:r>
        <w:rPr>
          <w:sz w:val="22"/>
        </w:rPr>
        <w:t>Évaluer les modèles avec les métriques académiques standard (Accuracy, F1, RMSE, matrices de confusion)</w:t>
      </w:r>
    </w:p>
    <w:p>
      <w:r>
        <w:br w:type="page"/>
      </w:r>
    </w:p>
    <w:p>
      <w:pPr>
        <w:pStyle w:val="Heading1"/>
      </w:pPr>
      <w:r>
        <w:rPr>
          <w:color w:val="1A537A"/>
          <w:sz w:val="32"/>
        </w:rPr>
        <w:t>2. Présentation du Dataset</w:t>
      </w:r>
    </w:p>
    <w:p>
      <w:pPr>
        <w:pStyle w:val="Heading2"/>
      </w:pPr>
      <w:r>
        <w:rPr>
          <w:color w:val="2E7DA8"/>
          <w:sz w:val="26"/>
        </w:rPr>
        <w:t>2.1 Source des données</w:t>
      </w:r>
    </w:p>
    <w:p>
      <w:pPr>
        <w:spacing w:after="80" w:before="0"/>
      </w:pPr>
      <w:r>
        <w:rPr>
          <w:rFonts w:ascii="Calibri" w:hAnsi="Calibri"/>
          <w:b w:val="0"/>
          <w:i w:val="0"/>
          <w:sz w:val="22"/>
        </w:rPr>
        <w:t>Le dataset provient du système NASA FIRMS (Fire Information for Resource Management System), qui diffuse en temps réel les détections d'incendies actifs du satellite MODIS. Il couvre l'ensemble du territoire turc pour l'année 2020 et a été obtenu depuis earthdata.nasa.gov. Deux capteurs sont représentés : Terra (satellite A) et Aqua (satellite B).</w:t>
      </w:r>
    </w:p>
    <w:p>
      <w:pPr>
        <w:pStyle w:val="Heading2"/>
      </w:pPr>
      <w:r>
        <w:rPr>
          <w:color w:val="2E7DA8"/>
          <w:sz w:val="26"/>
        </w:rPr>
        <w:t>2.2 Caractéristiques générales</w:t>
      </w:r>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1A537A"/>
          </w:tcPr>
          <w:p>
            <w:pPr>
              <w:jc w:val="center"/>
            </w:pPr>
            <w:r>
              <w:rPr>
                <w:b/>
                <w:color w:val="FFFFFF"/>
                <w:sz w:val="20"/>
              </w:rPr>
              <w:t>Propriété</w:t>
            </w:r>
          </w:p>
        </w:tc>
        <w:tc>
          <w:tcPr>
            <w:tcW w:type="dxa" w:w="6236"/>
            <w:shd w:val="clear" w:color="auto" w:fill="1A537A"/>
          </w:tcPr>
          <w:p>
            <w:pPr>
              <w:jc w:val="center"/>
            </w:pPr>
            <w:r>
              <w:rPr>
                <w:b/>
                <w:color w:val="FFFFFF"/>
                <w:sz w:val="20"/>
              </w:rPr>
              <w:t>Valeur</w:t>
            </w:r>
          </w:p>
        </w:tc>
      </w:tr>
      <w:tr>
        <w:tc>
          <w:tcPr>
            <w:tcW w:type="dxa" w:w="2835"/>
            <w:shd w:val="clear" w:color="auto" w:fill="EBF3F8"/>
          </w:tcPr>
          <w:p>
            <w:pPr>
              <w:jc w:val="center"/>
            </w:pPr>
            <w:r>
              <w:rPr>
                <w:sz w:val="20"/>
              </w:rPr>
              <w:t>Dimensions</w:t>
            </w:r>
          </w:p>
        </w:tc>
        <w:tc>
          <w:tcPr>
            <w:tcW w:type="dxa" w:w="6236"/>
            <w:shd w:val="clear" w:color="auto" w:fill="EBF3F8"/>
          </w:tcPr>
          <w:p>
            <w:pPr>
              <w:jc w:val="center"/>
            </w:pPr>
            <w:r>
              <w:rPr>
                <w:sz w:val="20"/>
              </w:rPr>
              <w:t>8 834 lignes × 15 colonnes</w:t>
            </w:r>
          </w:p>
        </w:tc>
      </w:tr>
      <w:tr>
        <w:tc>
          <w:tcPr>
            <w:tcW w:type="dxa" w:w="2835"/>
            <w:shd w:val="clear" w:color="auto" w:fill="FFFFFF"/>
          </w:tcPr>
          <w:p>
            <w:pPr>
              <w:jc w:val="center"/>
            </w:pPr>
            <w:r>
              <w:rPr>
                <w:sz w:val="20"/>
              </w:rPr>
              <w:t>Valeurs manquantes</w:t>
            </w:r>
          </w:p>
        </w:tc>
        <w:tc>
          <w:tcPr>
            <w:tcW w:type="dxa" w:w="6236"/>
            <w:shd w:val="clear" w:color="auto" w:fill="FFFFFF"/>
          </w:tcPr>
          <w:p>
            <w:pPr>
              <w:jc w:val="center"/>
            </w:pPr>
            <w:r>
              <w:rPr>
                <w:sz w:val="20"/>
              </w:rPr>
              <w:t>Aucune (dataset complet)</w:t>
            </w:r>
          </w:p>
        </w:tc>
      </w:tr>
      <w:tr>
        <w:tc>
          <w:tcPr>
            <w:tcW w:type="dxa" w:w="2835"/>
            <w:shd w:val="clear" w:color="auto" w:fill="EBF3F8"/>
          </w:tcPr>
          <w:p>
            <w:pPr>
              <w:jc w:val="center"/>
            </w:pPr>
            <w:r>
              <w:rPr>
                <w:sz w:val="20"/>
              </w:rPr>
              <w:t>Variable cible</w:t>
            </w:r>
          </w:p>
        </w:tc>
        <w:tc>
          <w:tcPr>
            <w:tcW w:type="dxa" w:w="6236"/>
            <w:shd w:val="clear" w:color="auto" w:fill="EBF3F8"/>
          </w:tcPr>
          <w:p>
            <w:pPr>
              <w:jc w:val="center"/>
            </w:pPr>
            <w:r>
              <w:rPr>
                <w:sz w:val="20"/>
              </w:rPr>
              <w:t>type (0 = végétation, 2 = volcan, 3 = autre)</w:t>
            </w:r>
          </w:p>
        </w:tc>
      </w:tr>
      <w:tr>
        <w:tc>
          <w:tcPr>
            <w:tcW w:type="dxa" w:w="2835"/>
            <w:shd w:val="clear" w:color="auto" w:fill="FFFFFF"/>
          </w:tcPr>
          <w:p>
            <w:pPr>
              <w:jc w:val="center"/>
            </w:pPr>
            <w:r>
              <w:rPr>
                <w:sz w:val="20"/>
              </w:rPr>
              <w:t>Période</w:t>
            </w:r>
          </w:p>
        </w:tc>
        <w:tc>
          <w:tcPr>
            <w:tcW w:type="dxa" w:w="6236"/>
            <w:shd w:val="clear" w:color="auto" w:fill="FFFFFF"/>
          </w:tcPr>
          <w:p>
            <w:pPr>
              <w:jc w:val="center"/>
            </w:pPr>
            <w:r>
              <w:rPr>
                <w:sz w:val="20"/>
              </w:rPr>
              <w:t>Année 2020 — Turquie</w:t>
            </w:r>
          </w:p>
        </w:tc>
      </w:tr>
      <w:tr>
        <w:tc>
          <w:tcPr>
            <w:tcW w:type="dxa" w:w="2835"/>
            <w:shd w:val="clear" w:color="auto" w:fill="EBF3F8"/>
          </w:tcPr>
          <w:p>
            <w:pPr>
              <w:jc w:val="center"/>
            </w:pPr>
            <w:r>
              <w:rPr>
                <w:sz w:val="20"/>
              </w:rPr>
              <w:t>Source</w:t>
            </w:r>
          </w:p>
        </w:tc>
        <w:tc>
          <w:tcPr>
            <w:tcW w:type="dxa" w:w="6236"/>
            <w:shd w:val="clear" w:color="auto" w:fill="EBF3F8"/>
          </w:tcPr>
          <w:p>
            <w:pPr>
              <w:jc w:val="center"/>
            </w:pPr>
            <w:r>
              <w:rPr>
                <w:sz w:val="20"/>
              </w:rPr>
              <w:t>NASA FIRMS — MODIS Terra &amp; Aqua</w:t>
            </w:r>
          </w:p>
        </w:tc>
      </w:tr>
    </w:tbl>
    <w:p/>
    <w:p>
      <w:pPr>
        <w:pStyle w:val="Heading2"/>
      </w:pPr>
      <w:r>
        <w:rPr>
          <w:color w:val="2E7DA8"/>
          <w:sz w:val="26"/>
        </w:rPr>
        <w:t>2.3 Description des colonnes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814"/>
            <w:shd w:val="clear" w:color="auto" w:fill="1A537A"/>
          </w:tcPr>
          <w:p>
            <w:pPr>
              <w:jc w:val="center"/>
            </w:pPr>
            <w:r>
              <w:rPr>
                <w:b/>
                <w:color w:val="FFFFFF"/>
                <w:sz w:val="20"/>
              </w:rPr>
              <w:t>Colonne</w:t>
            </w:r>
          </w:p>
        </w:tc>
        <w:tc>
          <w:tcPr>
            <w:tcW w:type="dxa" w:w="1134"/>
            <w:shd w:val="clear" w:color="auto" w:fill="1A537A"/>
          </w:tcPr>
          <w:p>
            <w:pPr>
              <w:jc w:val="center"/>
            </w:pPr>
            <w:r>
              <w:rPr>
                <w:b/>
                <w:color w:val="FFFFFF"/>
                <w:sz w:val="20"/>
              </w:rPr>
              <w:t>Type</w:t>
            </w:r>
          </w:p>
        </w:tc>
        <w:tc>
          <w:tcPr>
            <w:tcW w:type="dxa" w:w="4252"/>
            <w:shd w:val="clear" w:color="auto" w:fill="1A537A"/>
          </w:tcPr>
          <w:p>
            <w:pPr>
              <w:jc w:val="center"/>
            </w:pPr>
            <w:r>
              <w:rPr>
                <w:b/>
                <w:color w:val="FFFFFF"/>
                <w:sz w:val="20"/>
              </w:rPr>
              <w:t>Description</w:t>
            </w:r>
          </w:p>
        </w:tc>
        <w:tc>
          <w:tcPr>
            <w:tcW w:type="dxa" w:w="1701"/>
            <w:shd w:val="clear" w:color="auto" w:fill="1A537A"/>
          </w:tcPr>
          <w:p>
            <w:pPr>
              <w:jc w:val="center"/>
            </w:pPr>
            <w:r>
              <w:rPr>
                <w:b/>
                <w:color w:val="FFFFFF"/>
                <w:sz w:val="20"/>
              </w:rPr>
              <w:t>Statut</w:t>
            </w:r>
          </w:p>
        </w:tc>
      </w:tr>
      <w:tr>
        <w:tc>
          <w:tcPr>
            <w:tcW w:type="dxa" w:w="1814"/>
            <w:shd w:val="clear" w:color="auto" w:fill="EBF3F8"/>
          </w:tcPr>
          <w:p>
            <w:pPr>
              <w:jc w:val="center"/>
            </w:pPr>
            <w:r>
              <w:rPr>
                <w:sz w:val="20"/>
              </w:rPr>
              <w:t>latitude</w:t>
            </w:r>
          </w:p>
        </w:tc>
        <w:tc>
          <w:tcPr>
            <w:tcW w:type="dxa" w:w="1134"/>
            <w:shd w:val="clear" w:color="auto" w:fill="EBF3F8"/>
          </w:tcPr>
          <w:p>
            <w:pPr>
              <w:jc w:val="center"/>
            </w:pPr>
            <w:r>
              <w:rPr>
                <w:sz w:val="20"/>
              </w:rPr>
              <w:t>float</w:t>
            </w:r>
          </w:p>
        </w:tc>
        <w:tc>
          <w:tcPr>
            <w:tcW w:type="dxa" w:w="4252"/>
            <w:shd w:val="clear" w:color="auto" w:fill="EBF3F8"/>
          </w:tcPr>
          <w:p>
            <w:pPr>
              <w:jc w:val="center"/>
            </w:pPr>
            <w:r>
              <w:rPr>
                <w:sz w:val="20"/>
              </w:rPr>
              <w:t>Latitude GPS du foyer (°N)</w:t>
            </w:r>
          </w:p>
        </w:tc>
        <w:tc>
          <w:tcPr>
            <w:tcW w:type="dxa" w:w="1701"/>
            <w:shd w:val="clear" w:color="auto" w:fill="EBF3F8"/>
          </w:tcPr>
          <w:p>
            <w:pPr>
              <w:jc w:val="center"/>
            </w:pPr>
            <w:r>
              <w:rPr>
                <w:sz w:val="20"/>
              </w:rPr>
              <w:t>Feature</w:t>
            </w:r>
          </w:p>
        </w:tc>
      </w:tr>
      <w:tr>
        <w:tc>
          <w:tcPr>
            <w:tcW w:type="dxa" w:w="1814"/>
            <w:shd w:val="clear" w:color="auto" w:fill="FFFFFF"/>
          </w:tcPr>
          <w:p>
            <w:pPr>
              <w:jc w:val="center"/>
            </w:pPr>
            <w:r>
              <w:rPr>
                <w:sz w:val="20"/>
              </w:rPr>
              <w:t>longitude</w:t>
            </w:r>
          </w:p>
        </w:tc>
        <w:tc>
          <w:tcPr>
            <w:tcW w:type="dxa" w:w="1134"/>
            <w:shd w:val="clear" w:color="auto" w:fill="FFFFFF"/>
          </w:tcPr>
          <w:p>
            <w:pPr>
              <w:jc w:val="center"/>
            </w:pPr>
            <w:r>
              <w:rPr>
                <w:sz w:val="20"/>
              </w:rPr>
              <w:t>float</w:t>
            </w:r>
          </w:p>
        </w:tc>
        <w:tc>
          <w:tcPr>
            <w:tcW w:type="dxa" w:w="4252"/>
            <w:shd w:val="clear" w:color="auto" w:fill="FFFFFF"/>
          </w:tcPr>
          <w:p>
            <w:pPr>
              <w:jc w:val="center"/>
            </w:pPr>
            <w:r>
              <w:rPr>
                <w:sz w:val="20"/>
              </w:rPr>
              <w:t>Longitude GPS du foyer (°E)</w:t>
            </w:r>
          </w:p>
        </w:tc>
        <w:tc>
          <w:tcPr>
            <w:tcW w:type="dxa" w:w="1701"/>
            <w:shd w:val="clear" w:color="auto" w:fill="FFFFFF"/>
          </w:tcPr>
          <w:p>
            <w:pPr>
              <w:jc w:val="center"/>
            </w:pPr>
            <w:r>
              <w:rPr>
                <w:sz w:val="20"/>
              </w:rPr>
              <w:t>Feature</w:t>
            </w:r>
          </w:p>
        </w:tc>
      </w:tr>
      <w:tr>
        <w:tc>
          <w:tcPr>
            <w:tcW w:type="dxa" w:w="1814"/>
            <w:shd w:val="clear" w:color="auto" w:fill="EBF3F8"/>
          </w:tcPr>
          <w:p>
            <w:pPr>
              <w:jc w:val="center"/>
            </w:pPr>
            <w:r>
              <w:rPr>
                <w:sz w:val="20"/>
              </w:rPr>
              <w:t>brightness</w:t>
            </w:r>
          </w:p>
        </w:tc>
        <w:tc>
          <w:tcPr>
            <w:tcW w:type="dxa" w:w="1134"/>
            <w:shd w:val="clear" w:color="auto" w:fill="EBF3F8"/>
          </w:tcPr>
          <w:p>
            <w:pPr>
              <w:jc w:val="center"/>
            </w:pPr>
            <w:r>
              <w:rPr>
                <w:sz w:val="20"/>
              </w:rPr>
              <w:t>float</w:t>
            </w:r>
          </w:p>
        </w:tc>
        <w:tc>
          <w:tcPr>
            <w:tcW w:type="dxa" w:w="4252"/>
            <w:shd w:val="clear" w:color="auto" w:fill="EBF3F8"/>
          </w:tcPr>
          <w:p>
            <w:pPr>
              <w:jc w:val="center"/>
            </w:pPr>
            <w:r>
              <w:rPr>
                <w:sz w:val="20"/>
              </w:rPr>
              <w:t>Température brillance canal 21/22 (K)</w:t>
            </w:r>
          </w:p>
        </w:tc>
        <w:tc>
          <w:tcPr>
            <w:tcW w:type="dxa" w:w="1701"/>
            <w:shd w:val="clear" w:color="auto" w:fill="EBF3F8"/>
          </w:tcPr>
          <w:p>
            <w:pPr>
              <w:jc w:val="center"/>
            </w:pPr>
            <w:r>
              <w:rPr>
                <w:sz w:val="20"/>
              </w:rPr>
              <w:t>Feature</w:t>
            </w:r>
          </w:p>
        </w:tc>
      </w:tr>
      <w:tr>
        <w:tc>
          <w:tcPr>
            <w:tcW w:type="dxa" w:w="1814"/>
            <w:shd w:val="clear" w:color="auto" w:fill="FFFFFF"/>
          </w:tcPr>
          <w:p>
            <w:pPr>
              <w:jc w:val="center"/>
            </w:pPr>
            <w:r>
              <w:rPr>
                <w:sz w:val="20"/>
              </w:rPr>
              <w:t>scan</w:t>
            </w:r>
          </w:p>
        </w:tc>
        <w:tc>
          <w:tcPr>
            <w:tcW w:type="dxa" w:w="1134"/>
            <w:shd w:val="clear" w:color="auto" w:fill="FFFFFF"/>
          </w:tcPr>
          <w:p>
            <w:pPr>
              <w:jc w:val="center"/>
            </w:pPr>
            <w:r>
              <w:rPr>
                <w:sz w:val="20"/>
              </w:rPr>
              <w:t>float</w:t>
            </w:r>
          </w:p>
        </w:tc>
        <w:tc>
          <w:tcPr>
            <w:tcW w:type="dxa" w:w="4252"/>
            <w:shd w:val="clear" w:color="auto" w:fill="FFFFFF"/>
          </w:tcPr>
          <w:p>
            <w:pPr>
              <w:jc w:val="center"/>
            </w:pPr>
            <w:r>
              <w:rPr>
                <w:sz w:val="20"/>
              </w:rPr>
              <w:t>Taille pixel — sens balayage (km)</w:t>
            </w:r>
          </w:p>
        </w:tc>
        <w:tc>
          <w:tcPr>
            <w:tcW w:type="dxa" w:w="1701"/>
            <w:shd w:val="clear" w:color="auto" w:fill="FFFFFF"/>
          </w:tcPr>
          <w:p>
            <w:pPr>
              <w:jc w:val="center"/>
            </w:pPr>
            <w:r>
              <w:rPr>
                <w:sz w:val="20"/>
              </w:rPr>
              <w:t>Feature</w:t>
            </w:r>
          </w:p>
        </w:tc>
      </w:tr>
      <w:tr>
        <w:tc>
          <w:tcPr>
            <w:tcW w:type="dxa" w:w="1814"/>
            <w:shd w:val="clear" w:color="auto" w:fill="EBF3F8"/>
          </w:tcPr>
          <w:p>
            <w:pPr>
              <w:jc w:val="center"/>
            </w:pPr>
            <w:r>
              <w:rPr>
                <w:sz w:val="20"/>
              </w:rPr>
              <w:t>track</w:t>
            </w:r>
          </w:p>
        </w:tc>
        <w:tc>
          <w:tcPr>
            <w:tcW w:type="dxa" w:w="1134"/>
            <w:shd w:val="clear" w:color="auto" w:fill="EBF3F8"/>
          </w:tcPr>
          <w:p>
            <w:pPr>
              <w:jc w:val="center"/>
            </w:pPr>
            <w:r>
              <w:rPr>
                <w:sz w:val="20"/>
              </w:rPr>
              <w:t>float</w:t>
            </w:r>
          </w:p>
        </w:tc>
        <w:tc>
          <w:tcPr>
            <w:tcW w:type="dxa" w:w="4252"/>
            <w:shd w:val="clear" w:color="auto" w:fill="EBF3F8"/>
          </w:tcPr>
          <w:p>
            <w:pPr>
              <w:jc w:val="center"/>
            </w:pPr>
            <w:r>
              <w:rPr>
                <w:sz w:val="20"/>
              </w:rPr>
              <w:t>Taille pixel — sens déplacement (km)</w:t>
            </w:r>
          </w:p>
        </w:tc>
        <w:tc>
          <w:tcPr>
            <w:tcW w:type="dxa" w:w="1701"/>
            <w:shd w:val="clear" w:color="auto" w:fill="EBF3F8"/>
          </w:tcPr>
          <w:p>
            <w:pPr>
              <w:jc w:val="center"/>
            </w:pPr>
            <w:r>
              <w:rPr>
                <w:sz w:val="20"/>
              </w:rPr>
              <w:t>Feature</w:t>
            </w:r>
          </w:p>
        </w:tc>
      </w:tr>
      <w:tr>
        <w:tc>
          <w:tcPr>
            <w:tcW w:type="dxa" w:w="1814"/>
            <w:shd w:val="clear" w:color="auto" w:fill="FFFFFF"/>
          </w:tcPr>
          <w:p>
            <w:pPr>
              <w:jc w:val="center"/>
            </w:pPr>
            <w:r>
              <w:rPr>
                <w:sz w:val="20"/>
              </w:rPr>
              <w:t>acq_date</w:t>
            </w:r>
          </w:p>
        </w:tc>
        <w:tc>
          <w:tcPr>
            <w:tcW w:type="dxa" w:w="1134"/>
            <w:shd w:val="clear" w:color="auto" w:fill="FFFFFF"/>
          </w:tcPr>
          <w:p>
            <w:pPr>
              <w:jc w:val="center"/>
            </w:pPr>
            <w:r>
              <w:rPr>
                <w:sz w:val="20"/>
              </w:rPr>
              <w:t>string</w:t>
            </w:r>
          </w:p>
        </w:tc>
        <w:tc>
          <w:tcPr>
            <w:tcW w:type="dxa" w:w="4252"/>
            <w:shd w:val="clear" w:color="auto" w:fill="FFFFFF"/>
          </w:tcPr>
          <w:p>
            <w:pPr>
              <w:jc w:val="center"/>
            </w:pPr>
            <w:r>
              <w:rPr>
                <w:sz w:val="20"/>
              </w:rPr>
              <w:t>Date d'acquisition (YYYY-MM-DD)</w:t>
            </w:r>
          </w:p>
        </w:tc>
        <w:tc>
          <w:tcPr>
            <w:tcW w:type="dxa" w:w="1701"/>
            <w:shd w:val="clear" w:color="auto" w:fill="FFFFFF"/>
          </w:tcPr>
          <w:p>
            <w:pPr>
              <w:jc w:val="center"/>
            </w:pPr>
            <w:r>
              <w:rPr>
                <w:sz w:val="20"/>
              </w:rPr>
              <w:t>→ mois extrait</w:t>
            </w:r>
          </w:p>
        </w:tc>
      </w:tr>
      <w:tr>
        <w:tc>
          <w:tcPr>
            <w:tcW w:type="dxa" w:w="1814"/>
            <w:shd w:val="clear" w:color="auto" w:fill="EBF3F8"/>
          </w:tcPr>
          <w:p>
            <w:pPr>
              <w:jc w:val="center"/>
            </w:pPr>
            <w:r>
              <w:rPr>
                <w:sz w:val="20"/>
              </w:rPr>
              <w:t>acq_time</w:t>
            </w:r>
          </w:p>
        </w:tc>
        <w:tc>
          <w:tcPr>
            <w:tcW w:type="dxa" w:w="1134"/>
            <w:shd w:val="clear" w:color="auto" w:fill="EBF3F8"/>
          </w:tcPr>
          <w:p>
            <w:pPr>
              <w:jc w:val="center"/>
            </w:pPr>
            <w:r>
              <w:rPr>
                <w:sz w:val="20"/>
              </w:rPr>
              <w:t>int</w:t>
            </w:r>
          </w:p>
        </w:tc>
        <w:tc>
          <w:tcPr>
            <w:tcW w:type="dxa" w:w="4252"/>
            <w:shd w:val="clear" w:color="auto" w:fill="EBF3F8"/>
          </w:tcPr>
          <w:p>
            <w:pPr>
              <w:jc w:val="center"/>
            </w:pPr>
            <w:r>
              <w:rPr>
                <w:sz w:val="20"/>
              </w:rPr>
              <w:t>Heure d'acquisition (HHMM)</w:t>
            </w:r>
          </w:p>
        </w:tc>
        <w:tc>
          <w:tcPr>
            <w:tcW w:type="dxa" w:w="1701"/>
            <w:shd w:val="clear" w:color="auto" w:fill="EBF3F8"/>
          </w:tcPr>
          <w:p>
            <w:pPr>
              <w:jc w:val="center"/>
            </w:pPr>
            <w:r>
              <w:rPr>
                <w:sz w:val="20"/>
              </w:rPr>
              <w:t>→ heure extraite</w:t>
            </w:r>
          </w:p>
        </w:tc>
      </w:tr>
      <w:tr>
        <w:tc>
          <w:tcPr>
            <w:tcW w:type="dxa" w:w="1814"/>
            <w:shd w:val="clear" w:color="auto" w:fill="FFFFFF"/>
          </w:tcPr>
          <w:p>
            <w:pPr>
              <w:jc w:val="center"/>
            </w:pPr>
            <w:r>
              <w:rPr>
                <w:sz w:val="20"/>
              </w:rPr>
              <w:t>satellite</w:t>
            </w:r>
          </w:p>
        </w:tc>
        <w:tc>
          <w:tcPr>
            <w:tcW w:type="dxa" w:w="1134"/>
            <w:shd w:val="clear" w:color="auto" w:fill="FFFFFF"/>
          </w:tcPr>
          <w:p>
            <w:pPr>
              <w:jc w:val="center"/>
            </w:pPr>
            <w:r>
              <w:rPr>
                <w:sz w:val="20"/>
              </w:rPr>
              <w:t>string</w:t>
            </w:r>
          </w:p>
        </w:tc>
        <w:tc>
          <w:tcPr>
            <w:tcW w:type="dxa" w:w="4252"/>
            <w:shd w:val="clear" w:color="auto" w:fill="FFFFFF"/>
          </w:tcPr>
          <w:p>
            <w:pPr>
              <w:jc w:val="center"/>
            </w:pPr>
            <w:r>
              <w:rPr>
                <w:sz w:val="20"/>
              </w:rPr>
              <w:t>'A' (Terra) ou 'B' (Aqua)</w:t>
            </w:r>
          </w:p>
        </w:tc>
        <w:tc>
          <w:tcPr>
            <w:tcW w:type="dxa" w:w="1701"/>
            <w:shd w:val="clear" w:color="auto" w:fill="FFFFFF"/>
          </w:tcPr>
          <w:p>
            <w:pPr>
              <w:jc w:val="center"/>
            </w:pPr>
            <w:r>
              <w:rPr>
                <w:sz w:val="20"/>
              </w:rPr>
              <w:t>Encodée 0/1</w:t>
            </w:r>
          </w:p>
        </w:tc>
      </w:tr>
      <w:tr>
        <w:tc>
          <w:tcPr>
            <w:tcW w:type="dxa" w:w="1814"/>
            <w:shd w:val="clear" w:color="auto" w:fill="EBF3F8"/>
          </w:tcPr>
          <w:p>
            <w:pPr>
              <w:jc w:val="center"/>
            </w:pPr>
            <w:r>
              <w:rPr>
                <w:sz w:val="20"/>
              </w:rPr>
              <w:t>instrument</w:t>
            </w:r>
          </w:p>
        </w:tc>
        <w:tc>
          <w:tcPr>
            <w:tcW w:type="dxa" w:w="1134"/>
            <w:shd w:val="clear" w:color="auto" w:fill="EBF3F8"/>
          </w:tcPr>
          <w:p>
            <w:pPr>
              <w:jc w:val="center"/>
            </w:pPr>
            <w:r>
              <w:rPr>
                <w:sz w:val="20"/>
              </w:rPr>
              <w:t>string</w:t>
            </w:r>
          </w:p>
        </w:tc>
        <w:tc>
          <w:tcPr>
            <w:tcW w:type="dxa" w:w="4252"/>
            <w:shd w:val="clear" w:color="auto" w:fill="EBF3F8"/>
          </w:tcPr>
          <w:p>
            <w:pPr>
              <w:jc w:val="center"/>
            </w:pPr>
            <w:r>
              <w:rPr>
                <w:sz w:val="20"/>
              </w:rPr>
              <w:t>Toujours 'MODIS' — constante</w:t>
            </w:r>
          </w:p>
        </w:tc>
        <w:tc>
          <w:tcPr>
            <w:tcW w:type="dxa" w:w="1701"/>
            <w:shd w:val="clear" w:color="auto" w:fill="EBF3F8"/>
          </w:tcPr>
          <w:p>
            <w:pPr>
              <w:jc w:val="center"/>
            </w:pPr>
            <w:r>
              <w:rPr>
                <w:sz w:val="20"/>
              </w:rPr>
              <w:t>Supprimée</w:t>
            </w:r>
          </w:p>
        </w:tc>
      </w:tr>
      <w:tr>
        <w:tc>
          <w:tcPr>
            <w:tcW w:type="dxa" w:w="1814"/>
            <w:shd w:val="clear" w:color="auto" w:fill="FFFFFF"/>
          </w:tcPr>
          <w:p>
            <w:pPr>
              <w:jc w:val="center"/>
            </w:pPr>
            <w:r>
              <w:rPr>
                <w:sz w:val="20"/>
              </w:rPr>
              <w:t>confidence</w:t>
            </w:r>
          </w:p>
        </w:tc>
        <w:tc>
          <w:tcPr>
            <w:tcW w:type="dxa" w:w="1134"/>
            <w:shd w:val="clear" w:color="auto" w:fill="FFFFFF"/>
          </w:tcPr>
          <w:p>
            <w:pPr>
              <w:jc w:val="center"/>
            </w:pPr>
            <w:r>
              <w:rPr>
                <w:sz w:val="20"/>
              </w:rPr>
              <w:t>int</w:t>
            </w:r>
          </w:p>
        </w:tc>
        <w:tc>
          <w:tcPr>
            <w:tcW w:type="dxa" w:w="4252"/>
            <w:shd w:val="clear" w:color="auto" w:fill="FFFFFF"/>
          </w:tcPr>
          <w:p>
            <w:pPr>
              <w:jc w:val="center"/>
            </w:pPr>
            <w:r>
              <w:rPr>
                <w:sz w:val="20"/>
              </w:rPr>
              <w:t>Niveau de confiance (0–100)</w:t>
            </w:r>
          </w:p>
        </w:tc>
        <w:tc>
          <w:tcPr>
            <w:tcW w:type="dxa" w:w="1701"/>
            <w:shd w:val="clear" w:color="auto" w:fill="FFFFFF"/>
          </w:tcPr>
          <w:p>
            <w:pPr>
              <w:jc w:val="center"/>
            </w:pPr>
            <w:r>
              <w:rPr>
                <w:sz w:val="20"/>
              </w:rPr>
              <w:t>Feature</w:t>
            </w:r>
          </w:p>
        </w:tc>
      </w:tr>
      <w:tr>
        <w:tc>
          <w:tcPr>
            <w:tcW w:type="dxa" w:w="1814"/>
            <w:shd w:val="clear" w:color="auto" w:fill="EBF3F8"/>
          </w:tcPr>
          <w:p>
            <w:pPr>
              <w:jc w:val="center"/>
            </w:pPr>
            <w:r>
              <w:rPr>
                <w:sz w:val="20"/>
              </w:rPr>
              <w:t>version</w:t>
            </w:r>
          </w:p>
        </w:tc>
        <w:tc>
          <w:tcPr>
            <w:tcW w:type="dxa" w:w="1134"/>
            <w:shd w:val="clear" w:color="auto" w:fill="EBF3F8"/>
          </w:tcPr>
          <w:p>
            <w:pPr>
              <w:jc w:val="center"/>
            </w:pPr>
            <w:r>
              <w:rPr>
                <w:sz w:val="20"/>
              </w:rPr>
              <w:t>float</w:t>
            </w:r>
          </w:p>
        </w:tc>
        <w:tc>
          <w:tcPr>
            <w:tcW w:type="dxa" w:w="4252"/>
            <w:shd w:val="clear" w:color="auto" w:fill="EBF3F8"/>
          </w:tcPr>
          <w:p>
            <w:pPr>
              <w:jc w:val="center"/>
            </w:pPr>
            <w:r>
              <w:rPr>
                <w:sz w:val="20"/>
              </w:rPr>
              <w:t>Toujours 6.03 — constante</w:t>
            </w:r>
          </w:p>
        </w:tc>
        <w:tc>
          <w:tcPr>
            <w:tcW w:type="dxa" w:w="1701"/>
            <w:shd w:val="clear" w:color="auto" w:fill="EBF3F8"/>
          </w:tcPr>
          <w:p>
            <w:pPr>
              <w:jc w:val="center"/>
            </w:pPr>
            <w:r>
              <w:rPr>
                <w:sz w:val="20"/>
              </w:rPr>
              <w:t>Supprimée</w:t>
            </w:r>
          </w:p>
        </w:tc>
      </w:tr>
      <w:tr>
        <w:tc>
          <w:tcPr>
            <w:tcW w:type="dxa" w:w="1814"/>
            <w:shd w:val="clear" w:color="auto" w:fill="FFFFFF"/>
          </w:tcPr>
          <w:p>
            <w:pPr>
              <w:jc w:val="center"/>
            </w:pPr>
            <w:r>
              <w:rPr>
                <w:sz w:val="20"/>
              </w:rPr>
              <w:t>bright_t31</w:t>
            </w:r>
          </w:p>
        </w:tc>
        <w:tc>
          <w:tcPr>
            <w:tcW w:type="dxa" w:w="1134"/>
            <w:shd w:val="clear" w:color="auto" w:fill="FFFFFF"/>
          </w:tcPr>
          <w:p>
            <w:pPr>
              <w:jc w:val="center"/>
            </w:pPr>
            <w:r>
              <w:rPr>
                <w:sz w:val="20"/>
              </w:rPr>
              <w:t>float</w:t>
            </w:r>
          </w:p>
        </w:tc>
        <w:tc>
          <w:tcPr>
            <w:tcW w:type="dxa" w:w="4252"/>
            <w:shd w:val="clear" w:color="auto" w:fill="FFFFFF"/>
          </w:tcPr>
          <w:p>
            <w:pPr>
              <w:jc w:val="center"/>
            </w:pPr>
            <w:r>
              <w:rPr>
                <w:sz w:val="20"/>
              </w:rPr>
              <w:t>Température brillance canal 31 (K)</w:t>
            </w:r>
          </w:p>
        </w:tc>
        <w:tc>
          <w:tcPr>
            <w:tcW w:type="dxa" w:w="1701"/>
            <w:shd w:val="clear" w:color="auto" w:fill="FFFFFF"/>
          </w:tcPr>
          <w:p>
            <w:pPr>
              <w:jc w:val="center"/>
            </w:pPr>
            <w:r>
              <w:rPr>
                <w:sz w:val="20"/>
              </w:rPr>
              <w:t>Feature</w:t>
            </w:r>
          </w:p>
        </w:tc>
      </w:tr>
      <w:tr>
        <w:tc>
          <w:tcPr>
            <w:tcW w:type="dxa" w:w="1814"/>
            <w:shd w:val="clear" w:color="auto" w:fill="EBF3F8"/>
          </w:tcPr>
          <w:p>
            <w:pPr>
              <w:jc w:val="center"/>
            </w:pPr>
            <w:r>
              <w:rPr>
                <w:sz w:val="20"/>
              </w:rPr>
              <w:t>frp</w:t>
            </w:r>
          </w:p>
        </w:tc>
        <w:tc>
          <w:tcPr>
            <w:tcW w:type="dxa" w:w="1134"/>
            <w:shd w:val="clear" w:color="auto" w:fill="EBF3F8"/>
          </w:tcPr>
          <w:p>
            <w:pPr>
              <w:jc w:val="center"/>
            </w:pPr>
            <w:r>
              <w:rPr>
                <w:sz w:val="20"/>
              </w:rPr>
              <w:t>float</w:t>
            </w:r>
          </w:p>
        </w:tc>
        <w:tc>
          <w:tcPr>
            <w:tcW w:type="dxa" w:w="4252"/>
            <w:shd w:val="clear" w:color="auto" w:fill="EBF3F8"/>
          </w:tcPr>
          <w:p>
            <w:pPr>
              <w:jc w:val="center"/>
            </w:pPr>
            <w:r>
              <w:rPr>
                <w:sz w:val="20"/>
              </w:rPr>
              <w:t>Fire Radiative Power (MW/sr/m²)</w:t>
            </w:r>
          </w:p>
        </w:tc>
        <w:tc>
          <w:tcPr>
            <w:tcW w:type="dxa" w:w="1701"/>
            <w:shd w:val="clear" w:color="auto" w:fill="EBF3F8"/>
          </w:tcPr>
          <w:p>
            <w:pPr>
              <w:jc w:val="center"/>
            </w:pPr>
            <w:r>
              <w:rPr>
                <w:sz w:val="20"/>
              </w:rPr>
              <w:t>Feature</w:t>
            </w:r>
          </w:p>
        </w:tc>
      </w:tr>
      <w:tr>
        <w:tc>
          <w:tcPr>
            <w:tcW w:type="dxa" w:w="1814"/>
            <w:shd w:val="clear" w:color="auto" w:fill="FFFFFF"/>
          </w:tcPr>
          <w:p>
            <w:pPr>
              <w:jc w:val="center"/>
            </w:pPr>
            <w:r>
              <w:rPr>
                <w:sz w:val="20"/>
              </w:rPr>
              <w:t>daynight</w:t>
            </w:r>
          </w:p>
        </w:tc>
        <w:tc>
          <w:tcPr>
            <w:tcW w:type="dxa" w:w="1134"/>
            <w:shd w:val="clear" w:color="auto" w:fill="FFFFFF"/>
          </w:tcPr>
          <w:p>
            <w:pPr>
              <w:jc w:val="center"/>
            </w:pPr>
            <w:r>
              <w:rPr>
                <w:sz w:val="20"/>
              </w:rPr>
              <w:t>string</w:t>
            </w:r>
          </w:p>
        </w:tc>
        <w:tc>
          <w:tcPr>
            <w:tcW w:type="dxa" w:w="4252"/>
            <w:shd w:val="clear" w:color="auto" w:fill="FFFFFF"/>
          </w:tcPr>
          <w:p>
            <w:pPr>
              <w:jc w:val="center"/>
            </w:pPr>
            <w:r>
              <w:rPr>
                <w:sz w:val="20"/>
              </w:rPr>
              <w:t>'D' (jour) ou 'N' (nuit)</w:t>
            </w:r>
          </w:p>
        </w:tc>
        <w:tc>
          <w:tcPr>
            <w:tcW w:type="dxa" w:w="1701"/>
            <w:shd w:val="clear" w:color="auto" w:fill="FFFFFF"/>
          </w:tcPr>
          <w:p>
            <w:pPr>
              <w:jc w:val="center"/>
            </w:pPr>
            <w:r>
              <w:rPr>
                <w:sz w:val="20"/>
              </w:rPr>
              <w:t>Encodée 0/1</w:t>
            </w:r>
          </w:p>
        </w:tc>
      </w:tr>
      <w:tr>
        <w:tc>
          <w:tcPr>
            <w:tcW w:type="dxa" w:w="1814"/>
            <w:shd w:val="clear" w:color="auto" w:fill="EBF3F8"/>
          </w:tcPr>
          <w:p>
            <w:pPr>
              <w:jc w:val="center"/>
            </w:pPr>
            <w:r>
              <w:rPr>
                <w:sz w:val="20"/>
              </w:rPr>
              <w:t>type</w:t>
            </w:r>
          </w:p>
        </w:tc>
        <w:tc>
          <w:tcPr>
            <w:tcW w:type="dxa" w:w="1134"/>
            <w:shd w:val="clear" w:color="auto" w:fill="EBF3F8"/>
          </w:tcPr>
          <w:p>
            <w:pPr>
              <w:jc w:val="center"/>
            </w:pPr>
            <w:r>
              <w:rPr>
                <w:sz w:val="20"/>
              </w:rPr>
              <w:t>int</w:t>
            </w:r>
          </w:p>
        </w:tc>
        <w:tc>
          <w:tcPr>
            <w:tcW w:type="dxa" w:w="4252"/>
            <w:shd w:val="clear" w:color="auto" w:fill="EBF3F8"/>
          </w:tcPr>
          <w:p>
            <w:pPr>
              <w:jc w:val="center"/>
            </w:pPr>
            <w:r>
              <w:rPr>
                <w:sz w:val="20"/>
              </w:rPr>
              <w:t>Type de feu (variable cible)</w:t>
            </w:r>
          </w:p>
        </w:tc>
        <w:tc>
          <w:tcPr>
            <w:tcW w:type="dxa" w:w="1701"/>
            <w:shd w:val="clear" w:color="auto" w:fill="EBF3F8"/>
          </w:tcPr>
          <w:p>
            <w:pPr>
              <w:jc w:val="center"/>
            </w:pPr>
            <w:r>
              <w:rPr>
                <w:sz w:val="20"/>
              </w:rPr>
              <w:t>CIBLE</w:t>
            </w:r>
          </w:p>
        </w:tc>
      </w:tr>
    </w:tbl>
    <w:p/>
    <w:p>
      <w:pPr>
        <w:pStyle w:val="Heading2"/>
      </w:pPr>
      <w:r>
        <w:rPr>
          <w:color w:val="2E7DA8"/>
          <w:sz w:val="26"/>
        </w:rPr>
        <w:t>2.4 Déséquilibre des classes (enjeu majeur)</w:t>
      </w:r>
    </w:p>
    <w:p>
      <w:pPr>
        <w:spacing w:after="80" w:before="0"/>
      </w:pPr>
      <w:r>
        <w:rPr>
          <w:rFonts w:ascii="Calibri" w:hAnsi="Calibri"/>
          <w:b w:val="0"/>
          <w:i w:val="0"/>
          <w:sz w:val="22"/>
        </w:rPr>
        <w:t>La variable cible présente un déséquilibre extrême, constitutif du principal défi de ce projet :</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020"/>
            <w:shd w:val="clear" w:color="auto" w:fill="1A537A"/>
          </w:tcPr>
          <w:p>
            <w:pPr>
              <w:jc w:val="center"/>
            </w:pPr>
            <w:r>
              <w:rPr>
                <w:b/>
                <w:color w:val="FFFFFF"/>
                <w:sz w:val="20"/>
              </w:rPr>
              <w:t>Classe</w:t>
            </w:r>
          </w:p>
        </w:tc>
        <w:tc>
          <w:tcPr>
            <w:tcW w:type="dxa" w:w="3118"/>
            <w:shd w:val="clear" w:color="auto" w:fill="1A537A"/>
          </w:tcPr>
          <w:p>
            <w:pPr>
              <w:jc w:val="center"/>
            </w:pPr>
            <w:r>
              <w:rPr>
                <w:b/>
                <w:color w:val="FFFFFF"/>
                <w:sz w:val="20"/>
              </w:rPr>
              <w:t>Label</w:t>
            </w:r>
          </w:p>
        </w:tc>
        <w:tc>
          <w:tcPr>
            <w:tcW w:type="dxa" w:w="1417"/>
            <w:shd w:val="clear" w:color="auto" w:fill="1A537A"/>
          </w:tcPr>
          <w:p>
            <w:pPr>
              <w:jc w:val="center"/>
            </w:pPr>
            <w:r>
              <w:rPr>
                <w:b/>
                <w:color w:val="FFFFFF"/>
                <w:sz w:val="20"/>
              </w:rPr>
              <w:t>Effectif</w:t>
            </w:r>
          </w:p>
        </w:tc>
        <w:tc>
          <w:tcPr>
            <w:tcW w:type="dxa" w:w="1417"/>
            <w:shd w:val="clear" w:color="auto" w:fill="1A537A"/>
          </w:tcPr>
          <w:p>
            <w:pPr>
              <w:jc w:val="center"/>
            </w:pPr>
            <w:r>
              <w:rPr>
                <w:b/>
                <w:color w:val="FFFFFF"/>
                <w:sz w:val="20"/>
              </w:rPr>
              <w:t>Proportion</w:t>
            </w:r>
          </w:p>
        </w:tc>
        <w:tc>
          <w:tcPr>
            <w:tcW w:type="dxa" w:w="1984"/>
            <w:shd w:val="clear" w:color="auto" w:fill="1A537A"/>
          </w:tcPr>
          <w:p>
            <w:pPr>
              <w:jc w:val="center"/>
            </w:pPr>
            <w:r>
              <w:rPr>
                <w:b/>
                <w:color w:val="FFFFFF"/>
                <w:sz w:val="20"/>
              </w:rPr>
              <w:t>Ratio vs Classe 3</w:t>
            </w:r>
          </w:p>
        </w:tc>
      </w:tr>
      <w:tr>
        <w:tc>
          <w:tcPr>
            <w:tcW w:type="dxa" w:w="1020"/>
            <w:shd w:val="clear" w:color="auto" w:fill="EBF3F8"/>
          </w:tcPr>
          <w:p>
            <w:pPr>
              <w:jc w:val="center"/>
            </w:pPr>
            <w:r>
              <w:rPr>
                <w:sz w:val="20"/>
              </w:rPr>
              <w:t>0</w:t>
            </w:r>
          </w:p>
        </w:tc>
        <w:tc>
          <w:tcPr>
            <w:tcW w:type="dxa" w:w="3118"/>
            <w:shd w:val="clear" w:color="auto" w:fill="EBF3F8"/>
          </w:tcPr>
          <w:p>
            <w:pPr>
              <w:jc w:val="center"/>
            </w:pPr>
            <w:r>
              <w:rPr>
                <w:sz w:val="20"/>
              </w:rPr>
              <w:t>Végétation (Vegetation fire)</w:t>
            </w:r>
          </w:p>
        </w:tc>
        <w:tc>
          <w:tcPr>
            <w:tcW w:type="dxa" w:w="1417"/>
            <w:shd w:val="clear" w:color="auto" w:fill="EBF3F8"/>
          </w:tcPr>
          <w:p>
            <w:pPr>
              <w:jc w:val="center"/>
            </w:pPr>
            <w:r>
              <w:rPr>
                <w:sz w:val="20"/>
              </w:rPr>
              <w:t>8 208</w:t>
            </w:r>
          </w:p>
        </w:tc>
        <w:tc>
          <w:tcPr>
            <w:tcW w:type="dxa" w:w="1417"/>
            <w:shd w:val="clear" w:color="auto" w:fill="EBF3F8"/>
          </w:tcPr>
          <w:p>
            <w:pPr>
              <w:jc w:val="center"/>
            </w:pPr>
            <w:r>
              <w:rPr>
                <w:sz w:val="20"/>
              </w:rPr>
              <w:t>92.9%</w:t>
            </w:r>
          </w:p>
        </w:tc>
        <w:tc>
          <w:tcPr>
            <w:tcW w:type="dxa" w:w="1984"/>
            <w:shd w:val="clear" w:color="auto" w:fill="EBF3F8"/>
          </w:tcPr>
          <w:p>
            <w:pPr>
              <w:jc w:val="center"/>
            </w:pPr>
            <w:r>
              <w:rPr>
                <w:sz w:val="20"/>
              </w:rPr>
              <w:t>1172 : 1</w:t>
            </w:r>
          </w:p>
        </w:tc>
      </w:tr>
      <w:tr>
        <w:tc>
          <w:tcPr>
            <w:tcW w:type="dxa" w:w="1020"/>
            <w:shd w:val="clear" w:color="auto" w:fill="FFFFFF"/>
          </w:tcPr>
          <w:p>
            <w:pPr>
              <w:jc w:val="center"/>
            </w:pPr>
            <w:r>
              <w:rPr>
                <w:sz w:val="20"/>
              </w:rPr>
              <w:t>2</w:t>
            </w:r>
          </w:p>
        </w:tc>
        <w:tc>
          <w:tcPr>
            <w:tcW w:type="dxa" w:w="3118"/>
            <w:shd w:val="clear" w:color="auto" w:fill="FFFFFF"/>
          </w:tcPr>
          <w:p>
            <w:pPr>
              <w:jc w:val="center"/>
            </w:pPr>
            <w:r>
              <w:rPr>
                <w:sz w:val="20"/>
              </w:rPr>
              <w:t>Volcan (Volcano)</w:t>
            </w:r>
          </w:p>
        </w:tc>
        <w:tc>
          <w:tcPr>
            <w:tcW w:type="dxa" w:w="1417"/>
            <w:shd w:val="clear" w:color="auto" w:fill="FFFFFF"/>
          </w:tcPr>
          <w:p>
            <w:pPr>
              <w:jc w:val="center"/>
            </w:pPr>
            <w:r>
              <w:rPr>
                <w:sz w:val="20"/>
              </w:rPr>
              <w:t>619</w:t>
            </w:r>
          </w:p>
        </w:tc>
        <w:tc>
          <w:tcPr>
            <w:tcW w:type="dxa" w:w="1417"/>
            <w:shd w:val="clear" w:color="auto" w:fill="FFFFFF"/>
          </w:tcPr>
          <w:p>
            <w:pPr>
              <w:jc w:val="center"/>
            </w:pPr>
            <w:r>
              <w:rPr>
                <w:sz w:val="20"/>
              </w:rPr>
              <w:t>7.0%</w:t>
            </w:r>
          </w:p>
        </w:tc>
        <w:tc>
          <w:tcPr>
            <w:tcW w:type="dxa" w:w="1984"/>
            <w:shd w:val="clear" w:color="auto" w:fill="FFFFFF"/>
          </w:tcPr>
          <w:p>
            <w:pPr>
              <w:jc w:val="center"/>
            </w:pPr>
            <w:r>
              <w:rPr>
                <w:sz w:val="20"/>
              </w:rPr>
              <w:t>88 : 1</w:t>
            </w:r>
          </w:p>
        </w:tc>
      </w:tr>
      <w:tr>
        <w:tc>
          <w:tcPr>
            <w:tcW w:type="dxa" w:w="1020"/>
            <w:shd w:val="clear" w:color="auto" w:fill="EBF3F8"/>
          </w:tcPr>
          <w:p>
            <w:pPr>
              <w:jc w:val="center"/>
            </w:pPr>
            <w:r>
              <w:rPr>
                <w:sz w:val="20"/>
              </w:rPr>
              <w:t>3</w:t>
            </w:r>
          </w:p>
        </w:tc>
        <w:tc>
          <w:tcPr>
            <w:tcW w:type="dxa" w:w="3118"/>
            <w:shd w:val="clear" w:color="auto" w:fill="EBF3F8"/>
          </w:tcPr>
          <w:p>
            <w:pPr>
              <w:jc w:val="center"/>
            </w:pPr>
            <w:r>
              <w:rPr>
                <w:sz w:val="20"/>
              </w:rPr>
              <w:t>Autre feu statique</w:t>
            </w:r>
          </w:p>
        </w:tc>
        <w:tc>
          <w:tcPr>
            <w:tcW w:type="dxa" w:w="1417"/>
            <w:shd w:val="clear" w:color="auto" w:fill="EBF3F8"/>
          </w:tcPr>
          <w:p>
            <w:pPr>
              <w:jc w:val="center"/>
            </w:pPr>
            <w:r>
              <w:rPr>
                <w:sz w:val="20"/>
              </w:rPr>
              <w:t>7</w:t>
            </w:r>
          </w:p>
        </w:tc>
        <w:tc>
          <w:tcPr>
            <w:tcW w:type="dxa" w:w="1417"/>
            <w:shd w:val="clear" w:color="auto" w:fill="EBF3F8"/>
          </w:tcPr>
          <w:p>
            <w:pPr>
              <w:jc w:val="center"/>
            </w:pPr>
            <w:r>
              <w:rPr>
                <w:sz w:val="20"/>
              </w:rPr>
              <w:t>0.08%</w:t>
            </w:r>
          </w:p>
        </w:tc>
        <w:tc>
          <w:tcPr>
            <w:tcW w:type="dxa" w:w="1984"/>
            <w:shd w:val="clear" w:color="auto" w:fill="EBF3F8"/>
          </w:tcPr>
          <w:p>
            <w:pPr>
              <w:jc w:val="center"/>
            </w:pPr>
            <w:r>
              <w:rPr>
                <w:sz w:val="20"/>
              </w:rPr>
              <w:t>1 : 1</w:t>
            </w:r>
          </w:p>
        </w:tc>
      </w:tr>
    </w:tbl>
    <w:p/>
    <w:p>
      <w:pPr>
        <w:spacing w:after="80" w:before="0"/>
      </w:pPr>
      <w:r>
        <w:rPr>
          <w:rFonts w:ascii="Calibri" w:hAnsi="Calibri"/>
          <w:b w:val="0"/>
          <w:i/>
          <w:sz w:val="22"/>
        </w:rPr>
        <w:t>Un modèle naïf prédisant systématiquement la classe 0 atteindrait 92.9% d'accuracy sans apprendre quoi que ce soit. C'est pourquoi le F1-score pondéré est retenu comme métrique principale, et deux stratégies de rééquilibrage sont comparées.</w:t>
      </w:r>
    </w:p>
    <w:p>
      <w:pPr>
        <w:pStyle w:val="Heading2"/>
      </w:pPr>
      <w:r>
        <w:rPr>
          <w:color w:val="2E7DA8"/>
          <w:sz w:val="26"/>
        </w:rPr>
        <w:t>2.5 Statistiques descriptives clés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2551"/>
            <w:shd w:val="clear" w:color="auto" w:fill="1A537A"/>
          </w:tcPr>
          <w:p>
            <w:pPr>
              <w:jc w:val="center"/>
            </w:pPr>
            <w:r>
              <w:rPr>
                <w:b/>
                <w:color w:val="FFFFFF"/>
                <w:sz w:val="20"/>
              </w:rPr>
              <w:t>Feature</w:t>
            </w:r>
          </w:p>
        </w:tc>
        <w:tc>
          <w:tcPr>
            <w:tcW w:type="dxa" w:w="1417"/>
            <w:shd w:val="clear" w:color="auto" w:fill="1A537A"/>
          </w:tcPr>
          <w:p>
            <w:pPr>
              <w:jc w:val="center"/>
            </w:pPr>
            <w:r>
              <w:rPr>
                <w:b/>
                <w:color w:val="FFFFFF"/>
                <w:sz w:val="20"/>
              </w:rPr>
              <w:t>Min</w:t>
            </w:r>
          </w:p>
        </w:tc>
        <w:tc>
          <w:tcPr>
            <w:tcW w:type="dxa" w:w="1417"/>
            <w:shd w:val="clear" w:color="auto" w:fill="1A537A"/>
          </w:tcPr>
          <w:p>
            <w:pPr>
              <w:jc w:val="center"/>
            </w:pPr>
            <w:r>
              <w:rPr>
                <w:b/>
                <w:color w:val="FFFFFF"/>
                <w:sz w:val="20"/>
              </w:rPr>
              <w:t>Max</w:t>
            </w:r>
          </w:p>
        </w:tc>
        <w:tc>
          <w:tcPr>
            <w:tcW w:type="dxa" w:w="1417"/>
            <w:shd w:val="clear" w:color="auto" w:fill="1A537A"/>
          </w:tcPr>
          <w:p>
            <w:pPr>
              <w:jc w:val="center"/>
            </w:pPr>
            <w:r>
              <w:rPr>
                <w:b/>
                <w:color w:val="FFFFFF"/>
                <w:sz w:val="20"/>
              </w:rPr>
              <w:t>Moyenne</w:t>
            </w:r>
          </w:p>
        </w:tc>
        <w:tc>
          <w:tcPr>
            <w:tcW w:type="dxa" w:w="1417"/>
            <w:shd w:val="clear" w:color="auto" w:fill="1A537A"/>
          </w:tcPr>
          <w:p>
            <w:pPr>
              <w:jc w:val="center"/>
            </w:pPr>
            <w:r>
              <w:rPr>
                <w:b/>
                <w:color w:val="FFFFFF"/>
                <w:sz w:val="20"/>
              </w:rPr>
              <w:t>Écart-type</w:t>
            </w:r>
          </w:p>
        </w:tc>
      </w:tr>
      <w:tr>
        <w:tc>
          <w:tcPr>
            <w:tcW w:type="dxa" w:w="2551"/>
            <w:shd w:val="clear" w:color="auto" w:fill="EBF3F8"/>
          </w:tcPr>
          <w:p>
            <w:pPr>
              <w:jc w:val="center"/>
            </w:pPr>
            <w:r>
              <w:rPr>
                <w:sz w:val="20"/>
              </w:rPr>
              <w:t>brightness (K)</w:t>
            </w:r>
          </w:p>
        </w:tc>
        <w:tc>
          <w:tcPr>
            <w:tcW w:type="dxa" w:w="1417"/>
            <w:shd w:val="clear" w:color="auto" w:fill="EBF3F8"/>
          </w:tcPr>
          <w:p>
            <w:pPr>
              <w:jc w:val="center"/>
            </w:pPr>
            <w:r>
              <w:rPr>
                <w:sz w:val="20"/>
              </w:rPr>
              <w:t>300.0</w:t>
            </w:r>
          </w:p>
        </w:tc>
        <w:tc>
          <w:tcPr>
            <w:tcW w:type="dxa" w:w="1417"/>
            <w:shd w:val="clear" w:color="auto" w:fill="EBF3F8"/>
          </w:tcPr>
          <w:p>
            <w:pPr>
              <w:jc w:val="center"/>
            </w:pPr>
            <w:r>
              <w:rPr>
                <w:sz w:val="20"/>
              </w:rPr>
              <w:t>500.0</w:t>
            </w:r>
          </w:p>
        </w:tc>
        <w:tc>
          <w:tcPr>
            <w:tcW w:type="dxa" w:w="1417"/>
            <w:shd w:val="clear" w:color="auto" w:fill="EBF3F8"/>
          </w:tcPr>
          <w:p>
            <w:pPr>
              <w:jc w:val="center"/>
            </w:pPr>
            <w:r>
              <w:rPr>
                <w:sz w:val="20"/>
              </w:rPr>
              <w:t>320.7</w:t>
            </w:r>
          </w:p>
        </w:tc>
        <w:tc>
          <w:tcPr>
            <w:tcW w:type="dxa" w:w="1417"/>
            <w:shd w:val="clear" w:color="auto" w:fill="EBF3F8"/>
          </w:tcPr>
          <w:p>
            <w:pPr>
              <w:jc w:val="center"/>
            </w:pPr>
            <w:r>
              <w:rPr>
                <w:sz w:val="20"/>
              </w:rPr>
              <w:t>15.4</w:t>
            </w:r>
          </w:p>
        </w:tc>
      </w:tr>
      <w:tr>
        <w:tc>
          <w:tcPr>
            <w:tcW w:type="dxa" w:w="2551"/>
            <w:shd w:val="clear" w:color="auto" w:fill="FFFFFF"/>
          </w:tcPr>
          <w:p>
            <w:pPr>
              <w:jc w:val="center"/>
            </w:pPr>
            <w:r>
              <w:rPr>
                <w:sz w:val="20"/>
              </w:rPr>
              <w:t>frp (MW/sr/m²)</w:t>
            </w:r>
          </w:p>
        </w:tc>
        <w:tc>
          <w:tcPr>
            <w:tcW w:type="dxa" w:w="1417"/>
            <w:shd w:val="clear" w:color="auto" w:fill="FFFFFF"/>
          </w:tcPr>
          <w:p>
            <w:pPr>
              <w:jc w:val="center"/>
            </w:pPr>
            <w:r>
              <w:rPr>
                <w:sz w:val="20"/>
              </w:rPr>
              <w:t>2.4</w:t>
            </w:r>
          </w:p>
        </w:tc>
        <w:tc>
          <w:tcPr>
            <w:tcW w:type="dxa" w:w="1417"/>
            <w:shd w:val="clear" w:color="auto" w:fill="FFFFFF"/>
          </w:tcPr>
          <w:p>
            <w:pPr>
              <w:jc w:val="center"/>
            </w:pPr>
            <w:r>
              <w:rPr>
                <w:sz w:val="20"/>
              </w:rPr>
              <w:t>2787.6</w:t>
            </w:r>
          </w:p>
        </w:tc>
        <w:tc>
          <w:tcPr>
            <w:tcW w:type="dxa" w:w="1417"/>
            <w:shd w:val="clear" w:color="auto" w:fill="FFFFFF"/>
          </w:tcPr>
          <w:p>
            <w:pPr>
              <w:jc w:val="center"/>
            </w:pPr>
            <w:r>
              <w:rPr>
                <w:sz w:val="20"/>
              </w:rPr>
              <w:t>27.0</w:t>
            </w:r>
          </w:p>
        </w:tc>
        <w:tc>
          <w:tcPr>
            <w:tcW w:type="dxa" w:w="1417"/>
            <w:shd w:val="clear" w:color="auto" w:fill="FFFFFF"/>
          </w:tcPr>
          <w:p>
            <w:pPr>
              <w:jc w:val="center"/>
            </w:pPr>
            <w:r>
              <w:rPr>
                <w:sz w:val="20"/>
              </w:rPr>
              <w:t>66.2</w:t>
            </w:r>
          </w:p>
        </w:tc>
      </w:tr>
      <w:tr>
        <w:tc>
          <w:tcPr>
            <w:tcW w:type="dxa" w:w="2551"/>
            <w:shd w:val="clear" w:color="auto" w:fill="EBF3F8"/>
          </w:tcPr>
          <w:p>
            <w:pPr>
              <w:jc w:val="center"/>
            </w:pPr>
            <w:r>
              <w:rPr>
                <w:sz w:val="20"/>
              </w:rPr>
              <w:t>confidence (%)</w:t>
            </w:r>
          </w:p>
        </w:tc>
        <w:tc>
          <w:tcPr>
            <w:tcW w:type="dxa" w:w="1417"/>
            <w:shd w:val="clear" w:color="auto" w:fill="EBF3F8"/>
          </w:tcPr>
          <w:p>
            <w:pPr>
              <w:jc w:val="center"/>
            </w:pPr>
            <w:r>
              <w:rPr>
                <w:sz w:val="20"/>
              </w:rPr>
              <w:t>0</w:t>
            </w:r>
          </w:p>
        </w:tc>
        <w:tc>
          <w:tcPr>
            <w:tcW w:type="dxa" w:w="1417"/>
            <w:shd w:val="clear" w:color="auto" w:fill="EBF3F8"/>
          </w:tcPr>
          <w:p>
            <w:pPr>
              <w:jc w:val="center"/>
            </w:pPr>
            <w:r>
              <w:rPr>
                <w:sz w:val="20"/>
              </w:rPr>
              <w:t>100</w:t>
            </w:r>
          </w:p>
        </w:tc>
        <w:tc>
          <w:tcPr>
            <w:tcW w:type="dxa" w:w="1417"/>
            <w:shd w:val="clear" w:color="auto" w:fill="EBF3F8"/>
          </w:tcPr>
          <w:p>
            <w:pPr>
              <w:jc w:val="center"/>
            </w:pPr>
            <w:r>
              <w:rPr>
                <w:sz w:val="20"/>
              </w:rPr>
              <w:t>64.8</w:t>
            </w:r>
          </w:p>
        </w:tc>
        <w:tc>
          <w:tcPr>
            <w:tcW w:type="dxa" w:w="1417"/>
            <w:shd w:val="clear" w:color="auto" w:fill="EBF3F8"/>
          </w:tcPr>
          <w:p>
            <w:pPr>
              <w:jc w:val="center"/>
            </w:pPr>
            <w:r>
              <w:rPr>
                <w:sz w:val="20"/>
              </w:rPr>
              <w:t>19.7</w:t>
            </w:r>
          </w:p>
        </w:tc>
      </w:tr>
      <w:tr>
        <w:tc>
          <w:tcPr>
            <w:tcW w:type="dxa" w:w="2551"/>
            <w:shd w:val="clear" w:color="auto" w:fill="FFFFFF"/>
          </w:tcPr>
          <w:p>
            <w:pPr>
              <w:jc w:val="center"/>
            </w:pPr>
            <w:r>
              <w:rPr>
                <w:sz w:val="20"/>
              </w:rPr>
              <w:t>scan (km)</w:t>
            </w:r>
          </w:p>
        </w:tc>
        <w:tc>
          <w:tcPr>
            <w:tcW w:type="dxa" w:w="1417"/>
            <w:shd w:val="clear" w:color="auto" w:fill="FFFFFF"/>
          </w:tcPr>
          <w:p>
            <w:pPr>
              <w:jc w:val="center"/>
            </w:pPr>
            <w:r>
              <w:rPr>
                <w:sz w:val="20"/>
              </w:rPr>
              <w:t>1.0</w:t>
            </w:r>
          </w:p>
        </w:tc>
        <w:tc>
          <w:tcPr>
            <w:tcW w:type="dxa" w:w="1417"/>
            <w:shd w:val="clear" w:color="auto" w:fill="FFFFFF"/>
          </w:tcPr>
          <w:p>
            <w:pPr>
              <w:jc w:val="center"/>
            </w:pPr>
            <w:r>
              <w:rPr>
                <w:sz w:val="20"/>
              </w:rPr>
              <w:t>4.8</w:t>
            </w:r>
          </w:p>
        </w:tc>
        <w:tc>
          <w:tcPr>
            <w:tcW w:type="dxa" w:w="1417"/>
            <w:shd w:val="clear" w:color="auto" w:fill="FFFFFF"/>
          </w:tcPr>
          <w:p>
            <w:pPr>
              <w:jc w:val="center"/>
            </w:pPr>
            <w:r>
              <w:rPr>
                <w:sz w:val="20"/>
              </w:rPr>
              <w:t>1.48</w:t>
            </w:r>
          </w:p>
        </w:tc>
        <w:tc>
          <w:tcPr>
            <w:tcW w:type="dxa" w:w="1417"/>
            <w:shd w:val="clear" w:color="auto" w:fill="FFFFFF"/>
          </w:tcPr>
          <w:p>
            <w:pPr>
              <w:jc w:val="center"/>
            </w:pPr>
            <w:r>
              <w:rPr>
                <w:sz w:val="20"/>
              </w:rPr>
              <w:t>0.70</w:t>
            </w:r>
          </w:p>
        </w:tc>
      </w:tr>
      <w:tr>
        <w:tc>
          <w:tcPr>
            <w:tcW w:type="dxa" w:w="2551"/>
            <w:shd w:val="clear" w:color="auto" w:fill="EBF3F8"/>
          </w:tcPr>
          <w:p>
            <w:pPr>
              <w:jc w:val="center"/>
            </w:pPr>
            <w:r>
              <w:rPr>
                <w:sz w:val="20"/>
              </w:rPr>
              <w:t>track (km)</w:t>
            </w:r>
          </w:p>
        </w:tc>
        <w:tc>
          <w:tcPr>
            <w:tcW w:type="dxa" w:w="1417"/>
            <w:shd w:val="clear" w:color="auto" w:fill="EBF3F8"/>
          </w:tcPr>
          <w:p>
            <w:pPr>
              <w:jc w:val="center"/>
            </w:pPr>
            <w:r>
              <w:rPr>
                <w:sz w:val="20"/>
              </w:rPr>
              <w:t>1.0</w:t>
            </w:r>
          </w:p>
        </w:tc>
        <w:tc>
          <w:tcPr>
            <w:tcW w:type="dxa" w:w="1417"/>
            <w:shd w:val="clear" w:color="auto" w:fill="EBF3F8"/>
          </w:tcPr>
          <w:p>
            <w:pPr>
              <w:jc w:val="center"/>
            </w:pPr>
            <w:r>
              <w:rPr>
                <w:sz w:val="20"/>
              </w:rPr>
              <w:t>2.0</w:t>
            </w:r>
          </w:p>
        </w:tc>
        <w:tc>
          <w:tcPr>
            <w:tcW w:type="dxa" w:w="1417"/>
            <w:shd w:val="clear" w:color="auto" w:fill="EBF3F8"/>
          </w:tcPr>
          <w:p>
            <w:pPr>
              <w:jc w:val="center"/>
            </w:pPr>
            <w:r>
              <w:rPr>
                <w:sz w:val="20"/>
              </w:rPr>
              <w:t>1.17</w:t>
            </w:r>
          </w:p>
        </w:tc>
        <w:tc>
          <w:tcPr>
            <w:tcW w:type="dxa" w:w="1417"/>
            <w:shd w:val="clear" w:color="auto" w:fill="EBF3F8"/>
          </w:tcPr>
          <w:p>
            <w:pPr>
              <w:jc w:val="center"/>
            </w:pPr>
            <w:r>
              <w:rPr>
                <w:sz w:val="20"/>
              </w:rPr>
              <w:t>0.22</w:t>
            </w:r>
          </w:p>
        </w:tc>
      </w:tr>
      <w:tr>
        <w:tc>
          <w:tcPr>
            <w:tcW w:type="dxa" w:w="2551"/>
            <w:shd w:val="clear" w:color="auto" w:fill="FFFFFF"/>
          </w:tcPr>
          <w:p>
            <w:pPr>
              <w:jc w:val="center"/>
            </w:pPr>
            <w:r>
              <w:rPr>
                <w:sz w:val="20"/>
              </w:rPr>
              <w:t>bright_t31 (K)</w:t>
            </w:r>
          </w:p>
        </w:tc>
        <w:tc>
          <w:tcPr>
            <w:tcW w:type="dxa" w:w="1417"/>
            <w:shd w:val="clear" w:color="auto" w:fill="FFFFFF"/>
          </w:tcPr>
          <w:p>
            <w:pPr>
              <w:jc w:val="center"/>
            </w:pPr>
            <w:r>
              <w:rPr>
                <w:sz w:val="20"/>
              </w:rPr>
              <w:t>268.3</w:t>
            </w:r>
          </w:p>
        </w:tc>
        <w:tc>
          <w:tcPr>
            <w:tcW w:type="dxa" w:w="1417"/>
            <w:shd w:val="clear" w:color="auto" w:fill="FFFFFF"/>
          </w:tcPr>
          <w:p>
            <w:pPr>
              <w:jc w:val="center"/>
            </w:pPr>
            <w:r>
              <w:rPr>
                <w:sz w:val="20"/>
              </w:rPr>
              <w:t>330.9</w:t>
            </w:r>
          </w:p>
        </w:tc>
        <w:tc>
          <w:tcPr>
            <w:tcW w:type="dxa" w:w="1417"/>
            <w:shd w:val="clear" w:color="auto" w:fill="FFFFFF"/>
          </w:tcPr>
          <w:p>
            <w:pPr>
              <w:jc w:val="center"/>
            </w:pPr>
            <w:r>
              <w:rPr>
                <w:sz w:val="20"/>
              </w:rPr>
              <w:t>301.0</w:t>
            </w:r>
          </w:p>
        </w:tc>
        <w:tc>
          <w:tcPr>
            <w:tcW w:type="dxa" w:w="1417"/>
            <w:shd w:val="clear" w:color="auto" w:fill="FFFFFF"/>
          </w:tcPr>
          <w:p>
            <w:pPr>
              <w:jc w:val="center"/>
            </w:pPr>
            <w:r>
              <w:rPr>
                <w:sz w:val="20"/>
              </w:rPr>
              <w:t>10.2</w:t>
            </w:r>
          </w:p>
        </w:tc>
      </w:tr>
    </w:tbl>
    <w:p/>
    <w:p>
      <w:r>
        <w:br w:type="page"/>
      </w:r>
    </w:p>
    <w:p>
      <w:pPr>
        <w:pStyle w:val="Heading1"/>
      </w:pPr>
      <w:r>
        <w:rPr>
          <w:color w:val="1A537A"/>
          <w:sz w:val="32"/>
        </w:rPr>
        <w:t>3. Analyse Exploratoire des Données (EDA)</w:t>
      </w:r>
    </w:p>
    <w:p>
      <w:pPr>
        <w:pStyle w:val="Heading2"/>
      </w:pPr>
      <w:r>
        <w:rPr>
          <w:color w:val="2E7DA8"/>
          <w:sz w:val="26"/>
        </w:rPr>
        <w:t>3.1 Distribution de la variable cible</w:t>
      </w:r>
    </w:p>
    <w:p>
      <w:pPr>
        <w:spacing w:after="80" w:before="0"/>
      </w:pPr>
      <w:r>
        <w:rPr>
          <w:rFonts w:ascii="Calibri" w:hAnsi="Calibri"/>
          <w:b w:val="0"/>
          <w:i w:val="0"/>
          <w:sz w:val="22"/>
        </w:rPr>
        <w:t>La Figure 1 illustre le fort déséquilibre entre les trois classes. La classe 0 (végétation) représente plus de 92% des observations, rendant indispensable un traitement spécifique avant l'entraînement.</w:t>
      </w:r>
    </w:p>
    <w:p>
      <w:pPr>
        <w:jc w:val="center"/>
      </w:pPr>
      <w:r>
        <w:drawing>
          <wp:inline xmlns:a="http://schemas.openxmlformats.org/drawingml/2006/main" xmlns:pic="http://schemas.openxmlformats.org/drawingml/2006/picture">
            <wp:extent cx="5040000" cy="2283895"/>
            <wp:docPr id="1" name="Picture 1"/>
            <wp:cNvGraphicFramePr>
              <a:graphicFrameLocks noChangeAspect="1"/>
            </wp:cNvGraphicFramePr>
            <a:graphic>
              <a:graphicData uri="http://schemas.openxmlformats.org/drawingml/2006/picture">
                <pic:pic>
                  <pic:nvPicPr>
                    <pic:cNvPr id="0" name="01_distribution_cible.png"/>
                    <pic:cNvPicPr/>
                  </pic:nvPicPr>
                  <pic:blipFill>
                    <a:blip r:embed="rId9"/>
                    <a:stretch>
                      <a:fillRect/>
                    </a:stretch>
                  </pic:blipFill>
                  <pic:spPr>
                    <a:xfrm>
                      <a:off x="0" y="0"/>
                      <a:ext cx="5040000" cy="2283895"/>
                    </a:xfrm>
                    <a:prstGeom prst="rect"/>
                  </pic:spPr>
                </pic:pic>
              </a:graphicData>
            </a:graphic>
          </wp:inline>
        </w:drawing>
      </w:r>
    </w:p>
    <w:p>
      <w:pPr>
        <w:spacing w:after="200"/>
        <w:jc w:val="center"/>
      </w:pPr>
      <w:r>
        <w:rPr>
          <w:i/>
          <w:color w:val="555555"/>
          <w:sz w:val="18"/>
        </w:rPr>
        <w:t>Figure 1 — Distribution de la variable cible 'type' (barres et camembert)</w:t>
      </w:r>
    </w:p>
    <w:p>
      <w:pPr>
        <w:pStyle w:val="Heading2"/>
      </w:pPr>
      <w:r>
        <w:rPr>
          <w:color w:val="2E7DA8"/>
          <w:sz w:val="26"/>
        </w:rPr>
        <w:t>3.2 Distributions des features numériques</w:t>
      </w:r>
    </w:p>
    <w:p>
      <w:pPr>
        <w:spacing w:after="80" w:before="0"/>
      </w:pPr>
      <w:r>
        <w:rPr>
          <w:rFonts w:ascii="Calibri" w:hAnsi="Calibri"/>
          <w:b w:val="0"/>
          <w:i w:val="0"/>
          <w:sz w:val="22"/>
        </w:rPr>
        <w:t>Les histogrammes (Figure 2) révèlent des profils très variés : brightness suit une distribution quasi-normale, tandis que frp (Fire Radiative Power) est fortement asymétrique à droite avec quelques valeurs extrêmes dépassant 500 MW, témoignant de feux d'intensité exceptionnelle.</w:t>
      </w:r>
    </w:p>
    <w:p>
      <w:pPr>
        <w:jc w:val="center"/>
      </w:pPr>
      <w:r>
        <w:drawing>
          <wp:inline xmlns:a="http://schemas.openxmlformats.org/drawingml/2006/main" xmlns:pic="http://schemas.openxmlformats.org/drawingml/2006/picture">
            <wp:extent cx="5040000" cy="3989154"/>
            <wp:docPr id="2" name="Picture 2"/>
            <wp:cNvGraphicFramePr>
              <a:graphicFrameLocks noChangeAspect="1"/>
            </wp:cNvGraphicFramePr>
            <a:graphic>
              <a:graphicData uri="http://schemas.openxmlformats.org/drawingml/2006/picture">
                <pic:pic>
                  <pic:nvPicPr>
                    <pic:cNvPr id="0" name="02_distributions_features.png"/>
                    <pic:cNvPicPr/>
                  </pic:nvPicPr>
                  <pic:blipFill>
                    <a:blip r:embed="rId10"/>
                    <a:stretch>
                      <a:fillRect/>
                    </a:stretch>
                  </pic:blipFill>
                  <pic:spPr>
                    <a:xfrm>
                      <a:off x="0" y="0"/>
                      <a:ext cx="5040000" cy="3989154"/>
                    </a:xfrm>
                    <a:prstGeom prst="rect"/>
                  </pic:spPr>
                </pic:pic>
              </a:graphicData>
            </a:graphic>
          </wp:inline>
        </w:drawing>
      </w:r>
    </w:p>
    <w:p>
      <w:pPr>
        <w:spacing w:after="200"/>
        <w:jc w:val="center"/>
      </w:pPr>
      <w:r>
        <w:rPr>
          <w:i/>
          <w:color w:val="555555"/>
          <w:sz w:val="18"/>
        </w:rPr>
        <w:t>Figure 2 — Histogrammes des variables numériques</w:t>
      </w:r>
    </w:p>
    <w:p>
      <w:pPr>
        <w:pStyle w:val="Heading2"/>
      </w:pPr>
      <w:r>
        <w:rPr>
          <w:color w:val="2E7DA8"/>
          <w:sz w:val="26"/>
        </w:rPr>
        <w:t>3.3 Matrice de corrélation</w:t>
      </w:r>
    </w:p>
    <w:p>
      <w:pPr>
        <w:spacing w:after="80" w:before="0"/>
      </w:pPr>
      <w:r>
        <w:rPr>
          <w:rFonts w:ascii="Calibri" w:hAnsi="Calibri"/>
          <w:b w:val="0"/>
          <w:i w:val="0"/>
          <w:sz w:val="22"/>
        </w:rPr>
        <w:t>La heatmap de corrélation de Pearson (Figure 3) met en évidence plusieurs relations importantes :</w:t>
      </w:r>
    </w:p>
    <w:p>
      <w:pPr>
        <w:pStyle w:val="ListBullet"/>
        <w:ind w:left="850"/>
      </w:pPr>
      <w:r>
        <w:rPr>
          <w:sz w:val="22"/>
        </w:rPr>
        <w:t>brightness ↔ bright_t31 : corrélation forte (r &gt; 0.7) — mesures du même phénomène physique sur deux canaux infrarouges différents</w:t>
      </w:r>
    </w:p>
    <w:p>
      <w:pPr>
        <w:pStyle w:val="ListBullet"/>
        <w:ind w:left="850"/>
      </w:pPr>
      <w:r>
        <w:rPr>
          <w:sz w:val="22"/>
        </w:rPr>
        <w:t>scan ↔ track : corrélation forte — ces deux variables encodent la géométrie du satellite (angle d'observation)</w:t>
      </w:r>
    </w:p>
    <w:p>
      <w:pPr>
        <w:pStyle w:val="ListBullet"/>
        <w:ind w:left="850"/>
      </w:pPr>
      <w:r>
        <w:rPr>
          <w:sz w:val="22"/>
        </w:rPr>
        <w:t>frp est la feature la plus corrélée avec type → meilleur prédicteur individuel</w:t>
      </w:r>
    </w:p>
    <w:p>
      <w:pPr>
        <w:jc w:val="center"/>
      </w:pPr>
      <w:r>
        <w:drawing>
          <wp:inline xmlns:a="http://schemas.openxmlformats.org/drawingml/2006/main" xmlns:pic="http://schemas.openxmlformats.org/drawingml/2006/picture">
            <wp:extent cx="5040000" cy="4594794"/>
            <wp:docPr id="3" name="Picture 3"/>
            <wp:cNvGraphicFramePr>
              <a:graphicFrameLocks noChangeAspect="1"/>
            </wp:cNvGraphicFramePr>
            <a:graphic>
              <a:graphicData uri="http://schemas.openxmlformats.org/drawingml/2006/picture">
                <pic:pic>
                  <pic:nvPicPr>
                    <pic:cNvPr id="0" name="03_matrice_correlation.png"/>
                    <pic:cNvPicPr/>
                  </pic:nvPicPr>
                  <pic:blipFill>
                    <a:blip r:embed="rId11"/>
                    <a:stretch>
                      <a:fillRect/>
                    </a:stretch>
                  </pic:blipFill>
                  <pic:spPr>
                    <a:xfrm>
                      <a:off x="0" y="0"/>
                      <a:ext cx="5040000" cy="4594794"/>
                    </a:xfrm>
                    <a:prstGeom prst="rect"/>
                  </pic:spPr>
                </pic:pic>
              </a:graphicData>
            </a:graphic>
          </wp:inline>
        </w:drawing>
      </w:r>
    </w:p>
    <w:p>
      <w:pPr>
        <w:spacing w:after="200"/>
        <w:jc w:val="center"/>
      </w:pPr>
      <w:r>
        <w:rPr>
          <w:i/>
          <w:color w:val="555555"/>
          <w:sz w:val="18"/>
        </w:rPr>
        <w:t>Figure 3 — Matrice de corrélation de Pearson (triangle inférieur)</w:t>
      </w:r>
    </w:p>
    <w:p>
      <w:pPr>
        <w:pStyle w:val="Heading2"/>
      </w:pPr>
      <w:r>
        <w:rPr>
          <w:color w:val="2E7DA8"/>
          <w:sz w:val="26"/>
        </w:rPr>
        <w:t>3.4 Boxplots par classe et analyse temporelle</w:t>
      </w:r>
    </w:p>
    <w:p>
      <w:pPr>
        <w:spacing w:after="80" w:before="0"/>
      </w:pPr>
      <w:r>
        <w:rPr>
          <w:rFonts w:ascii="Calibri" w:hAnsi="Calibri"/>
          <w:b w:val="0"/>
          <w:i w:val="0"/>
          <w:sz w:val="22"/>
        </w:rPr>
        <w:t>Les boxplots (Figure 4) montrent que frp et brightness permettent une séparation partielle entre les classes : les volcans (classe 2) présentent des valeurs de brightness systématiquement plus élevées que les feux de végétation. L'analyse temporelle (Figure 5) confirme la saisonnalité attendue : un pic de détections en juillet-août-septembre 2020, saison sèche en Turquie.</w:t>
      </w:r>
    </w:p>
    <w:p>
      <w:pPr>
        <w:jc w:val="center"/>
      </w:pPr>
      <w:r>
        <w:drawing>
          <wp:inline xmlns:a="http://schemas.openxmlformats.org/drawingml/2006/main" xmlns:pic="http://schemas.openxmlformats.org/drawingml/2006/picture">
            <wp:extent cx="4680000" cy="1162158"/>
            <wp:docPr id="4" name="Picture 4"/>
            <wp:cNvGraphicFramePr>
              <a:graphicFrameLocks noChangeAspect="1"/>
            </wp:cNvGraphicFramePr>
            <a:graphic>
              <a:graphicData uri="http://schemas.openxmlformats.org/drawingml/2006/picture">
                <pic:pic>
                  <pic:nvPicPr>
                    <pic:cNvPr id="0" name="04_boxplots_par_classe.png"/>
                    <pic:cNvPicPr/>
                  </pic:nvPicPr>
                  <pic:blipFill>
                    <a:blip r:embed="rId12"/>
                    <a:stretch>
                      <a:fillRect/>
                    </a:stretch>
                  </pic:blipFill>
                  <pic:spPr>
                    <a:xfrm>
                      <a:off x="0" y="0"/>
                      <a:ext cx="4680000" cy="1162158"/>
                    </a:xfrm>
                    <a:prstGeom prst="rect"/>
                  </pic:spPr>
                </pic:pic>
              </a:graphicData>
            </a:graphic>
          </wp:inline>
        </w:drawing>
      </w:r>
    </w:p>
    <w:p>
      <w:pPr>
        <w:spacing w:after="200"/>
        <w:jc w:val="center"/>
      </w:pPr>
      <w:r>
        <w:rPr>
          <w:i/>
          <w:color w:val="555555"/>
          <w:sz w:val="18"/>
        </w:rPr>
        <w:t>Figure 4 — Boxplots des features principales par classe cible</w:t>
      </w:r>
    </w:p>
    <w:p>
      <w:pPr>
        <w:jc w:val="center"/>
      </w:pPr>
      <w:r>
        <w:drawing>
          <wp:inline xmlns:a="http://schemas.openxmlformats.org/drawingml/2006/main" xmlns:pic="http://schemas.openxmlformats.org/drawingml/2006/picture">
            <wp:extent cx="5040000" cy="2489434"/>
            <wp:docPr id="5" name="Picture 5"/>
            <wp:cNvGraphicFramePr>
              <a:graphicFrameLocks noChangeAspect="1"/>
            </wp:cNvGraphicFramePr>
            <a:graphic>
              <a:graphicData uri="http://schemas.openxmlformats.org/drawingml/2006/picture">
                <pic:pic>
                  <pic:nvPicPr>
                    <pic:cNvPr id="0" name="05_repartition_mensuelle.png"/>
                    <pic:cNvPicPr/>
                  </pic:nvPicPr>
                  <pic:blipFill>
                    <a:blip r:embed="rId13"/>
                    <a:stretch>
                      <a:fillRect/>
                    </a:stretch>
                  </pic:blipFill>
                  <pic:spPr>
                    <a:xfrm>
                      <a:off x="0" y="0"/>
                      <a:ext cx="5040000" cy="2489434"/>
                    </a:xfrm>
                    <a:prstGeom prst="rect"/>
                  </pic:spPr>
                </pic:pic>
              </a:graphicData>
            </a:graphic>
          </wp:inline>
        </w:drawing>
      </w:r>
    </w:p>
    <w:p>
      <w:pPr>
        <w:spacing w:after="200"/>
        <w:jc w:val="center"/>
      </w:pPr>
      <w:r>
        <w:rPr>
          <w:i/>
          <w:color w:val="555555"/>
          <w:sz w:val="18"/>
        </w:rPr>
        <w:t>Figure 5 — Répartition mensuelle des détections (saisonnalité)</w:t>
      </w:r>
    </w:p>
    <w:p>
      <w:pPr>
        <w:pStyle w:val="Heading2"/>
      </w:pPr>
      <w:r>
        <w:rPr>
          <w:color w:val="2E7DA8"/>
          <w:sz w:val="26"/>
        </w:rPr>
        <w:t>3.5 Répartition géographique</w:t>
      </w:r>
    </w:p>
    <w:p>
      <w:pPr>
        <w:spacing w:after="80" w:before="0"/>
      </w:pPr>
      <w:r>
        <w:rPr>
          <w:rFonts w:ascii="Calibri" w:hAnsi="Calibri"/>
          <w:b w:val="0"/>
          <w:i w:val="0"/>
          <w:sz w:val="22"/>
        </w:rPr>
        <w:t>La carte (Figure 6) montre que les feux de végétation sont concentrés sur la côte méditerranéenne et égéenne, tandis que les volcans sont géographiquement localisés dans des zones spécifiques de l'Anatolie orientale. Cette information spatiale est capturée par les features latitude et longitude.</w:t>
      </w:r>
    </w:p>
    <w:p>
      <w:pPr>
        <w:jc w:val="center"/>
      </w:pPr>
      <w:r>
        <w:drawing>
          <wp:inline xmlns:a="http://schemas.openxmlformats.org/drawingml/2006/main" xmlns:pic="http://schemas.openxmlformats.org/drawingml/2006/picture">
            <wp:extent cx="5040000" cy="3508302"/>
            <wp:docPr id="6" name="Picture 6"/>
            <wp:cNvGraphicFramePr>
              <a:graphicFrameLocks noChangeAspect="1"/>
            </wp:cNvGraphicFramePr>
            <a:graphic>
              <a:graphicData uri="http://schemas.openxmlformats.org/drawingml/2006/picture">
                <pic:pic>
                  <pic:nvPicPr>
                    <pic:cNvPr id="0" name="06_carte_geographique.png"/>
                    <pic:cNvPicPr/>
                  </pic:nvPicPr>
                  <pic:blipFill>
                    <a:blip r:embed="rId14"/>
                    <a:stretch>
                      <a:fillRect/>
                    </a:stretch>
                  </pic:blipFill>
                  <pic:spPr>
                    <a:xfrm>
                      <a:off x="0" y="0"/>
                      <a:ext cx="5040000" cy="3508302"/>
                    </a:xfrm>
                    <a:prstGeom prst="rect"/>
                  </pic:spPr>
                </pic:pic>
              </a:graphicData>
            </a:graphic>
          </wp:inline>
        </w:drawing>
      </w:r>
    </w:p>
    <w:p>
      <w:pPr>
        <w:spacing w:after="200"/>
        <w:jc w:val="center"/>
      </w:pPr>
      <w:r>
        <w:rPr>
          <w:i/>
          <w:color w:val="555555"/>
          <w:sz w:val="18"/>
        </w:rPr>
        <w:t>Figure 6 — Répartition géographique des détections par type (Turquie 2020)</w:t>
      </w:r>
    </w:p>
    <w:p>
      <w:r>
        <w:br w:type="page"/>
      </w:r>
    </w:p>
    <w:p>
      <w:pPr>
        <w:pStyle w:val="Heading1"/>
      </w:pPr>
      <w:r>
        <w:rPr>
          <w:color w:val="1A537A"/>
          <w:sz w:val="32"/>
        </w:rPr>
        <w:t>4. Prétraitement des Données</w:t>
      </w:r>
    </w:p>
    <w:p>
      <w:pPr>
        <w:pStyle w:val="Heading2"/>
      </w:pPr>
      <w:r>
        <w:rPr>
          <w:color w:val="2E7DA8"/>
          <w:sz w:val="26"/>
        </w:rPr>
        <w:t>4.1 Suppression des colonnes constantes</w:t>
      </w:r>
    </w:p>
    <w:p>
      <w:pPr>
        <w:spacing w:after="80" w:before="0"/>
      </w:pPr>
      <w:r>
        <w:rPr>
          <w:rFonts w:ascii="Calibri" w:hAnsi="Calibri"/>
          <w:b w:val="0"/>
          <w:i w:val="0"/>
          <w:sz w:val="22"/>
        </w:rPr>
        <w:t>Les colonnes instrument (toujours 'MODIS') et version (toujours 6.03) ont une variance nulle — elles n'apportent aucune information discriminante entre les classes et sont supprimées. Après suppression, le dataset passe à 13 colonnes.</w:t>
      </w:r>
    </w:p>
    <w:p>
      <w:pPr>
        <w:pStyle w:val="Heading2"/>
      </w:pPr>
      <w:r>
        <w:rPr>
          <w:color w:val="2E7DA8"/>
          <w:sz w:val="26"/>
        </w:rPr>
        <w:t>4.2 Encodage des variables catégorielles</w:t>
      </w:r>
    </w:p>
    <w:p>
      <w:pPr>
        <w:spacing w:after="80" w:before="0"/>
      </w:pPr>
      <w:r>
        <w:rPr>
          <w:rFonts w:ascii="Calibri" w:hAnsi="Calibri"/>
          <w:b w:val="0"/>
          <w:i w:val="0"/>
          <w:sz w:val="22"/>
        </w:rPr>
        <w:t>Les variables satellite et daynight sont encodées par Label Encoding binaire, choix justifié par leur nature strictement binaire (2 valeurs)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701"/>
            <w:shd w:val="clear" w:color="auto" w:fill="1A537A"/>
          </w:tcPr>
          <w:p>
            <w:pPr>
              <w:jc w:val="center"/>
            </w:pPr>
            <w:r>
              <w:rPr>
                <w:b/>
                <w:color w:val="FFFFFF"/>
                <w:sz w:val="20"/>
              </w:rPr>
              <w:t>Variable</w:t>
            </w:r>
          </w:p>
        </w:tc>
        <w:tc>
          <w:tcPr>
            <w:tcW w:type="dxa" w:w="2551"/>
            <w:shd w:val="clear" w:color="auto" w:fill="1A537A"/>
          </w:tcPr>
          <w:p>
            <w:pPr>
              <w:jc w:val="center"/>
            </w:pPr>
            <w:r>
              <w:rPr>
                <w:b/>
                <w:color w:val="FFFFFF"/>
                <w:sz w:val="20"/>
              </w:rPr>
              <w:t>Valeurs originales</w:t>
            </w:r>
          </w:p>
        </w:tc>
        <w:tc>
          <w:tcPr>
            <w:tcW w:type="dxa" w:w="1417"/>
            <w:shd w:val="clear" w:color="auto" w:fill="1A537A"/>
          </w:tcPr>
          <w:p>
            <w:pPr>
              <w:jc w:val="center"/>
            </w:pPr>
            <w:r>
              <w:rPr>
                <w:b/>
                <w:color w:val="FFFFFF"/>
                <w:sz w:val="20"/>
              </w:rPr>
              <w:t>Encodage</w:t>
            </w:r>
          </w:p>
        </w:tc>
        <w:tc>
          <w:tcPr>
            <w:tcW w:type="dxa" w:w="3118"/>
            <w:shd w:val="clear" w:color="auto" w:fill="1A537A"/>
          </w:tcPr>
          <w:p>
            <w:pPr>
              <w:jc w:val="center"/>
            </w:pPr>
            <w:r>
              <w:rPr>
                <w:b/>
                <w:color w:val="FFFFFF"/>
                <w:sz w:val="20"/>
              </w:rPr>
              <w:t>Justification</w:t>
            </w:r>
          </w:p>
        </w:tc>
      </w:tr>
      <w:tr>
        <w:tc>
          <w:tcPr>
            <w:tcW w:type="dxa" w:w="1701"/>
            <w:shd w:val="clear" w:color="auto" w:fill="EBF3F8"/>
          </w:tcPr>
          <w:p>
            <w:pPr>
              <w:jc w:val="center"/>
            </w:pPr>
            <w:r>
              <w:rPr>
                <w:sz w:val="20"/>
              </w:rPr>
              <w:t>satellite</w:t>
            </w:r>
          </w:p>
        </w:tc>
        <w:tc>
          <w:tcPr>
            <w:tcW w:type="dxa" w:w="2551"/>
            <w:shd w:val="clear" w:color="auto" w:fill="EBF3F8"/>
          </w:tcPr>
          <w:p>
            <w:pPr>
              <w:jc w:val="center"/>
            </w:pPr>
            <w:r>
              <w:rPr>
                <w:sz w:val="20"/>
              </w:rPr>
              <w:t>'A' (Terra) / 'B' (Aqua)</w:t>
            </w:r>
          </w:p>
        </w:tc>
        <w:tc>
          <w:tcPr>
            <w:tcW w:type="dxa" w:w="1417"/>
            <w:shd w:val="clear" w:color="auto" w:fill="EBF3F8"/>
          </w:tcPr>
          <w:p>
            <w:pPr>
              <w:jc w:val="center"/>
            </w:pPr>
            <w:r>
              <w:rPr>
                <w:sz w:val="20"/>
              </w:rPr>
              <w:t>0 / 1</w:t>
            </w:r>
          </w:p>
        </w:tc>
        <w:tc>
          <w:tcPr>
            <w:tcW w:type="dxa" w:w="3118"/>
            <w:shd w:val="clear" w:color="auto" w:fill="EBF3F8"/>
          </w:tcPr>
          <w:p>
            <w:pPr>
              <w:jc w:val="center"/>
            </w:pPr>
            <w:r>
              <w:rPr>
                <w:sz w:val="20"/>
              </w:rPr>
              <w:t>Binaire — pas de biais ordinal</w:t>
            </w:r>
          </w:p>
        </w:tc>
      </w:tr>
      <w:tr>
        <w:tc>
          <w:tcPr>
            <w:tcW w:type="dxa" w:w="1701"/>
            <w:shd w:val="clear" w:color="auto" w:fill="FFFFFF"/>
          </w:tcPr>
          <w:p>
            <w:pPr>
              <w:jc w:val="center"/>
            </w:pPr>
            <w:r>
              <w:rPr>
                <w:sz w:val="20"/>
              </w:rPr>
              <w:t>daynight</w:t>
            </w:r>
          </w:p>
        </w:tc>
        <w:tc>
          <w:tcPr>
            <w:tcW w:type="dxa" w:w="2551"/>
            <w:shd w:val="clear" w:color="auto" w:fill="FFFFFF"/>
          </w:tcPr>
          <w:p>
            <w:pPr>
              <w:jc w:val="center"/>
            </w:pPr>
            <w:r>
              <w:rPr>
                <w:sz w:val="20"/>
              </w:rPr>
              <w:t>'D' (jour) / 'N' (nuit)</w:t>
            </w:r>
          </w:p>
        </w:tc>
        <w:tc>
          <w:tcPr>
            <w:tcW w:type="dxa" w:w="1417"/>
            <w:shd w:val="clear" w:color="auto" w:fill="FFFFFF"/>
          </w:tcPr>
          <w:p>
            <w:pPr>
              <w:jc w:val="center"/>
            </w:pPr>
            <w:r>
              <w:rPr>
                <w:sz w:val="20"/>
              </w:rPr>
              <w:t>0 / 1</w:t>
            </w:r>
          </w:p>
        </w:tc>
        <w:tc>
          <w:tcPr>
            <w:tcW w:type="dxa" w:w="3118"/>
            <w:shd w:val="clear" w:color="auto" w:fill="FFFFFF"/>
          </w:tcPr>
          <w:p>
            <w:pPr>
              <w:jc w:val="center"/>
            </w:pPr>
            <w:r>
              <w:rPr>
                <w:sz w:val="20"/>
              </w:rPr>
              <w:t>Binaire — relation naturelle</w:t>
            </w:r>
          </w:p>
        </w:tc>
      </w:tr>
    </w:tbl>
    <w:p/>
    <w:p>
      <w:pPr>
        <w:pStyle w:val="Heading2"/>
      </w:pPr>
      <w:r>
        <w:rPr>
          <w:color w:val="2E7DA8"/>
          <w:sz w:val="26"/>
        </w:rPr>
        <w:t>4.3 Feature Engineering temporel</w:t>
      </w:r>
    </w:p>
    <w:p>
      <w:pPr>
        <w:spacing w:after="80" w:before="0"/>
      </w:pPr>
      <w:r>
        <w:rPr>
          <w:rFonts w:ascii="Calibri" w:hAnsi="Calibri"/>
          <w:b w:val="0"/>
          <w:i w:val="0"/>
          <w:sz w:val="22"/>
        </w:rPr>
        <w:t>La colonne acq_date (format YYYY-MM-DD) est transformée en mois (1–12) pour capturer la saisonnalité. La colonne acq_time (format HHMM) est convertie en heure locale (0–23) par division entière par 100. Les colonnes originales sont ensuite supprimées. Ces deux nouvelles features portent une information temporelle directement exploitable par le modèle.</w:t>
      </w:r>
    </w:p>
    <w:p>
      <w:pPr>
        <w:pStyle w:val="Heading2"/>
      </w:pPr>
      <w:r>
        <w:rPr>
          <w:color w:val="2E7DA8"/>
          <w:sz w:val="26"/>
        </w:rPr>
        <w:t>4.4 Split stratifié train/test (80/20)</w:t>
      </w:r>
    </w:p>
    <w:p>
      <w:pPr>
        <w:spacing w:after="80" w:before="0"/>
      </w:pPr>
      <w:r>
        <w:rPr>
          <w:rFonts w:ascii="Calibri" w:hAnsi="Calibri"/>
          <w:b w:val="0"/>
          <w:i w:val="0"/>
          <w:sz w:val="22"/>
        </w:rPr>
        <w:t>Le split stratifié garantit que les proportions de chaque classe sont préservées dans les ensembles d'entraînement et de test, condition indispensable avec des données aussi déséquilibrées :</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984"/>
            <w:shd w:val="clear" w:color="auto" w:fill="1A537A"/>
          </w:tcPr>
          <w:p>
            <w:pPr>
              <w:jc w:val="center"/>
            </w:pPr>
            <w:r>
              <w:rPr>
                <w:b/>
                <w:color w:val="FFFFFF"/>
                <w:sz w:val="20"/>
              </w:rPr>
              <w:t>Ensemble</w:t>
            </w:r>
          </w:p>
        </w:tc>
        <w:tc>
          <w:tcPr>
            <w:tcW w:type="dxa" w:w="1984"/>
            <w:shd w:val="clear" w:color="auto" w:fill="1A537A"/>
          </w:tcPr>
          <w:p>
            <w:pPr>
              <w:jc w:val="center"/>
            </w:pPr>
            <w:r>
              <w:rPr>
                <w:b/>
                <w:color w:val="FFFFFF"/>
                <w:sz w:val="20"/>
              </w:rPr>
              <w:t>Taille totale</w:t>
            </w:r>
          </w:p>
        </w:tc>
        <w:tc>
          <w:tcPr>
            <w:tcW w:type="dxa" w:w="1701"/>
            <w:shd w:val="clear" w:color="auto" w:fill="1A537A"/>
          </w:tcPr>
          <w:p>
            <w:pPr>
              <w:jc w:val="center"/>
            </w:pPr>
            <w:r>
              <w:rPr>
                <w:b/>
                <w:color w:val="FFFFFF"/>
                <w:sz w:val="20"/>
              </w:rPr>
              <w:t>Classe 0</w:t>
            </w:r>
          </w:p>
        </w:tc>
        <w:tc>
          <w:tcPr>
            <w:tcW w:type="dxa" w:w="1701"/>
            <w:shd w:val="clear" w:color="auto" w:fill="1A537A"/>
          </w:tcPr>
          <w:p>
            <w:pPr>
              <w:jc w:val="center"/>
            </w:pPr>
            <w:r>
              <w:rPr>
                <w:b/>
                <w:color w:val="FFFFFF"/>
                <w:sz w:val="20"/>
              </w:rPr>
              <w:t>Classe 2</w:t>
            </w:r>
          </w:p>
        </w:tc>
        <w:tc>
          <w:tcPr>
            <w:tcW w:type="dxa" w:w="1701"/>
            <w:shd w:val="clear" w:color="auto" w:fill="1A537A"/>
          </w:tcPr>
          <w:p>
            <w:pPr>
              <w:jc w:val="center"/>
            </w:pPr>
            <w:r>
              <w:rPr>
                <w:b/>
                <w:color w:val="FFFFFF"/>
                <w:sz w:val="20"/>
              </w:rPr>
              <w:t>Classe 3</w:t>
            </w:r>
          </w:p>
        </w:tc>
      </w:tr>
      <w:tr>
        <w:tc>
          <w:tcPr>
            <w:tcW w:type="dxa" w:w="1984"/>
            <w:shd w:val="clear" w:color="auto" w:fill="EBF3F8"/>
          </w:tcPr>
          <w:p>
            <w:pPr>
              <w:jc w:val="center"/>
            </w:pPr>
            <w:r>
              <w:rPr>
                <w:sz w:val="20"/>
              </w:rPr>
              <w:t>Train (80%)</w:t>
            </w:r>
          </w:p>
        </w:tc>
        <w:tc>
          <w:tcPr>
            <w:tcW w:type="dxa" w:w="1984"/>
            <w:shd w:val="clear" w:color="auto" w:fill="EBF3F8"/>
          </w:tcPr>
          <w:p>
            <w:pPr>
              <w:jc w:val="center"/>
            </w:pPr>
            <w:r>
              <w:rPr>
                <w:sz w:val="20"/>
              </w:rPr>
              <w:t>7 067</w:t>
            </w:r>
          </w:p>
        </w:tc>
        <w:tc>
          <w:tcPr>
            <w:tcW w:type="dxa" w:w="1701"/>
            <w:shd w:val="clear" w:color="auto" w:fill="EBF3F8"/>
          </w:tcPr>
          <w:p>
            <w:pPr>
              <w:jc w:val="center"/>
            </w:pPr>
            <w:r>
              <w:rPr>
                <w:sz w:val="20"/>
              </w:rPr>
              <w:t>6 566</w:t>
            </w:r>
          </w:p>
        </w:tc>
        <w:tc>
          <w:tcPr>
            <w:tcW w:type="dxa" w:w="1701"/>
            <w:shd w:val="clear" w:color="auto" w:fill="EBF3F8"/>
          </w:tcPr>
          <w:p>
            <w:pPr>
              <w:jc w:val="center"/>
            </w:pPr>
            <w:r>
              <w:rPr>
                <w:sz w:val="20"/>
              </w:rPr>
              <w:t>495</w:t>
            </w:r>
          </w:p>
        </w:tc>
        <w:tc>
          <w:tcPr>
            <w:tcW w:type="dxa" w:w="1701"/>
            <w:shd w:val="clear" w:color="auto" w:fill="EBF3F8"/>
          </w:tcPr>
          <w:p>
            <w:pPr>
              <w:jc w:val="center"/>
            </w:pPr>
            <w:r>
              <w:rPr>
                <w:sz w:val="20"/>
              </w:rPr>
              <w:t>6</w:t>
            </w:r>
          </w:p>
        </w:tc>
      </w:tr>
      <w:tr>
        <w:tc>
          <w:tcPr>
            <w:tcW w:type="dxa" w:w="1984"/>
            <w:shd w:val="clear" w:color="auto" w:fill="FFFFFF"/>
          </w:tcPr>
          <w:p>
            <w:pPr>
              <w:jc w:val="center"/>
            </w:pPr>
            <w:r>
              <w:rPr>
                <w:sz w:val="20"/>
              </w:rPr>
              <w:t>Test (20%)</w:t>
            </w:r>
          </w:p>
        </w:tc>
        <w:tc>
          <w:tcPr>
            <w:tcW w:type="dxa" w:w="1984"/>
            <w:shd w:val="clear" w:color="auto" w:fill="FFFFFF"/>
          </w:tcPr>
          <w:p>
            <w:pPr>
              <w:jc w:val="center"/>
            </w:pPr>
            <w:r>
              <w:rPr>
                <w:sz w:val="20"/>
              </w:rPr>
              <w:t>1 767</w:t>
            </w:r>
          </w:p>
        </w:tc>
        <w:tc>
          <w:tcPr>
            <w:tcW w:type="dxa" w:w="1701"/>
            <w:shd w:val="clear" w:color="auto" w:fill="FFFFFF"/>
          </w:tcPr>
          <w:p>
            <w:pPr>
              <w:jc w:val="center"/>
            </w:pPr>
            <w:r>
              <w:rPr>
                <w:sz w:val="20"/>
              </w:rPr>
              <w:t>1 642</w:t>
            </w:r>
          </w:p>
        </w:tc>
        <w:tc>
          <w:tcPr>
            <w:tcW w:type="dxa" w:w="1701"/>
            <w:shd w:val="clear" w:color="auto" w:fill="FFFFFF"/>
          </w:tcPr>
          <w:p>
            <w:pPr>
              <w:jc w:val="center"/>
            </w:pPr>
            <w:r>
              <w:rPr>
                <w:sz w:val="20"/>
              </w:rPr>
              <w:t>124</w:t>
            </w:r>
          </w:p>
        </w:tc>
        <w:tc>
          <w:tcPr>
            <w:tcW w:type="dxa" w:w="1701"/>
            <w:shd w:val="clear" w:color="auto" w:fill="FFFFFF"/>
          </w:tcPr>
          <w:p>
            <w:pPr>
              <w:jc w:val="center"/>
            </w:pPr>
            <w:r>
              <w:rPr>
                <w:sz w:val="20"/>
              </w:rPr>
              <w:t>1</w:t>
            </w:r>
          </w:p>
        </w:tc>
      </w:tr>
    </w:tbl>
    <w:p/>
    <w:p>
      <w:pPr>
        <w:pStyle w:val="Heading2"/>
      </w:pPr>
      <w:r>
        <w:rPr>
          <w:color w:val="2E7DA8"/>
          <w:sz w:val="26"/>
        </w:rPr>
        <w:t>4.5 Gestion du déséquilibre</w:t>
      </w:r>
    </w:p>
    <w:p>
      <w:pPr>
        <w:pStyle w:val="Heading3"/>
      </w:pPr>
      <w:r>
        <w:rPr>
          <w:color w:val="376E8A"/>
          <w:sz w:val="22"/>
        </w:rPr>
        <w:t>4.5.1 Approche 1 — class_weight (AlexNet-1D)</w:t>
      </w:r>
    </w:p>
    <w:p>
      <w:pPr>
        <w:spacing w:after="80" w:before="0"/>
      </w:pPr>
      <w:r>
        <w:rPr>
          <w:rFonts w:ascii="Calibri" w:hAnsi="Calibri"/>
          <w:b w:val="0"/>
          <w:i w:val="0"/>
          <w:sz w:val="22"/>
        </w:rPr>
        <w:t>La fonction compute_class_weight de scikit-learn calcule des poids inversement proportionnels à la fréquence de chaque classe. Ces poids sont passés à model.fit(class_weight=...) et multiplient la contribution de chaque exemple à la fonction de perte lors de l'entraînement.</w:t>
      </w:r>
    </w:p>
    <w:p>
      <w:pPr>
        <w:spacing w:after="80" w:before="0"/>
        <w:ind w:left="567"/>
      </w:pPr>
      <w:r>
        <w:rPr>
          <w:rFonts w:ascii="Calibri" w:hAnsi="Calibri"/>
          <w:b w:val="0"/>
          <w:i w:val="0"/>
          <w:sz w:val="22"/>
        </w:rPr>
        <w:t>Formule : w_i = N_total / (N_classes × N_i)</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1A537A"/>
          </w:tcPr>
          <w:p>
            <w:pPr>
              <w:jc w:val="center"/>
            </w:pPr>
            <w:r>
              <w:rPr>
                <w:b/>
                <w:color w:val="FFFFFF"/>
                <w:sz w:val="20"/>
              </w:rPr>
              <w:t>Classe</w:t>
            </w:r>
          </w:p>
        </w:tc>
        <w:tc>
          <w:tcPr>
            <w:tcW w:type="dxa" w:w="1984"/>
            <w:shd w:val="clear" w:color="auto" w:fill="1A537A"/>
          </w:tcPr>
          <w:p>
            <w:pPr>
              <w:jc w:val="center"/>
            </w:pPr>
            <w:r>
              <w:rPr>
                <w:b/>
                <w:color w:val="FFFFFF"/>
                <w:sz w:val="20"/>
              </w:rPr>
              <w:t>Poids calculé</w:t>
            </w:r>
          </w:p>
        </w:tc>
        <w:tc>
          <w:tcPr>
            <w:tcW w:type="dxa" w:w="4535"/>
            <w:shd w:val="clear" w:color="auto" w:fill="1A537A"/>
          </w:tcPr>
          <w:p>
            <w:pPr>
              <w:jc w:val="center"/>
            </w:pPr>
            <w:r>
              <w:rPr>
                <w:b/>
                <w:color w:val="FFFFFF"/>
                <w:sz w:val="20"/>
              </w:rPr>
              <w:t>Interprétation</w:t>
            </w:r>
          </w:p>
        </w:tc>
      </w:tr>
      <w:tr>
        <w:tc>
          <w:tcPr>
            <w:tcW w:type="dxa" w:w="2268"/>
            <w:shd w:val="clear" w:color="auto" w:fill="EBF3F8"/>
          </w:tcPr>
          <w:p>
            <w:pPr>
              <w:jc w:val="center"/>
            </w:pPr>
            <w:r>
              <w:rPr>
                <w:sz w:val="20"/>
              </w:rPr>
              <w:t>0 — Végétation</w:t>
            </w:r>
          </w:p>
        </w:tc>
        <w:tc>
          <w:tcPr>
            <w:tcW w:type="dxa" w:w="1984"/>
            <w:shd w:val="clear" w:color="auto" w:fill="EBF3F8"/>
          </w:tcPr>
          <w:p>
            <w:pPr>
              <w:jc w:val="center"/>
            </w:pPr>
            <w:r>
              <w:rPr>
                <w:sz w:val="20"/>
              </w:rPr>
              <w:t>0.359</w:t>
            </w:r>
          </w:p>
        </w:tc>
        <w:tc>
          <w:tcPr>
            <w:tcW w:type="dxa" w:w="4535"/>
            <w:shd w:val="clear" w:color="auto" w:fill="EBF3F8"/>
          </w:tcPr>
          <w:p>
            <w:pPr>
              <w:jc w:val="center"/>
            </w:pPr>
            <w:r>
              <w:rPr>
                <w:sz w:val="20"/>
              </w:rPr>
              <w:t>Peu pénalisée (majoritaire)</w:t>
            </w:r>
          </w:p>
        </w:tc>
      </w:tr>
      <w:tr>
        <w:tc>
          <w:tcPr>
            <w:tcW w:type="dxa" w:w="2268"/>
            <w:shd w:val="clear" w:color="auto" w:fill="FFFFFF"/>
          </w:tcPr>
          <w:p>
            <w:pPr>
              <w:jc w:val="center"/>
            </w:pPr>
            <w:r>
              <w:rPr>
                <w:sz w:val="20"/>
              </w:rPr>
              <w:t>2 — Volcan</w:t>
            </w:r>
          </w:p>
        </w:tc>
        <w:tc>
          <w:tcPr>
            <w:tcW w:type="dxa" w:w="1984"/>
            <w:shd w:val="clear" w:color="auto" w:fill="FFFFFF"/>
          </w:tcPr>
          <w:p>
            <w:pPr>
              <w:jc w:val="center"/>
            </w:pPr>
            <w:r>
              <w:rPr>
                <w:sz w:val="20"/>
              </w:rPr>
              <w:t>4.759</w:t>
            </w:r>
          </w:p>
        </w:tc>
        <w:tc>
          <w:tcPr>
            <w:tcW w:type="dxa" w:w="4535"/>
            <w:shd w:val="clear" w:color="auto" w:fill="FFFFFF"/>
          </w:tcPr>
          <w:p>
            <w:pPr>
              <w:jc w:val="center"/>
            </w:pPr>
            <w:r>
              <w:rPr>
                <w:sz w:val="20"/>
              </w:rPr>
              <w:t>13× plus pénalisée que classe 0</w:t>
            </w:r>
          </w:p>
        </w:tc>
      </w:tr>
      <w:tr>
        <w:tc>
          <w:tcPr>
            <w:tcW w:type="dxa" w:w="2268"/>
            <w:shd w:val="clear" w:color="auto" w:fill="EBF3F8"/>
          </w:tcPr>
          <w:p>
            <w:pPr>
              <w:jc w:val="center"/>
            </w:pPr>
            <w:r>
              <w:rPr>
                <w:sz w:val="20"/>
              </w:rPr>
              <w:t>3 — Autre</w:t>
            </w:r>
          </w:p>
        </w:tc>
        <w:tc>
          <w:tcPr>
            <w:tcW w:type="dxa" w:w="1984"/>
            <w:shd w:val="clear" w:color="auto" w:fill="EBF3F8"/>
          </w:tcPr>
          <w:p>
            <w:pPr>
              <w:jc w:val="center"/>
            </w:pPr>
            <w:r>
              <w:rPr>
                <w:sz w:val="20"/>
              </w:rPr>
              <w:t>392.6</w:t>
            </w:r>
          </w:p>
        </w:tc>
        <w:tc>
          <w:tcPr>
            <w:tcW w:type="dxa" w:w="4535"/>
            <w:shd w:val="clear" w:color="auto" w:fill="EBF3F8"/>
          </w:tcPr>
          <w:p>
            <w:pPr>
              <w:jc w:val="center"/>
            </w:pPr>
            <w:r>
              <w:rPr>
                <w:sz w:val="20"/>
              </w:rPr>
              <w:t>1 094× plus pénalisée que classe 0</w:t>
            </w:r>
          </w:p>
        </w:tc>
      </w:tr>
    </w:tbl>
    <w:p/>
    <w:p>
      <w:pPr>
        <w:pStyle w:val="Heading3"/>
      </w:pPr>
      <w:r>
        <w:rPr>
          <w:color w:val="376E8A"/>
          <w:sz w:val="22"/>
        </w:rPr>
        <w:t>4.5.2 Approche 2 — SMOTE (ResNet-1D)</w:t>
      </w:r>
    </w:p>
    <w:p>
      <w:pPr>
        <w:spacing w:after="80" w:before="0"/>
      </w:pPr>
      <w:r>
        <w:rPr>
          <w:rFonts w:ascii="Calibri" w:hAnsi="Calibri"/>
          <w:b w:val="0"/>
          <w:i w:val="0"/>
          <w:sz w:val="22"/>
        </w:rPr>
        <w:t>SMOTE (Synthetic Minority Over-sampling TEchnique, Chawla et al. 2002) génère des exemples synthétiques pour les classes minoritaires par interpolation linéaire entre k plus proches voisins. L'algorithme est appliqué uniquement sur le train set pour éviter tout data leakage.</w:t>
      </w:r>
    </w:p>
    <w:p>
      <w:pPr>
        <w:spacing w:after="80" w:before="0"/>
      </w:pPr>
      <w:r>
        <w:rPr>
          <w:rFonts w:ascii="Calibri" w:hAnsi="Calibri"/>
          <w:b w:val="0"/>
          <w:i/>
          <w:sz w:val="22"/>
        </w:rPr>
        <w:t>Le paramètre k_neighbors=2 (au lieu de 5 par défaut) est nécessaire car la classe 3 ne contient que 6 exemples en train — insuffisant pour 5 voisins.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shd w:val="clear" w:color="auto" w:fill="1A537A"/>
          </w:tcPr>
          <w:p>
            <w:pPr>
              <w:jc w:val="center"/>
            </w:pPr>
            <w:r>
              <w:rPr>
                <w:b/>
                <w:color w:val="FFFFFF"/>
                <w:sz w:val="20"/>
              </w:rPr>
              <w:t>Classe</w:t>
            </w:r>
          </w:p>
        </w:tc>
        <w:tc>
          <w:tcPr>
            <w:tcW w:type="dxa" w:w="1984"/>
            <w:shd w:val="clear" w:color="auto" w:fill="1A537A"/>
          </w:tcPr>
          <w:p>
            <w:pPr>
              <w:jc w:val="center"/>
            </w:pPr>
            <w:r>
              <w:rPr>
                <w:b/>
                <w:color w:val="FFFFFF"/>
                <w:sz w:val="20"/>
              </w:rPr>
              <w:t>Avant SMOTE</w:t>
            </w:r>
          </w:p>
        </w:tc>
        <w:tc>
          <w:tcPr>
            <w:tcW w:type="dxa" w:w="1984"/>
            <w:shd w:val="clear" w:color="auto" w:fill="1A537A"/>
          </w:tcPr>
          <w:p>
            <w:pPr>
              <w:jc w:val="center"/>
            </w:pPr>
            <w:r>
              <w:rPr>
                <w:b/>
                <w:color w:val="FFFFFF"/>
                <w:sz w:val="20"/>
              </w:rPr>
              <w:t>Après SMOTE</w:t>
            </w:r>
          </w:p>
        </w:tc>
        <w:tc>
          <w:tcPr>
            <w:tcW w:type="dxa" w:w="2551"/>
            <w:shd w:val="clear" w:color="auto" w:fill="1A537A"/>
          </w:tcPr>
          <w:p>
            <w:pPr>
              <w:jc w:val="center"/>
            </w:pPr>
            <w:r>
              <w:rPr>
                <w:b/>
                <w:color w:val="FFFFFF"/>
                <w:sz w:val="20"/>
              </w:rPr>
              <w:t>Variation</w:t>
            </w:r>
          </w:p>
        </w:tc>
      </w:tr>
      <w:tr>
        <w:tc>
          <w:tcPr>
            <w:tcW w:type="dxa" w:w="2268"/>
            <w:shd w:val="clear" w:color="auto" w:fill="EBF3F8"/>
          </w:tcPr>
          <w:p>
            <w:pPr>
              <w:jc w:val="center"/>
            </w:pPr>
            <w:r>
              <w:rPr>
                <w:sz w:val="20"/>
              </w:rPr>
              <w:t>0 — Végétation</w:t>
            </w:r>
          </w:p>
        </w:tc>
        <w:tc>
          <w:tcPr>
            <w:tcW w:type="dxa" w:w="1984"/>
            <w:shd w:val="clear" w:color="auto" w:fill="EBF3F8"/>
          </w:tcPr>
          <w:p>
            <w:pPr>
              <w:jc w:val="center"/>
            </w:pPr>
            <w:r>
              <w:rPr>
                <w:sz w:val="20"/>
              </w:rPr>
              <w:t>6 566</w:t>
            </w:r>
          </w:p>
        </w:tc>
        <w:tc>
          <w:tcPr>
            <w:tcW w:type="dxa" w:w="1984"/>
            <w:shd w:val="clear" w:color="auto" w:fill="EBF3F8"/>
          </w:tcPr>
          <w:p>
            <w:pPr>
              <w:jc w:val="center"/>
            </w:pPr>
            <w:r>
              <w:rPr>
                <w:sz w:val="20"/>
              </w:rPr>
              <w:t>6 566</w:t>
            </w:r>
          </w:p>
        </w:tc>
        <w:tc>
          <w:tcPr>
            <w:tcW w:type="dxa" w:w="2551"/>
            <w:shd w:val="clear" w:color="auto" w:fill="EBF3F8"/>
          </w:tcPr>
          <w:p>
            <w:pPr>
              <w:jc w:val="center"/>
            </w:pPr>
            <w:r>
              <w:rPr>
                <w:sz w:val="20"/>
              </w:rPr>
              <w:t>— (référence)</w:t>
            </w:r>
          </w:p>
        </w:tc>
      </w:tr>
      <w:tr>
        <w:tc>
          <w:tcPr>
            <w:tcW w:type="dxa" w:w="2268"/>
            <w:shd w:val="clear" w:color="auto" w:fill="FFFFFF"/>
          </w:tcPr>
          <w:p>
            <w:pPr>
              <w:jc w:val="center"/>
            </w:pPr>
            <w:r>
              <w:rPr>
                <w:sz w:val="20"/>
              </w:rPr>
              <w:t>2 — Volcan</w:t>
            </w:r>
          </w:p>
        </w:tc>
        <w:tc>
          <w:tcPr>
            <w:tcW w:type="dxa" w:w="1984"/>
            <w:shd w:val="clear" w:color="auto" w:fill="FFFFFF"/>
          </w:tcPr>
          <w:p>
            <w:pPr>
              <w:jc w:val="center"/>
            </w:pPr>
            <w:r>
              <w:rPr>
                <w:sz w:val="20"/>
              </w:rPr>
              <w:t>495</w:t>
            </w:r>
          </w:p>
        </w:tc>
        <w:tc>
          <w:tcPr>
            <w:tcW w:type="dxa" w:w="1984"/>
            <w:shd w:val="clear" w:color="auto" w:fill="FFFFFF"/>
          </w:tcPr>
          <w:p>
            <w:pPr>
              <w:jc w:val="center"/>
            </w:pPr>
            <w:r>
              <w:rPr>
                <w:sz w:val="20"/>
              </w:rPr>
              <w:t>6 566</w:t>
            </w:r>
          </w:p>
        </w:tc>
        <w:tc>
          <w:tcPr>
            <w:tcW w:type="dxa" w:w="2551"/>
            <w:shd w:val="clear" w:color="auto" w:fill="FFFFFF"/>
          </w:tcPr>
          <w:p>
            <w:pPr>
              <w:jc w:val="center"/>
            </w:pPr>
            <w:r>
              <w:rPr>
                <w:sz w:val="20"/>
              </w:rPr>
              <w:t>+1 226% (×13.3)</w:t>
            </w:r>
          </w:p>
        </w:tc>
      </w:tr>
      <w:tr>
        <w:tc>
          <w:tcPr>
            <w:tcW w:type="dxa" w:w="2268"/>
            <w:shd w:val="clear" w:color="auto" w:fill="EBF3F8"/>
          </w:tcPr>
          <w:p>
            <w:pPr>
              <w:jc w:val="center"/>
            </w:pPr>
            <w:r>
              <w:rPr>
                <w:sz w:val="20"/>
              </w:rPr>
              <w:t>3 — Autre</w:t>
            </w:r>
          </w:p>
        </w:tc>
        <w:tc>
          <w:tcPr>
            <w:tcW w:type="dxa" w:w="1984"/>
            <w:shd w:val="clear" w:color="auto" w:fill="EBF3F8"/>
          </w:tcPr>
          <w:p>
            <w:pPr>
              <w:jc w:val="center"/>
            </w:pPr>
            <w:r>
              <w:rPr>
                <w:sz w:val="20"/>
              </w:rPr>
              <w:t>6</w:t>
            </w:r>
          </w:p>
        </w:tc>
        <w:tc>
          <w:tcPr>
            <w:tcW w:type="dxa" w:w="1984"/>
            <w:shd w:val="clear" w:color="auto" w:fill="EBF3F8"/>
          </w:tcPr>
          <w:p>
            <w:pPr>
              <w:jc w:val="center"/>
            </w:pPr>
            <w:r>
              <w:rPr>
                <w:sz w:val="20"/>
              </w:rPr>
              <w:t>6 566</w:t>
            </w:r>
          </w:p>
        </w:tc>
        <w:tc>
          <w:tcPr>
            <w:tcW w:type="dxa" w:w="2551"/>
            <w:shd w:val="clear" w:color="auto" w:fill="EBF3F8"/>
          </w:tcPr>
          <w:p>
            <w:pPr>
              <w:jc w:val="center"/>
            </w:pPr>
            <w:r>
              <w:rPr>
                <w:sz w:val="20"/>
              </w:rPr>
              <w:t>+109 333% (×1 094)</w:t>
            </w:r>
          </w:p>
        </w:tc>
      </w:tr>
      <w:tr>
        <w:tc>
          <w:tcPr>
            <w:tcW w:type="dxa" w:w="2268"/>
            <w:shd w:val="clear" w:color="auto" w:fill="FFFFFF"/>
          </w:tcPr>
          <w:p>
            <w:pPr>
              <w:jc w:val="center"/>
            </w:pPr>
            <w:r>
              <w:rPr>
                <w:sz w:val="20"/>
              </w:rPr>
              <w:t>Total train</w:t>
            </w:r>
          </w:p>
        </w:tc>
        <w:tc>
          <w:tcPr>
            <w:tcW w:type="dxa" w:w="1984"/>
            <w:shd w:val="clear" w:color="auto" w:fill="FFFFFF"/>
          </w:tcPr>
          <w:p>
            <w:pPr>
              <w:jc w:val="center"/>
            </w:pPr>
            <w:r>
              <w:rPr>
                <w:sz w:val="20"/>
              </w:rPr>
              <w:t>7 067</w:t>
            </w:r>
          </w:p>
        </w:tc>
        <w:tc>
          <w:tcPr>
            <w:tcW w:type="dxa" w:w="1984"/>
            <w:shd w:val="clear" w:color="auto" w:fill="FFFFFF"/>
          </w:tcPr>
          <w:p>
            <w:pPr>
              <w:jc w:val="center"/>
            </w:pPr>
            <w:r>
              <w:rPr>
                <w:sz w:val="20"/>
              </w:rPr>
              <w:t>19 698</w:t>
            </w:r>
          </w:p>
        </w:tc>
        <w:tc>
          <w:tcPr>
            <w:tcW w:type="dxa" w:w="2551"/>
            <w:shd w:val="clear" w:color="auto" w:fill="FFFFFF"/>
          </w:tcPr>
          <w:p>
            <w:pPr>
              <w:jc w:val="center"/>
            </w:pPr>
            <w:r>
              <w:rPr>
                <w:sz w:val="20"/>
              </w:rPr>
              <w:t>+178%</w:t>
            </w:r>
          </w:p>
        </w:tc>
      </w:tr>
    </w:tbl>
    <w:p/>
    <w:p>
      <w:pPr>
        <w:jc w:val="center"/>
      </w:pPr>
      <w:r>
        <w:drawing>
          <wp:inline xmlns:a="http://schemas.openxmlformats.org/drawingml/2006/main" xmlns:pic="http://schemas.openxmlformats.org/drawingml/2006/picture">
            <wp:extent cx="5040000" cy="1675291"/>
            <wp:docPr id="7" name="Picture 7"/>
            <wp:cNvGraphicFramePr>
              <a:graphicFrameLocks noChangeAspect="1"/>
            </wp:cNvGraphicFramePr>
            <a:graphic>
              <a:graphicData uri="http://schemas.openxmlformats.org/drawingml/2006/picture">
                <pic:pic>
                  <pic:nvPicPr>
                    <pic:cNvPr id="0" name="07_smote_comparison.png"/>
                    <pic:cNvPicPr/>
                  </pic:nvPicPr>
                  <pic:blipFill>
                    <a:blip r:embed="rId15"/>
                    <a:stretch>
                      <a:fillRect/>
                    </a:stretch>
                  </pic:blipFill>
                  <pic:spPr>
                    <a:xfrm>
                      <a:off x="0" y="0"/>
                      <a:ext cx="5040000" cy="1675291"/>
                    </a:xfrm>
                    <a:prstGeom prst="rect"/>
                  </pic:spPr>
                </pic:pic>
              </a:graphicData>
            </a:graphic>
          </wp:inline>
        </w:drawing>
      </w:r>
    </w:p>
    <w:p>
      <w:pPr>
        <w:spacing w:after="200"/>
        <w:jc w:val="center"/>
      </w:pPr>
      <w:r>
        <w:rPr>
          <w:i/>
          <w:color w:val="555555"/>
          <w:sz w:val="18"/>
        </w:rPr>
        <w:t>Figure 7 — Comparaison de la distribution des classes avant et après SMOTE</w:t>
      </w:r>
    </w:p>
    <w:p>
      <w:pPr>
        <w:pStyle w:val="Heading2"/>
      </w:pPr>
      <w:r>
        <w:rPr>
          <w:color w:val="2E7DA8"/>
          <w:sz w:val="26"/>
        </w:rPr>
        <w:t>4.6 Normalisation (StandardScaler)</w:t>
      </w:r>
    </w:p>
    <w:p>
      <w:pPr>
        <w:spacing w:after="80" w:before="0"/>
      </w:pPr>
      <w:r>
        <w:rPr>
          <w:rFonts w:ascii="Calibri" w:hAnsi="Calibri"/>
          <w:b w:val="0"/>
          <w:i w:val="0"/>
          <w:sz w:val="22"/>
        </w:rPr>
        <w:t>Les 12 features finales sont normalisées par z-score : x' = (x − μ) / σ, où μ et σ sont calculés exclusivement sur le train set. Le scaler ajusté est ensuite appliqué (transform) sur le test set. Cette approche évite tout data leakage et garantit que les plages d'entrée du réseau sont homogènes.</w:t>
      </w:r>
    </w:p>
    <w:p>
      <w:r>
        <w:br w:type="page"/>
      </w:r>
    </w:p>
    <w:p>
      <w:pPr>
        <w:pStyle w:val="Heading1"/>
      </w:pPr>
      <w:r>
        <w:rPr>
          <w:color w:val="1A537A"/>
          <w:sz w:val="32"/>
        </w:rPr>
        <w:t>5. Architectures CNN 1D</w:t>
      </w:r>
    </w:p>
    <w:p>
      <w:pPr>
        <w:pStyle w:val="Heading2"/>
      </w:pPr>
      <w:r>
        <w:rPr>
          <w:color w:val="2E7DA8"/>
          <w:sz w:val="26"/>
        </w:rPr>
        <w:t>5.1 Adaptation tabulaire → 1D-CNN</w:t>
      </w:r>
    </w:p>
    <w:p>
      <w:pPr>
        <w:spacing w:after="80" w:before="0"/>
      </w:pPr>
      <w:r>
        <w:rPr>
          <w:rFonts w:ascii="Calibri" w:hAnsi="Calibri"/>
          <w:b w:val="0"/>
          <w:i w:val="0"/>
          <w:sz w:val="22"/>
        </w:rPr>
        <w:t>Les CNN sont conçus pour exploiter la structure locale des données. Sur données tabulaires, les features sont ordonnées sémantiquement (géographiques, thermiques, géométriques, temporelles) et traitées comme une séquence 1D. Un filtre Conv1D de taille k=3 apprend des interactions entre 3 features consécutives.</w:t>
      </w:r>
    </w:p>
    <w:p>
      <w:pPr>
        <w:spacing w:after="80" w:before="0"/>
        <w:ind w:left="567"/>
      </w:pPr>
      <w:r>
        <w:rPr>
          <w:rFonts w:ascii="Calibri" w:hAnsi="Calibri"/>
          <w:b/>
          <w:i w:val="0"/>
          <w:sz w:val="22"/>
        </w:rPr>
        <w:t>Reshape appliqué : (n, 12) → (n, 12, 1)  [batch_size, steps, channels]</w:t>
      </w:r>
    </w:p>
    <w:p>
      <w:pPr>
        <w:spacing w:after="80" w:before="0"/>
        <w:ind w:left="567"/>
      </w:pPr>
      <w:r>
        <w:rPr>
          <w:rFonts w:ascii="Calibri" w:hAnsi="Calibri"/>
          <w:b w:val="0"/>
          <w:i/>
          <w:sz w:val="22"/>
        </w:rPr>
        <w:t>Ordre des 12 features dans la séquence : [0] latitude · [1] longitude · [2] brightness · [3] scan · [4] track · [5] satellite · [6] confidence · [7] bright_t31 · [8] frp · [9] daynight · [10] mois · [11] heure</w:t>
      </w:r>
    </w:p>
    <w:p>
      <w:pPr>
        <w:pStyle w:val="Heading2"/>
      </w:pPr>
      <w:r>
        <w:rPr>
          <w:color w:val="2E7DA8"/>
          <w:sz w:val="26"/>
        </w:rPr>
        <w:t>5.2 Architecture 1 — AlexNet-1D</w:t>
      </w:r>
    </w:p>
    <w:p>
      <w:pPr>
        <w:spacing w:after="80" w:before="0"/>
      </w:pPr>
      <w:r>
        <w:rPr>
          <w:rFonts w:ascii="Calibri" w:hAnsi="Calibri"/>
          <w:b w:val="0"/>
          <w:i w:val="0"/>
          <w:sz w:val="22"/>
        </w:rPr>
        <w:t>Inspirée de AlexNet (Krizhevsky et al., 2012), première architecture CNN à gagner ILSVRC. La philosophie est conservée : plusieurs blocs de convolution séquentiels suivis d'une tête dense. Les couches de Batch Normalization remplacent la Local Response Normalization originale, plus stable en pratique.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402"/>
            <w:shd w:val="clear" w:color="auto" w:fill="1A537A"/>
          </w:tcPr>
          <w:p>
            <w:pPr>
              <w:jc w:val="center"/>
            </w:pPr>
            <w:r>
              <w:rPr>
                <w:b/>
                <w:color w:val="FFFFFF"/>
                <w:sz w:val="20"/>
              </w:rPr>
              <w:t>Couche</w:t>
            </w:r>
          </w:p>
        </w:tc>
        <w:tc>
          <w:tcPr>
            <w:tcW w:type="dxa" w:w="1417"/>
            <w:shd w:val="clear" w:color="auto" w:fill="1A537A"/>
          </w:tcPr>
          <w:p>
            <w:pPr>
              <w:jc w:val="center"/>
            </w:pPr>
            <w:r>
              <w:rPr>
                <w:b/>
                <w:color w:val="FFFFFF"/>
                <w:sz w:val="20"/>
              </w:rPr>
              <w:t>Sortie</w:t>
            </w:r>
          </w:p>
        </w:tc>
        <w:tc>
          <w:tcPr>
            <w:tcW w:type="dxa" w:w="1417"/>
            <w:shd w:val="clear" w:color="auto" w:fill="1A537A"/>
          </w:tcPr>
          <w:p>
            <w:pPr>
              <w:jc w:val="center"/>
            </w:pPr>
            <w:r>
              <w:rPr>
                <w:b/>
                <w:color w:val="FFFFFF"/>
                <w:sz w:val="20"/>
              </w:rPr>
              <w:t>Paramètres</w:t>
            </w:r>
          </w:p>
        </w:tc>
        <w:tc>
          <w:tcPr>
            <w:tcW w:type="dxa" w:w="2551"/>
            <w:shd w:val="clear" w:color="auto" w:fill="1A537A"/>
          </w:tcPr>
          <w:p>
            <w:pPr>
              <w:jc w:val="center"/>
            </w:pPr>
            <w:r>
              <w:rPr>
                <w:b/>
                <w:color w:val="FFFFFF"/>
                <w:sz w:val="20"/>
              </w:rPr>
              <w:t>Description</w:t>
            </w:r>
          </w:p>
        </w:tc>
      </w:tr>
      <w:tr>
        <w:tc>
          <w:tcPr>
            <w:tcW w:type="dxa" w:w="3402"/>
            <w:shd w:val="clear" w:color="auto" w:fill="EBF3F8"/>
          </w:tcPr>
          <w:p>
            <w:pPr>
              <w:jc w:val="center"/>
            </w:pPr>
            <w:r>
              <w:rPr>
                <w:sz w:val="20"/>
              </w:rPr>
              <w:t>Input</w:t>
            </w:r>
          </w:p>
        </w:tc>
        <w:tc>
          <w:tcPr>
            <w:tcW w:type="dxa" w:w="1417"/>
            <w:shd w:val="clear" w:color="auto" w:fill="EBF3F8"/>
          </w:tcPr>
          <w:p>
            <w:pPr>
              <w:jc w:val="center"/>
            </w:pPr>
            <w:r>
              <w:rPr>
                <w:sz w:val="20"/>
              </w:rPr>
              <w:t>(12, 1)</w:t>
            </w:r>
          </w:p>
        </w:tc>
        <w:tc>
          <w:tcPr>
            <w:tcW w:type="dxa" w:w="1417"/>
            <w:shd w:val="clear" w:color="auto" w:fill="EBF3F8"/>
          </w:tcPr>
          <w:p>
            <w:pPr>
              <w:jc w:val="center"/>
            </w:pPr>
            <w:r>
              <w:rPr>
                <w:sz w:val="20"/>
              </w:rPr>
              <w:t>0</w:t>
            </w:r>
          </w:p>
        </w:tc>
        <w:tc>
          <w:tcPr>
            <w:tcW w:type="dxa" w:w="2551"/>
            <w:shd w:val="clear" w:color="auto" w:fill="EBF3F8"/>
          </w:tcPr>
          <w:p>
            <w:pPr>
              <w:jc w:val="center"/>
            </w:pPr>
            <w:r>
              <w:rPr>
                <w:sz w:val="20"/>
              </w:rPr>
              <w:t>Séquence de 12 features</w:t>
            </w:r>
          </w:p>
        </w:tc>
      </w:tr>
      <w:tr>
        <w:tc>
          <w:tcPr>
            <w:tcW w:type="dxa" w:w="3402"/>
            <w:shd w:val="clear" w:color="auto" w:fill="FFFFFF"/>
          </w:tcPr>
          <w:p>
            <w:pPr>
              <w:jc w:val="center"/>
            </w:pPr>
            <w:r>
              <w:rPr>
                <w:sz w:val="20"/>
              </w:rPr>
              <w:t>Conv1D(64, k=3) + BN + ReLU</w:t>
            </w:r>
          </w:p>
        </w:tc>
        <w:tc>
          <w:tcPr>
            <w:tcW w:type="dxa" w:w="1417"/>
            <w:shd w:val="clear" w:color="auto" w:fill="FFFFFF"/>
          </w:tcPr>
          <w:p>
            <w:pPr>
              <w:jc w:val="center"/>
            </w:pPr>
            <w:r>
              <w:rPr>
                <w:sz w:val="20"/>
              </w:rPr>
              <w:t>(12, 64)</w:t>
            </w:r>
          </w:p>
        </w:tc>
        <w:tc>
          <w:tcPr>
            <w:tcW w:type="dxa" w:w="1417"/>
            <w:shd w:val="clear" w:color="auto" w:fill="FFFFFF"/>
          </w:tcPr>
          <w:p>
            <w:pPr>
              <w:jc w:val="center"/>
            </w:pPr>
            <w:r>
              <w:rPr>
                <w:sz w:val="20"/>
              </w:rPr>
              <w:t>192 + 256</w:t>
            </w:r>
          </w:p>
        </w:tc>
        <w:tc>
          <w:tcPr>
            <w:tcW w:type="dxa" w:w="2551"/>
            <w:shd w:val="clear" w:color="auto" w:fill="FFFFFF"/>
          </w:tcPr>
          <w:p>
            <w:pPr>
              <w:jc w:val="center"/>
            </w:pPr>
            <w:r>
              <w:rPr>
                <w:sz w:val="20"/>
              </w:rPr>
              <w:t>Bloc 1</w:t>
            </w:r>
          </w:p>
        </w:tc>
      </w:tr>
      <w:tr>
        <w:tc>
          <w:tcPr>
            <w:tcW w:type="dxa" w:w="3402"/>
            <w:shd w:val="clear" w:color="auto" w:fill="EBF3F8"/>
          </w:tcPr>
          <w:p>
            <w:pPr>
              <w:jc w:val="center"/>
            </w:pPr>
            <w:r>
              <w:rPr>
                <w:sz w:val="20"/>
              </w:rPr>
              <w:t>Conv1D(128, k=3) + BN + ReLU + MaxPool(2)</w:t>
            </w:r>
          </w:p>
        </w:tc>
        <w:tc>
          <w:tcPr>
            <w:tcW w:type="dxa" w:w="1417"/>
            <w:shd w:val="clear" w:color="auto" w:fill="EBF3F8"/>
          </w:tcPr>
          <w:p>
            <w:pPr>
              <w:jc w:val="center"/>
            </w:pPr>
            <w:r>
              <w:rPr>
                <w:sz w:val="20"/>
              </w:rPr>
              <w:t>(6, 128)</w:t>
            </w:r>
          </w:p>
        </w:tc>
        <w:tc>
          <w:tcPr>
            <w:tcW w:type="dxa" w:w="1417"/>
            <w:shd w:val="clear" w:color="auto" w:fill="EBF3F8"/>
          </w:tcPr>
          <w:p>
            <w:pPr>
              <w:jc w:val="center"/>
            </w:pPr>
            <w:r>
              <w:rPr>
                <w:sz w:val="20"/>
              </w:rPr>
              <w:t>24 576 + 512</w:t>
            </w:r>
          </w:p>
        </w:tc>
        <w:tc>
          <w:tcPr>
            <w:tcW w:type="dxa" w:w="2551"/>
            <w:shd w:val="clear" w:color="auto" w:fill="EBF3F8"/>
          </w:tcPr>
          <w:p>
            <w:pPr>
              <w:jc w:val="center"/>
            </w:pPr>
            <w:r>
              <w:rPr>
                <w:sz w:val="20"/>
              </w:rPr>
              <w:t>Bloc 2</w:t>
            </w:r>
          </w:p>
        </w:tc>
      </w:tr>
      <w:tr>
        <w:tc>
          <w:tcPr>
            <w:tcW w:type="dxa" w:w="3402"/>
            <w:shd w:val="clear" w:color="auto" w:fill="FFFFFF"/>
          </w:tcPr>
          <w:p>
            <w:pPr>
              <w:jc w:val="center"/>
            </w:pPr>
            <w:r>
              <w:rPr>
                <w:sz w:val="20"/>
              </w:rPr>
              <w:t>Conv1D(256, k=3) + BN + ReLU</w:t>
            </w:r>
          </w:p>
        </w:tc>
        <w:tc>
          <w:tcPr>
            <w:tcW w:type="dxa" w:w="1417"/>
            <w:shd w:val="clear" w:color="auto" w:fill="FFFFFF"/>
          </w:tcPr>
          <w:p>
            <w:pPr>
              <w:jc w:val="center"/>
            </w:pPr>
            <w:r>
              <w:rPr>
                <w:sz w:val="20"/>
              </w:rPr>
              <w:t>(6, 256)</w:t>
            </w:r>
          </w:p>
        </w:tc>
        <w:tc>
          <w:tcPr>
            <w:tcW w:type="dxa" w:w="1417"/>
            <w:shd w:val="clear" w:color="auto" w:fill="FFFFFF"/>
          </w:tcPr>
          <w:p>
            <w:pPr>
              <w:jc w:val="center"/>
            </w:pPr>
            <w:r>
              <w:rPr>
                <w:sz w:val="20"/>
              </w:rPr>
              <w:t>98 304 + 1 024</w:t>
            </w:r>
          </w:p>
        </w:tc>
        <w:tc>
          <w:tcPr>
            <w:tcW w:type="dxa" w:w="2551"/>
            <w:shd w:val="clear" w:color="auto" w:fill="FFFFFF"/>
          </w:tcPr>
          <w:p>
            <w:pPr>
              <w:jc w:val="center"/>
            </w:pPr>
            <w:r>
              <w:rPr>
                <w:sz w:val="20"/>
              </w:rPr>
              <w:t>Bloc 3</w:t>
            </w:r>
          </w:p>
        </w:tc>
      </w:tr>
      <w:tr>
        <w:tc>
          <w:tcPr>
            <w:tcW w:type="dxa" w:w="3402"/>
            <w:shd w:val="clear" w:color="auto" w:fill="EBF3F8"/>
          </w:tcPr>
          <w:p>
            <w:pPr>
              <w:jc w:val="center"/>
            </w:pPr>
            <w:r>
              <w:rPr>
                <w:sz w:val="20"/>
              </w:rPr>
              <w:t>Conv1D(256, k=3) + BN + ReLU</w:t>
            </w:r>
          </w:p>
        </w:tc>
        <w:tc>
          <w:tcPr>
            <w:tcW w:type="dxa" w:w="1417"/>
            <w:shd w:val="clear" w:color="auto" w:fill="EBF3F8"/>
          </w:tcPr>
          <w:p>
            <w:pPr>
              <w:jc w:val="center"/>
            </w:pPr>
            <w:r>
              <w:rPr>
                <w:sz w:val="20"/>
              </w:rPr>
              <w:t>(6, 256)</w:t>
            </w:r>
          </w:p>
        </w:tc>
        <w:tc>
          <w:tcPr>
            <w:tcW w:type="dxa" w:w="1417"/>
            <w:shd w:val="clear" w:color="auto" w:fill="EBF3F8"/>
          </w:tcPr>
          <w:p>
            <w:pPr>
              <w:jc w:val="center"/>
            </w:pPr>
            <w:r>
              <w:rPr>
                <w:sz w:val="20"/>
              </w:rPr>
              <w:t>196 608 + 1 024</w:t>
            </w:r>
          </w:p>
        </w:tc>
        <w:tc>
          <w:tcPr>
            <w:tcW w:type="dxa" w:w="2551"/>
            <w:shd w:val="clear" w:color="auto" w:fill="EBF3F8"/>
          </w:tcPr>
          <w:p>
            <w:pPr>
              <w:jc w:val="center"/>
            </w:pPr>
            <w:r>
              <w:rPr>
                <w:sz w:val="20"/>
              </w:rPr>
              <w:t>Bloc 4</w:t>
            </w:r>
          </w:p>
        </w:tc>
      </w:tr>
      <w:tr>
        <w:tc>
          <w:tcPr>
            <w:tcW w:type="dxa" w:w="3402"/>
            <w:shd w:val="clear" w:color="auto" w:fill="FFFFFF"/>
          </w:tcPr>
          <w:p>
            <w:pPr>
              <w:jc w:val="center"/>
            </w:pPr>
            <w:r>
              <w:rPr>
                <w:sz w:val="20"/>
              </w:rPr>
              <w:t>Conv1D(128, k=3) + BN + ReLU + MaxPool(2)</w:t>
            </w:r>
          </w:p>
        </w:tc>
        <w:tc>
          <w:tcPr>
            <w:tcW w:type="dxa" w:w="1417"/>
            <w:shd w:val="clear" w:color="auto" w:fill="FFFFFF"/>
          </w:tcPr>
          <w:p>
            <w:pPr>
              <w:jc w:val="center"/>
            </w:pPr>
            <w:r>
              <w:rPr>
                <w:sz w:val="20"/>
              </w:rPr>
              <w:t>(3, 128)</w:t>
            </w:r>
          </w:p>
        </w:tc>
        <w:tc>
          <w:tcPr>
            <w:tcW w:type="dxa" w:w="1417"/>
            <w:shd w:val="clear" w:color="auto" w:fill="FFFFFF"/>
          </w:tcPr>
          <w:p>
            <w:pPr>
              <w:jc w:val="center"/>
            </w:pPr>
            <w:r>
              <w:rPr>
                <w:sz w:val="20"/>
              </w:rPr>
              <w:t>98 304 + 512</w:t>
            </w:r>
          </w:p>
        </w:tc>
        <w:tc>
          <w:tcPr>
            <w:tcW w:type="dxa" w:w="2551"/>
            <w:shd w:val="clear" w:color="auto" w:fill="FFFFFF"/>
          </w:tcPr>
          <w:p>
            <w:pPr>
              <w:jc w:val="center"/>
            </w:pPr>
            <w:r>
              <w:rPr>
                <w:sz w:val="20"/>
              </w:rPr>
              <w:t>Bloc 5</w:t>
            </w:r>
          </w:p>
        </w:tc>
      </w:tr>
      <w:tr>
        <w:tc>
          <w:tcPr>
            <w:tcW w:type="dxa" w:w="3402"/>
            <w:shd w:val="clear" w:color="auto" w:fill="EBF3F8"/>
          </w:tcPr>
          <w:p>
            <w:pPr>
              <w:jc w:val="center"/>
            </w:pPr>
            <w:r>
              <w:rPr>
                <w:sz w:val="20"/>
              </w:rPr>
              <w:t>GlobalAveragePooling1D</w:t>
            </w:r>
          </w:p>
        </w:tc>
        <w:tc>
          <w:tcPr>
            <w:tcW w:type="dxa" w:w="1417"/>
            <w:shd w:val="clear" w:color="auto" w:fill="EBF3F8"/>
          </w:tcPr>
          <w:p>
            <w:pPr>
              <w:jc w:val="center"/>
            </w:pPr>
            <w:r>
              <w:rPr>
                <w:sz w:val="20"/>
              </w:rPr>
              <w:t>(128,)</w:t>
            </w:r>
          </w:p>
        </w:tc>
        <w:tc>
          <w:tcPr>
            <w:tcW w:type="dxa" w:w="1417"/>
            <w:shd w:val="clear" w:color="auto" w:fill="EBF3F8"/>
          </w:tcPr>
          <w:p>
            <w:pPr>
              <w:jc w:val="center"/>
            </w:pPr>
            <w:r>
              <w:rPr>
                <w:sz w:val="20"/>
              </w:rPr>
              <w:t>0</w:t>
            </w:r>
          </w:p>
        </w:tc>
        <w:tc>
          <w:tcPr>
            <w:tcW w:type="dxa" w:w="2551"/>
            <w:shd w:val="clear" w:color="auto" w:fill="EBF3F8"/>
          </w:tcPr>
          <w:p>
            <w:pPr>
              <w:jc w:val="center"/>
            </w:pPr>
            <w:r>
              <w:rPr>
                <w:sz w:val="20"/>
              </w:rPr>
              <w:t>Agrégation</w:t>
            </w:r>
          </w:p>
        </w:tc>
      </w:tr>
      <w:tr>
        <w:tc>
          <w:tcPr>
            <w:tcW w:type="dxa" w:w="3402"/>
            <w:shd w:val="clear" w:color="auto" w:fill="FFFFFF"/>
          </w:tcPr>
          <w:p>
            <w:pPr>
              <w:jc w:val="center"/>
            </w:pPr>
            <w:r>
              <w:rPr>
                <w:sz w:val="20"/>
              </w:rPr>
              <w:t>Dense(256) + Dropout(0.5)</w:t>
            </w:r>
          </w:p>
        </w:tc>
        <w:tc>
          <w:tcPr>
            <w:tcW w:type="dxa" w:w="1417"/>
            <w:shd w:val="clear" w:color="auto" w:fill="FFFFFF"/>
          </w:tcPr>
          <w:p>
            <w:pPr>
              <w:jc w:val="center"/>
            </w:pPr>
            <w:r>
              <w:rPr>
                <w:sz w:val="20"/>
              </w:rPr>
              <w:t>(256,)</w:t>
            </w:r>
          </w:p>
        </w:tc>
        <w:tc>
          <w:tcPr>
            <w:tcW w:type="dxa" w:w="1417"/>
            <w:shd w:val="clear" w:color="auto" w:fill="FFFFFF"/>
          </w:tcPr>
          <w:p>
            <w:pPr>
              <w:jc w:val="center"/>
            </w:pPr>
            <w:r>
              <w:rPr>
                <w:sz w:val="20"/>
              </w:rPr>
              <w:t>33 024</w:t>
            </w:r>
          </w:p>
        </w:tc>
        <w:tc>
          <w:tcPr>
            <w:tcW w:type="dxa" w:w="2551"/>
            <w:shd w:val="clear" w:color="auto" w:fill="FFFFFF"/>
          </w:tcPr>
          <w:p>
            <w:pPr>
              <w:jc w:val="center"/>
            </w:pPr>
            <w:r>
              <w:rPr>
                <w:sz w:val="20"/>
              </w:rPr>
              <w:t>FC1</w:t>
            </w:r>
          </w:p>
        </w:tc>
      </w:tr>
      <w:tr>
        <w:tc>
          <w:tcPr>
            <w:tcW w:type="dxa" w:w="3402"/>
            <w:shd w:val="clear" w:color="auto" w:fill="EBF3F8"/>
          </w:tcPr>
          <w:p>
            <w:pPr>
              <w:jc w:val="center"/>
            </w:pPr>
            <w:r>
              <w:rPr>
                <w:sz w:val="20"/>
              </w:rPr>
              <w:t>Dense(128) + Dropout(0.3)</w:t>
            </w:r>
          </w:p>
        </w:tc>
        <w:tc>
          <w:tcPr>
            <w:tcW w:type="dxa" w:w="1417"/>
            <w:shd w:val="clear" w:color="auto" w:fill="EBF3F8"/>
          </w:tcPr>
          <w:p>
            <w:pPr>
              <w:jc w:val="center"/>
            </w:pPr>
            <w:r>
              <w:rPr>
                <w:sz w:val="20"/>
              </w:rPr>
              <w:t>(128,)</w:t>
            </w:r>
          </w:p>
        </w:tc>
        <w:tc>
          <w:tcPr>
            <w:tcW w:type="dxa" w:w="1417"/>
            <w:shd w:val="clear" w:color="auto" w:fill="EBF3F8"/>
          </w:tcPr>
          <w:p>
            <w:pPr>
              <w:jc w:val="center"/>
            </w:pPr>
            <w:r>
              <w:rPr>
                <w:sz w:val="20"/>
              </w:rPr>
              <w:t>32 896</w:t>
            </w:r>
          </w:p>
        </w:tc>
        <w:tc>
          <w:tcPr>
            <w:tcW w:type="dxa" w:w="2551"/>
            <w:shd w:val="clear" w:color="auto" w:fill="EBF3F8"/>
          </w:tcPr>
          <w:p>
            <w:pPr>
              <w:jc w:val="center"/>
            </w:pPr>
            <w:r>
              <w:rPr>
                <w:sz w:val="20"/>
              </w:rPr>
              <w:t>FC2</w:t>
            </w:r>
          </w:p>
        </w:tc>
      </w:tr>
      <w:tr>
        <w:tc>
          <w:tcPr>
            <w:tcW w:type="dxa" w:w="3402"/>
            <w:shd w:val="clear" w:color="auto" w:fill="FFFFFF"/>
          </w:tcPr>
          <w:p>
            <w:pPr>
              <w:jc w:val="center"/>
            </w:pPr>
            <w:r>
              <w:rPr>
                <w:sz w:val="20"/>
              </w:rPr>
              <w:t>Dense(3, softmax)</w:t>
            </w:r>
          </w:p>
        </w:tc>
        <w:tc>
          <w:tcPr>
            <w:tcW w:type="dxa" w:w="1417"/>
            <w:shd w:val="clear" w:color="auto" w:fill="FFFFFF"/>
          </w:tcPr>
          <w:p>
            <w:pPr>
              <w:jc w:val="center"/>
            </w:pPr>
            <w:r>
              <w:rPr>
                <w:sz w:val="20"/>
              </w:rPr>
              <w:t>(3,)</w:t>
            </w:r>
          </w:p>
        </w:tc>
        <w:tc>
          <w:tcPr>
            <w:tcW w:type="dxa" w:w="1417"/>
            <w:shd w:val="clear" w:color="auto" w:fill="FFFFFF"/>
          </w:tcPr>
          <w:p>
            <w:pPr>
              <w:jc w:val="center"/>
            </w:pPr>
            <w:r>
              <w:rPr>
                <w:sz w:val="20"/>
              </w:rPr>
              <w:t>387</w:t>
            </w:r>
          </w:p>
        </w:tc>
        <w:tc>
          <w:tcPr>
            <w:tcW w:type="dxa" w:w="2551"/>
            <w:shd w:val="clear" w:color="auto" w:fill="FFFFFF"/>
          </w:tcPr>
          <w:p>
            <w:pPr>
              <w:jc w:val="center"/>
            </w:pPr>
            <w:r>
              <w:rPr>
                <w:sz w:val="20"/>
              </w:rPr>
              <w:t>Sortie</w:t>
            </w:r>
          </w:p>
        </w:tc>
      </w:tr>
    </w:tbl>
    <w:p/>
    <w:p>
      <w:pPr>
        <w:spacing w:after="80" w:before="0"/>
      </w:pPr>
      <w:r>
        <w:rPr>
          <w:rFonts w:ascii="Calibri" w:hAnsi="Calibri"/>
          <w:b/>
          <w:i w:val="0"/>
          <w:sz w:val="22"/>
        </w:rPr>
        <w:t>Total paramètres : 487 619  |  Régularisation : L2(1e-4) + Dropout</w:t>
      </w:r>
    </w:p>
    <w:p>
      <w:pPr>
        <w:pStyle w:val="Heading2"/>
      </w:pPr>
      <w:r>
        <w:rPr>
          <w:color w:val="2E7DA8"/>
          <w:sz w:val="26"/>
        </w:rPr>
        <w:t>5.3 Architecture 2 — ResNet-1D</w:t>
      </w:r>
    </w:p>
    <w:p>
      <w:pPr>
        <w:spacing w:after="80" w:before="0"/>
      </w:pPr>
      <w:r>
        <w:rPr>
          <w:rFonts w:ascii="Calibri" w:hAnsi="Calibri"/>
          <w:b w:val="0"/>
          <w:i w:val="0"/>
          <w:sz w:val="22"/>
        </w:rPr>
        <w:t>Inspirée de ResNet (He et al., 2016), vainqueur ILSVRC 2015. L'innovation clé est la connexion résiduelle (skip connection) : H(x) = F(x) + x. Le gradient de la perte vaut ∂L/∂x = ∂L/∂H × (∂F/∂x + 1), le terme '+1' garantissant qu'un gradient non nul se propage toujours, évitant le problème du gradient évanescent dans les réseaux profonds.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417"/>
            <w:shd w:val="clear" w:color="auto" w:fill="1A537A"/>
          </w:tcPr>
          <w:p>
            <w:pPr>
              <w:jc w:val="center"/>
            </w:pPr>
            <w:r>
              <w:rPr>
                <w:b/>
                <w:color w:val="FFFFFF"/>
                <w:sz w:val="20"/>
              </w:rPr>
              <w:t>Stage</w:t>
            </w:r>
          </w:p>
        </w:tc>
        <w:tc>
          <w:tcPr>
            <w:tcW w:type="dxa" w:w="4535"/>
            <w:shd w:val="clear" w:color="auto" w:fill="1A537A"/>
          </w:tcPr>
          <w:p>
            <w:pPr>
              <w:jc w:val="center"/>
            </w:pPr>
            <w:r>
              <w:rPr>
                <w:b/>
                <w:color w:val="FFFFFF"/>
                <w:sz w:val="20"/>
              </w:rPr>
              <w:t>Composants</w:t>
            </w:r>
          </w:p>
        </w:tc>
        <w:tc>
          <w:tcPr>
            <w:tcW w:type="dxa" w:w="1417"/>
            <w:shd w:val="clear" w:color="auto" w:fill="1A537A"/>
          </w:tcPr>
          <w:p>
            <w:pPr>
              <w:jc w:val="center"/>
            </w:pPr>
            <w:r>
              <w:rPr>
                <w:b/>
                <w:color w:val="FFFFFF"/>
                <w:sz w:val="20"/>
              </w:rPr>
              <w:t>Filtres</w:t>
            </w:r>
          </w:p>
        </w:tc>
        <w:tc>
          <w:tcPr>
            <w:tcW w:type="dxa" w:w="1417"/>
            <w:shd w:val="clear" w:color="auto" w:fill="1A537A"/>
          </w:tcPr>
          <w:p>
            <w:pPr>
              <w:jc w:val="center"/>
            </w:pPr>
            <w:r>
              <w:rPr>
                <w:b/>
                <w:color w:val="FFFFFF"/>
                <w:sz w:val="20"/>
              </w:rPr>
              <w:t>Paramètres</w:t>
            </w:r>
          </w:p>
        </w:tc>
      </w:tr>
      <w:tr>
        <w:tc>
          <w:tcPr>
            <w:tcW w:type="dxa" w:w="1417"/>
            <w:shd w:val="clear" w:color="auto" w:fill="EBF3F8"/>
          </w:tcPr>
          <w:p>
            <w:pPr>
              <w:jc w:val="center"/>
            </w:pPr>
            <w:r>
              <w:rPr>
                <w:sz w:val="20"/>
              </w:rPr>
              <w:t>Entrée</w:t>
            </w:r>
          </w:p>
        </w:tc>
        <w:tc>
          <w:tcPr>
            <w:tcW w:type="dxa" w:w="4535"/>
            <w:shd w:val="clear" w:color="auto" w:fill="EBF3F8"/>
          </w:tcPr>
          <w:p>
            <w:pPr>
              <w:jc w:val="center"/>
            </w:pPr>
            <w:r>
              <w:rPr>
                <w:sz w:val="20"/>
              </w:rPr>
              <w:t>Conv1D(64, k=3) + BN + ReLU</w:t>
            </w:r>
          </w:p>
        </w:tc>
        <w:tc>
          <w:tcPr>
            <w:tcW w:type="dxa" w:w="1417"/>
            <w:shd w:val="clear" w:color="auto" w:fill="EBF3F8"/>
          </w:tcPr>
          <w:p>
            <w:pPr>
              <w:jc w:val="center"/>
            </w:pPr>
            <w:r>
              <w:rPr>
                <w:sz w:val="20"/>
              </w:rPr>
              <w:t>64</w:t>
            </w:r>
          </w:p>
        </w:tc>
        <w:tc>
          <w:tcPr>
            <w:tcW w:type="dxa" w:w="1417"/>
            <w:shd w:val="clear" w:color="auto" w:fill="EBF3F8"/>
          </w:tcPr>
          <w:p>
            <w:pPr>
              <w:jc w:val="center"/>
            </w:pPr>
            <w:r>
              <w:rPr>
                <w:sz w:val="20"/>
              </w:rPr>
              <w:t>192</w:t>
            </w:r>
          </w:p>
        </w:tc>
      </w:tr>
      <w:tr>
        <w:tc>
          <w:tcPr>
            <w:tcW w:type="dxa" w:w="1417"/>
            <w:shd w:val="clear" w:color="auto" w:fill="FFFFFF"/>
          </w:tcPr>
          <w:p>
            <w:pPr>
              <w:jc w:val="center"/>
            </w:pPr>
            <w:r>
              <w:rPr>
                <w:sz w:val="20"/>
              </w:rPr>
              <w:t>Stage 1</w:t>
            </w:r>
          </w:p>
        </w:tc>
        <w:tc>
          <w:tcPr>
            <w:tcW w:type="dxa" w:w="4535"/>
            <w:shd w:val="clear" w:color="auto" w:fill="FFFFFF"/>
          </w:tcPr>
          <w:p>
            <w:pPr>
              <w:jc w:val="center"/>
            </w:pPr>
            <w:r>
              <w:rPr>
                <w:sz w:val="20"/>
              </w:rPr>
              <w:t>2 × ResBlock(64)  [shortcut identité]</w:t>
            </w:r>
          </w:p>
        </w:tc>
        <w:tc>
          <w:tcPr>
            <w:tcW w:type="dxa" w:w="1417"/>
            <w:shd w:val="clear" w:color="auto" w:fill="FFFFFF"/>
          </w:tcPr>
          <w:p>
            <w:pPr>
              <w:jc w:val="center"/>
            </w:pPr>
            <w:r>
              <w:rPr>
                <w:sz w:val="20"/>
              </w:rPr>
              <w:t>64</w:t>
            </w:r>
          </w:p>
        </w:tc>
        <w:tc>
          <w:tcPr>
            <w:tcW w:type="dxa" w:w="1417"/>
            <w:shd w:val="clear" w:color="auto" w:fill="FFFFFF"/>
          </w:tcPr>
          <w:p>
            <w:pPr>
              <w:jc w:val="center"/>
            </w:pPr>
            <w:r>
              <w:rPr>
                <w:sz w:val="20"/>
              </w:rPr>
              <w:t>~49 920</w:t>
            </w:r>
          </w:p>
        </w:tc>
      </w:tr>
      <w:tr>
        <w:tc>
          <w:tcPr>
            <w:tcW w:type="dxa" w:w="1417"/>
            <w:shd w:val="clear" w:color="auto" w:fill="EBF3F8"/>
          </w:tcPr>
          <w:p>
            <w:pPr>
              <w:jc w:val="center"/>
            </w:pPr>
            <w:r>
              <w:rPr>
                <w:sz w:val="20"/>
              </w:rPr>
              <w:t>Stage 2</w:t>
            </w:r>
          </w:p>
        </w:tc>
        <w:tc>
          <w:tcPr>
            <w:tcW w:type="dxa" w:w="4535"/>
            <w:shd w:val="clear" w:color="auto" w:fill="EBF3F8"/>
          </w:tcPr>
          <w:p>
            <w:pPr>
              <w:jc w:val="center"/>
            </w:pPr>
            <w:r>
              <w:rPr>
                <w:sz w:val="20"/>
              </w:rPr>
              <w:t>2 × ResBlock(128) [+ projection 64→128]</w:t>
            </w:r>
          </w:p>
        </w:tc>
        <w:tc>
          <w:tcPr>
            <w:tcW w:type="dxa" w:w="1417"/>
            <w:shd w:val="clear" w:color="auto" w:fill="EBF3F8"/>
          </w:tcPr>
          <w:p>
            <w:pPr>
              <w:jc w:val="center"/>
            </w:pPr>
            <w:r>
              <w:rPr>
                <w:sz w:val="20"/>
              </w:rPr>
              <w:t>128</w:t>
            </w:r>
          </w:p>
        </w:tc>
        <w:tc>
          <w:tcPr>
            <w:tcW w:type="dxa" w:w="1417"/>
            <w:shd w:val="clear" w:color="auto" w:fill="EBF3F8"/>
          </w:tcPr>
          <w:p>
            <w:pPr>
              <w:jc w:val="center"/>
            </w:pPr>
            <w:r>
              <w:rPr>
                <w:sz w:val="20"/>
              </w:rPr>
              <w:t>~182 400</w:t>
            </w:r>
          </w:p>
        </w:tc>
      </w:tr>
      <w:tr>
        <w:tc>
          <w:tcPr>
            <w:tcW w:type="dxa" w:w="1417"/>
            <w:shd w:val="clear" w:color="auto" w:fill="FFFFFF"/>
          </w:tcPr>
          <w:p>
            <w:pPr>
              <w:jc w:val="center"/>
            </w:pPr>
            <w:r>
              <w:rPr>
                <w:sz w:val="20"/>
              </w:rPr>
              <w:t>Stage 3</w:t>
            </w:r>
          </w:p>
        </w:tc>
        <w:tc>
          <w:tcPr>
            <w:tcW w:type="dxa" w:w="4535"/>
            <w:shd w:val="clear" w:color="auto" w:fill="FFFFFF"/>
          </w:tcPr>
          <w:p>
            <w:pPr>
              <w:jc w:val="center"/>
            </w:pPr>
            <w:r>
              <w:rPr>
                <w:sz w:val="20"/>
              </w:rPr>
              <w:t>1 × ResBlock(256) [+ projection 128→256]</w:t>
            </w:r>
          </w:p>
        </w:tc>
        <w:tc>
          <w:tcPr>
            <w:tcW w:type="dxa" w:w="1417"/>
            <w:shd w:val="clear" w:color="auto" w:fill="FFFFFF"/>
          </w:tcPr>
          <w:p>
            <w:pPr>
              <w:jc w:val="center"/>
            </w:pPr>
            <w:r>
              <w:rPr>
                <w:sz w:val="20"/>
              </w:rPr>
              <w:t>256</w:t>
            </w:r>
          </w:p>
        </w:tc>
        <w:tc>
          <w:tcPr>
            <w:tcW w:type="dxa" w:w="1417"/>
            <w:shd w:val="clear" w:color="auto" w:fill="FFFFFF"/>
          </w:tcPr>
          <w:p>
            <w:pPr>
              <w:jc w:val="center"/>
            </w:pPr>
            <w:r>
              <w:rPr>
                <w:sz w:val="20"/>
              </w:rPr>
              <w:t>~330 496</w:t>
            </w:r>
          </w:p>
        </w:tc>
      </w:tr>
      <w:tr>
        <w:tc>
          <w:tcPr>
            <w:tcW w:type="dxa" w:w="1417"/>
            <w:shd w:val="clear" w:color="auto" w:fill="EBF3F8"/>
          </w:tcPr>
          <w:p>
            <w:pPr>
              <w:jc w:val="center"/>
            </w:pPr>
            <w:r>
              <w:rPr>
                <w:sz w:val="20"/>
              </w:rPr>
              <w:t>Tête</w:t>
            </w:r>
          </w:p>
        </w:tc>
        <w:tc>
          <w:tcPr>
            <w:tcW w:type="dxa" w:w="4535"/>
            <w:shd w:val="clear" w:color="auto" w:fill="EBF3F8"/>
          </w:tcPr>
          <w:p>
            <w:pPr>
              <w:jc w:val="center"/>
            </w:pPr>
            <w:r>
              <w:rPr>
                <w:sz w:val="20"/>
              </w:rPr>
              <w:t>GlobalAvgPool + Dense(128) + Dropout(0.3) + Dense(3)</w:t>
            </w:r>
          </w:p>
        </w:tc>
        <w:tc>
          <w:tcPr>
            <w:tcW w:type="dxa" w:w="1417"/>
            <w:shd w:val="clear" w:color="auto" w:fill="EBF3F8"/>
          </w:tcPr>
          <w:p>
            <w:pPr>
              <w:jc w:val="center"/>
            </w:pPr>
            <w:r>
              <w:rPr>
                <w:sz w:val="20"/>
              </w:rPr>
              <w:t>—</w:t>
            </w:r>
          </w:p>
        </w:tc>
        <w:tc>
          <w:tcPr>
            <w:tcW w:type="dxa" w:w="1417"/>
            <w:shd w:val="clear" w:color="auto" w:fill="EBF3F8"/>
          </w:tcPr>
          <w:p>
            <w:pPr>
              <w:jc w:val="center"/>
            </w:pPr>
            <w:r>
              <w:rPr>
                <w:sz w:val="20"/>
              </w:rPr>
              <w:t>33 283</w:t>
            </w:r>
          </w:p>
        </w:tc>
      </w:tr>
    </w:tbl>
    <w:p/>
    <w:p>
      <w:pPr>
        <w:spacing w:after="80" w:before="0"/>
      </w:pPr>
      <w:r>
        <w:rPr>
          <w:rFonts w:ascii="Calibri" w:hAnsi="Calibri"/>
          <w:b/>
          <w:i w:val="0"/>
          <w:sz w:val="22"/>
        </w:rPr>
        <w:t>Total paramètres : 597 443  |  Régularisation : L2(1e-4) + Dropout + Skip connections</w:t>
      </w:r>
    </w:p>
    <w:p>
      <w:r>
        <w:br w:type="page"/>
      </w:r>
    </w:p>
    <w:p>
      <w:pPr>
        <w:pStyle w:val="Heading1"/>
      </w:pPr>
      <w:r>
        <w:rPr>
          <w:color w:val="1A537A"/>
          <w:sz w:val="32"/>
        </w:rPr>
        <w:t>6. Entraînement</w:t>
      </w:r>
    </w:p>
    <w:p>
      <w:pPr>
        <w:pStyle w:val="Heading2"/>
      </w:pPr>
      <w:r>
        <w:rPr>
          <w:color w:val="2E7DA8"/>
          <w:sz w:val="26"/>
        </w:rPr>
        <w:t>6.1 Hyperparamètres</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1A537A"/>
          </w:tcPr>
          <w:p>
            <w:pPr>
              <w:jc w:val="center"/>
            </w:pPr>
            <w:r>
              <w:rPr>
                <w:b/>
                <w:color w:val="FFFFFF"/>
                <w:sz w:val="20"/>
              </w:rPr>
              <w:t>Paramètre</w:t>
            </w:r>
          </w:p>
        </w:tc>
        <w:tc>
          <w:tcPr>
            <w:tcW w:type="dxa" w:w="2268"/>
            <w:shd w:val="clear" w:color="auto" w:fill="1A537A"/>
          </w:tcPr>
          <w:p>
            <w:pPr>
              <w:jc w:val="center"/>
            </w:pPr>
            <w:r>
              <w:rPr>
                <w:b/>
                <w:color w:val="FFFFFF"/>
                <w:sz w:val="20"/>
              </w:rPr>
              <w:t>Valeur</w:t>
            </w:r>
          </w:p>
        </w:tc>
        <w:tc>
          <w:tcPr>
            <w:tcW w:type="dxa" w:w="4252"/>
            <w:shd w:val="clear" w:color="auto" w:fill="1A537A"/>
          </w:tcPr>
          <w:p>
            <w:pPr>
              <w:jc w:val="center"/>
            </w:pPr>
            <w:r>
              <w:rPr>
                <w:b/>
                <w:color w:val="FFFFFF"/>
                <w:sz w:val="20"/>
              </w:rPr>
              <w:t>Justification</w:t>
            </w:r>
          </w:p>
        </w:tc>
      </w:tr>
      <w:tr>
        <w:tc>
          <w:tcPr>
            <w:tcW w:type="dxa" w:w="2268"/>
            <w:shd w:val="clear" w:color="auto" w:fill="EBF3F8"/>
          </w:tcPr>
          <w:p>
            <w:pPr>
              <w:jc w:val="center"/>
            </w:pPr>
            <w:r>
              <w:rPr>
                <w:sz w:val="20"/>
              </w:rPr>
              <w:t>Optimiseur</w:t>
            </w:r>
          </w:p>
        </w:tc>
        <w:tc>
          <w:tcPr>
            <w:tcW w:type="dxa" w:w="2268"/>
            <w:shd w:val="clear" w:color="auto" w:fill="EBF3F8"/>
          </w:tcPr>
          <w:p>
            <w:pPr>
              <w:jc w:val="center"/>
            </w:pPr>
            <w:r>
              <w:rPr>
                <w:sz w:val="20"/>
              </w:rPr>
              <w:t>Adam (lr = 1e-3)</w:t>
            </w:r>
          </w:p>
        </w:tc>
        <w:tc>
          <w:tcPr>
            <w:tcW w:type="dxa" w:w="4252"/>
            <w:shd w:val="clear" w:color="auto" w:fill="EBF3F8"/>
          </w:tcPr>
          <w:p>
            <w:pPr>
              <w:jc w:val="center"/>
            </w:pPr>
            <w:r>
              <w:rPr>
                <w:sz w:val="20"/>
              </w:rPr>
              <w:t>Adaptatif, convergence rapide, standard deep learning</w:t>
            </w:r>
          </w:p>
        </w:tc>
      </w:tr>
      <w:tr>
        <w:tc>
          <w:tcPr>
            <w:tcW w:type="dxa" w:w="2268"/>
            <w:shd w:val="clear" w:color="auto" w:fill="FFFFFF"/>
          </w:tcPr>
          <w:p>
            <w:pPr>
              <w:jc w:val="center"/>
            </w:pPr>
            <w:r>
              <w:rPr>
                <w:sz w:val="20"/>
              </w:rPr>
              <w:t>Fonction de perte</w:t>
            </w:r>
          </w:p>
        </w:tc>
        <w:tc>
          <w:tcPr>
            <w:tcW w:type="dxa" w:w="2268"/>
            <w:shd w:val="clear" w:color="auto" w:fill="FFFFFF"/>
          </w:tcPr>
          <w:p>
            <w:pPr>
              <w:jc w:val="center"/>
            </w:pPr>
            <w:r>
              <w:rPr>
                <w:sz w:val="20"/>
              </w:rPr>
              <w:t>Sparse Categorical Crossentropy</w:t>
            </w:r>
          </w:p>
        </w:tc>
        <w:tc>
          <w:tcPr>
            <w:tcW w:type="dxa" w:w="4252"/>
            <w:shd w:val="clear" w:color="auto" w:fill="FFFFFF"/>
          </w:tcPr>
          <w:p>
            <w:pPr>
              <w:jc w:val="center"/>
            </w:pPr>
            <w:r>
              <w:rPr>
                <w:sz w:val="20"/>
              </w:rPr>
              <w:t>Classification multi-classes — labels entiers</w:t>
            </w:r>
          </w:p>
        </w:tc>
      </w:tr>
      <w:tr>
        <w:tc>
          <w:tcPr>
            <w:tcW w:type="dxa" w:w="2268"/>
            <w:shd w:val="clear" w:color="auto" w:fill="EBF3F8"/>
          </w:tcPr>
          <w:p>
            <w:pPr>
              <w:jc w:val="center"/>
            </w:pPr>
            <w:r>
              <w:rPr>
                <w:sz w:val="20"/>
              </w:rPr>
              <w:t>Batch size</w:t>
            </w:r>
          </w:p>
        </w:tc>
        <w:tc>
          <w:tcPr>
            <w:tcW w:type="dxa" w:w="2268"/>
            <w:shd w:val="clear" w:color="auto" w:fill="EBF3F8"/>
          </w:tcPr>
          <w:p>
            <w:pPr>
              <w:jc w:val="center"/>
            </w:pPr>
            <w:r>
              <w:rPr>
                <w:sz w:val="20"/>
              </w:rPr>
              <w:t>32</w:t>
            </w:r>
          </w:p>
        </w:tc>
        <w:tc>
          <w:tcPr>
            <w:tcW w:type="dxa" w:w="4252"/>
            <w:shd w:val="clear" w:color="auto" w:fill="EBF3F8"/>
          </w:tcPr>
          <w:p>
            <w:pPr>
              <w:jc w:val="center"/>
            </w:pPr>
            <w:r>
              <w:rPr>
                <w:sz w:val="20"/>
              </w:rPr>
              <w:t>Compromis vitesse/stabilité du gradient stochastique</w:t>
            </w:r>
          </w:p>
        </w:tc>
      </w:tr>
      <w:tr>
        <w:tc>
          <w:tcPr>
            <w:tcW w:type="dxa" w:w="2268"/>
            <w:shd w:val="clear" w:color="auto" w:fill="FFFFFF"/>
          </w:tcPr>
          <w:p>
            <w:pPr>
              <w:jc w:val="center"/>
            </w:pPr>
            <w:r>
              <w:rPr>
                <w:sz w:val="20"/>
              </w:rPr>
              <w:t>Époques maximum</w:t>
            </w:r>
          </w:p>
        </w:tc>
        <w:tc>
          <w:tcPr>
            <w:tcW w:type="dxa" w:w="2268"/>
            <w:shd w:val="clear" w:color="auto" w:fill="FFFFFF"/>
          </w:tcPr>
          <w:p>
            <w:pPr>
              <w:jc w:val="center"/>
            </w:pPr>
            <w:r>
              <w:rPr>
                <w:sz w:val="20"/>
              </w:rPr>
              <w:t>50</w:t>
            </w:r>
          </w:p>
        </w:tc>
        <w:tc>
          <w:tcPr>
            <w:tcW w:type="dxa" w:w="4252"/>
            <w:shd w:val="clear" w:color="auto" w:fill="FFFFFF"/>
          </w:tcPr>
          <w:p>
            <w:pPr>
              <w:jc w:val="center"/>
            </w:pPr>
            <w:r>
              <w:rPr>
                <w:sz w:val="20"/>
              </w:rPr>
              <w:t>EarlyStopping arrête avant si nécessaire</w:t>
            </w:r>
          </w:p>
        </w:tc>
      </w:tr>
      <w:tr>
        <w:tc>
          <w:tcPr>
            <w:tcW w:type="dxa" w:w="2268"/>
            <w:shd w:val="clear" w:color="auto" w:fill="EBF3F8"/>
          </w:tcPr>
          <w:p>
            <w:pPr>
              <w:jc w:val="center"/>
            </w:pPr>
            <w:r>
              <w:rPr>
                <w:sz w:val="20"/>
              </w:rPr>
              <w:t>Validation split</w:t>
            </w:r>
          </w:p>
        </w:tc>
        <w:tc>
          <w:tcPr>
            <w:tcW w:type="dxa" w:w="2268"/>
            <w:shd w:val="clear" w:color="auto" w:fill="EBF3F8"/>
          </w:tcPr>
          <w:p>
            <w:pPr>
              <w:jc w:val="center"/>
            </w:pPr>
            <w:r>
              <w:rPr>
                <w:sz w:val="20"/>
              </w:rPr>
              <w:t>15% du train</w:t>
            </w:r>
          </w:p>
        </w:tc>
        <w:tc>
          <w:tcPr>
            <w:tcW w:type="dxa" w:w="4252"/>
            <w:shd w:val="clear" w:color="auto" w:fill="EBF3F8"/>
          </w:tcPr>
          <w:p>
            <w:pPr>
              <w:jc w:val="center"/>
            </w:pPr>
            <w:r>
              <w:rPr>
                <w:sz w:val="20"/>
              </w:rPr>
              <w:t>Suivi de la généralisation pendant l'entraînement</w:t>
            </w:r>
          </w:p>
        </w:tc>
      </w:tr>
      <w:tr>
        <w:tc>
          <w:tcPr>
            <w:tcW w:type="dxa" w:w="2268"/>
            <w:shd w:val="clear" w:color="auto" w:fill="FFFFFF"/>
          </w:tcPr>
          <w:p>
            <w:pPr>
              <w:jc w:val="center"/>
            </w:pPr>
            <w:r>
              <w:rPr>
                <w:sz w:val="20"/>
              </w:rPr>
              <w:t>Régularisation L2</w:t>
            </w:r>
          </w:p>
        </w:tc>
        <w:tc>
          <w:tcPr>
            <w:tcW w:type="dxa" w:w="2268"/>
            <w:shd w:val="clear" w:color="auto" w:fill="FFFFFF"/>
          </w:tcPr>
          <w:p>
            <w:pPr>
              <w:jc w:val="center"/>
            </w:pPr>
            <w:r>
              <w:rPr>
                <w:sz w:val="20"/>
              </w:rPr>
              <w:t>λ = 1e-4</w:t>
            </w:r>
          </w:p>
        </w:tc>
        <w:tc>
          <w:tcPr>
            <w:tcW w:type="dxa" w:w="4252"/>
            <w:shd w:val="clear" w:color="auto" w:fill="FFFFFF"/>
          </w:tcPr>
          <w:p>
            <w:pPr>
              <w:jc w:val="center"/>
            </w:pPr>
            <w:r>
              <w:rPr>
                <w:sz w:val="20"/>
              </w:rPr>
              <w:t>Pénalise les grands poids — réduit le sur-apprentissage</w:t>
            </w:r>
          </w:p>
        </w:tc>
      </w:tr>
    </w:tbl>
    <w:p/>
    <w:p>
      <w:pPr>
        <w:pStyle w:val="Heading2"/>
      </w:pPr>
      <w:r>
        <w:rPr>
          <w:color w:val="2E7DA8"/>
          <w:sz w:val="26"/>
        </w:rPr>
        <w:t>6.2 Callbacks Keras</w:t>
      </w:r>
    </w:p>
    <w:p>
      <w:pPr>
        <w:pStyle w:val="ListBullet"/>
        <w:ind w:left="850"/>
      </w:pPr>
      <w:r>
        <w:rPr>
          <w:b/>
          <w:sz w:val="22"/>
        </w:rPr>
        <w:t xml:space="preserve">EarlyStopping (patience=10, restore_best_weights=True) : </w:t>
      </w:r>
      <w:r>
        <w:rPr>
          <w:sz w:val="22"/>
        </w:rPr>
        <w:t>Arrête l'entraînement si val_loss ne s'améliore plus pendant 10 époques et restaure automatiquement les poids de la meilleure époque. Évite le sur-apprentissage et réduit le temps de calcul.</w:t>
      </w:r>
    </w:p>
    <w:p>
      <w:pPr>
        <w:pStyle w:val="ListBullet"/>
        <w:ind w:left="850"/>
      </w:pPr>
      <w:r>
        <w:rPr>
          <w:b/>
          <w:sz w:val="22"/>
        </w:rPr>
        <w:t xml:space="preserve">ReduceLROnPlateau (patience=5, factor=0.5, min_lr=1e-6) : </w:t>
      </w:r>
      <w:r>
        <w:rPr>
          <w:sz w:val="22"/>
        </w:rPr>
        <w:t>Divise le taux d'apprentissage par 2 si val_loss stagne 5 époques. Permet de sortir des plateaux de convergence en affinant les poids dans un voisinage plus restreint.</w:t>
      </w:r>
    </w:p>
    <w:p>
      <w:pPr>
        <w:pStyle w:val="ListBullet"/>
        <w:ind w:left="850"/>
      </w:pPr>
      <w:r>
        <w:rPr>
          <w:b/>
          <w:sz w:val="22"/>
        </w:rPr>
        <w:t xml:space="preserve">ModelCheckpoint (save_best_only=True) : </w:t>
      </w:r>
      <w:r>
        <w:rPr>
          <w:sz w:val="22"/>
        </w:rPr>
        <w:t>Sauvegarde automatiquement le modèle dont la val_loss est minimale. Permet la réutilisation du meilleur état sans ré-entraîner.</w:t>
      </w:r>
    </w:p>
    <w:p>
      <w:pPr>
        <w:pStyle w:val="Heading2"/>
      </w:pPr>
      <w:r>
        <w:rPr>
          <w:color w:val="2E7DA8"/>
          <w:sz w:val="26"/>
        </w:rPr>
        <w:t>6.3 Courbes d'entraînement</w:t>
      </w:r>
    </w:p>
    <w:p>
      <w:pPr>
        <w:spacing w:after="80" w:before="0"/>
      </w:pPr>
      <w:r>
        <w:rPr>
          <w:rFonts w:ascii="Calibri" w:hAnsi="Calibri"/>
          <w:b w:val="0"/>
          <w:i w:val="0"/>
          <w:sz w:val="22"/>
        </w:rPr>
        <w:t>AlexNet-1D (Figure 8a) a convergé très rapidement : la meilleure époque est l'époque 2, avec val_loss = 0.543. L'EarlyStopping a été déclenché à l'époque 12. La loss d'entraînement est artificiellement haute (effet des class_weight élevés sur les classes rares), mais la val_loss est faible dès le début.</w:t>
      </w:r>
    </w:p>
    <w:p>
      <w:pPr>
        <w:jc w:val="center"/>
      </w:pPr>
      <w:r>
        <w:drawing>
          <wp:inline xmlns:a="http://schemas.openxmlformats.org/drawingml/2006/main" xmlns:pic="http://schemas.openxmlformats.org/drawingml/2006/picture">
            <wp:extent cx="4680000" cy="1558251"/>
            <wp:docPr id="8" name="Picture 8"/>
            <wp:cNvGraphicFramePr>
              <a:graphicFrameLocks noChangeAspect="1"/>
            </wp:cNvGraphicFramePr>
            <a:graphic>
              <a:graphicData uri="http://schemas.openxmlformats.org/drawingml/2006/picture">
                <pic:pic>
                  <pic:nvPicPr>
                    <pic:cNvPr id="0" name="08_courbes_alexnet_1d.png"/>
                    <pic:cNvPicPr/>
                  </pic:nvPicPr>
                  <pic:blipFill>
                    <a:blip r:embed="rId16"/>
                    <a:stretch>
                      <a:fillRect/>
                    </a:stretch>
                  </pic:blipFill>
                  <pic:spPr>
                    <a:xfrm>
                      <a:off x="0" y="0"/>
                      <a:ext cx="4680000" cy="1558251"/>
                    </a:xfrm>
                    <a:prstGeom prst="rect"/>
                  </pic:spPr>
                </pic:pic>
              </a:graphicData>
            </a:graphic>
          </wp:inline>
        </w:drawing>
      </w:r>
    </w:p>
    <w:p>
      <w:pPr>
        <w:spacing w:after="200"/>
        <w:jc w:val="center"/>
      </w:pPr>
      <w:r>
        <w:rPr>
          <w:i/>
          <w:color w:val="555555"/>
          <w:sz w:val="18"/>
        </w:rPr>
        <w:t>Figure 8a — Courbes d'entraînement AlexNet-1D (loss et accuracy)</w:t>
      </w:r>
    </w:p>
    <w:p>
      <w:pPr>
        <w:spacing w:after="80" w:before="0"/>
      </w:pPr>
      <w:r>
        <w:rPr>
          <w:rFonts w:ascii="Calibri" w:hAnsi="Calibri"/>
          <w:b w:val="0"/>
          <w:i w:val="0"/>
          <w:sz w:val="22"/>
        </w:rPr>
        <w:t>ResNet-1D (Figure 8b) a suivi une progression plus régulière sur les 50 époques complètes. La val_accuracy finale atteint 100% sur le set de validation (issu du train SMOTE équilibré) et la val_loss descend à 0.0602 — une convergence excellente facilitée par le dataset synthétiquement équilibré.</w:t>
      </w:r>
    </w:p>
    <w:p>
      <w:pPr>
        <w:jc w:val="center"/>
      </w:pPr>
      <w:r>
        <w:drawing>
          <wp:inline xmlns:a="http://schemas.openxmlformats.org/drawingml/2006/main" xmlns:pic="http://schemas.openxmlformats.org/drawingml/2006/picture">
            <wp:extent cx="4680000" cy="1558251"/>
            <wp:docPr id="9" name="Picture 9"/>
            <wp:cNvGraphicFramePr>
              <a:graphicFrameLocks noChangeAspect="1"/>
            </wp:cNvGraphicFramePr>
            <a:graphic>
              <a:graphicData uri="http://schemas.openxmlformats.org/drawingml/2006/picture">
                <pic:pic>
                  <pic:nvPicPr>
                    <pic:cNvPr id="0" name="08_courbes_resnet_1d.png"/>
                    <pic:cNvPicPr/>
                  </pic:nvPicPr>
                  <pic:blipFill>
                    <a:blip r:embed="rId17"/>
                    <a:stretch>
                      <a:fillRect/>
                    </a:stretch>
                  </pic:blipFill>
                  <pic:spPr>
                    <a:xfrm>
                      <a:off x="0" y="0"/>
                      <a:ext cx="4680000" cy="1558251"/>
                    </a:xfrm>
                    <a:prstGeom prst="rect"/>
                  </pic:spPr>
                </pic:pic>
              </a:graphicData>
            </a:graphic>
          </wp:inline>
        </w:drawing>
      </w:r>
    </w:p>
    <w:p>
      <w:pPr>
        <w:spacing w:after="200"/>
        <w:jc w:val="center"/>
      </w:pPr>
      <w:r>
        <w:rPr>
          <w:i/>
          <w:color w:val="555555"/>
          <w:sz w:val="18"/>
        </w:rPr>
        <w:t>Figure 8b — Courbes d'entraînement ResNet-1D (loss et accuracy)</w:t>
      </w:r>
    </w:p>
    <w:p>
      <w:r>
        <w:br w:type="page"/>
      </w:r>
    </w:p>
    <w:p>
      <w:pPr>
        <w:pStyle w:val="Heading1"/>
      </w:pPr>
      <w:r>
        <w:rPr>
          <w:color w:val="1A537A"/>
          <w:sz w:val="32"/>
        </w:rPr>
        <w:t>7. Résultats et Évaluation</w:t>
      </w:r>
    </w:p>
    <w:p>
      <w:pPr>
        <w:pStyle w:val="Heading2"/>
      </w:pPr>
      <w:r>
        <w:rPr>
          <w:color w:val="2E7DA8"/>
          <w:sz w:val="26"/>
        </w:rPr>
        <w:t>7.1 Tableau comparatif global</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701"/>
            <w:shd w:val="clear" w:color="auto" w:fill="1A537A"/>
          </w:tcPr>
          <w:p>
            <w:pPr>
              <w:jc w:val="center"/>
            </w:pPr>
            <w:r>
              <w:rPr>
                <w:b/>
                <w:color w:val="FFFFFF"/>
                <w:sz w:val="20"/>
              </w:rPr>
              <w:t>Modèle</w:t>
            </w:r>
          </w:p>
        </w:tc>
        <w:tc>
          <w:tcPr>
            <w:tcW w:type="dxa" w:w="1701"/>
            <w:shd w:val="clear" w:color="auto" w:fill="1A537A"/>
          </w:tcPr>
          <w:p>
            <w:pPr>
              <w:jc w:val="center"/>
            </w:pPr>
            <w:r>
              <w:rPr>
                <w:b/>
                <w:color w:val="FFFFFF"/>
                <w:sz w:val="20"/>
              </w:rPr>
              <w:t>Stratégie</w:t>
            </w:r>
          </w:p>
        </w:tc>
        <w:tc>
          <w:tcPr>
            <w:tcW w:type="dxa" w:w="1417"/>
            <w:shd w:val="clear" w:color="auto" w:fill="1A537A"/>
          </w:tcPr>
          <w:p>
            <w:pPr>
              <w:jc w:val="center"/>
            </w:pPr>
            <w:r>
              <w:rPr>
                <w:b/>
                <w:color w:val="FFFFFF"/>
                <w:sz w:val="20"/>
              </w:rPr>
              <w:t>Accuracy</w:t>
            </w:r>
          </w:p>
        </w:tc>
        <w:tc>
          <w:tcPr>
            <w:tcW w:type="dxa" w:w="1417"/>
            <w:shd w:val="clear" w:color="auto" w:fill="1A537A"/>
          </w:tcPr>
          <w:p>
            <w:pPr>
              <w:jc w:val="center"/>
            </w:pPr>
            <w:r>
              <w:rPr>
                <w:b/>
                <w:color w:val="FFFFFF"/>
                <w:sz w:val="20"/>
              </w:rPr>
              <w:t>Precision</w:t>
            </w:r>
          </w:p>
        </w:tc>
        <w:tc>
          <w:tcPr>
            <w:tcW w:type="dxa" w:w="1417"/>
            <w:shd w:val="clear" w:color="auto" w:fill="1A537A"/>
          </w:tcPr>
          <w:p>
            <w:pPr>
              <w:jc w:val="center"/>
            </w:pPr>
            <w:r>
              <w:rPr>
                <w:b/>
                <w:color w:val="FFFFFF"/>
                <w:sz w:val="20"/>
              </w:rPr>
              <w:t>Recall</w:t>
            </w:r>
          </w:p>
        </w:tc>
        <w:tc>
          <w:tcPr>
            <w:tcW w:type="dxa" w:w="1417"/>
            <w:shd w:val="clear" w:color="auto" w:fill="1A537A"/>
          </w:tcPr>
          <w:p>
            <w:pPr>
              <w:jc w:val="center"/>
            </w:pPr>
            <w:r>
              <w:rPr>
                <w:b/>
                <w:color w:val="FFFFFF"/>
                <w:sz w:val="20"/>
              </w:rPr>
              <w:t>F1-score</w:t>
            </w:r>
          </w:p>
        </w:tc>
        <w:tc>
          <w:tcPr>
            <w:tcW w:type="dxa" w:w="1134"/>
            <w:shd w:val="clear" w:color="auto" w:fill="1A537A"/>
          </w:tcPr>
          <w:p>
            <w:pPr>
              <w:jc w:val="center"/>
            </w:pPr>
            <w:r>
              <w:rPr>
                <w:b/>
                <w:color w:val="FFFFFF"/>
                <w:sz w:val="20"/>
              </w:rPr>
              <w:t>RMSE</w:t>
            </w:r>
          </w:p>
        </w:tc>
      </w:tr>
      <w:tr>
        <w:tc>
          <w:tcPr>
            <w:tcW w:type="dxa" w:w="1701"/>
            <w:shd w:val="clear" w:color="auto" w:fill="EBF3F8"/>
          </w:tcPr>
          <w:p>
            <w:pPr>
              <w:jc w:val="center"/>
            </w:pPr>
            <w:r>
              <w:rPr>
                <w:sz w:val="20"/>
              </w:rPr>
              <w:t>AlexNet-1D</w:t>
            </w:r>
          </w:p>
        </w:tc>
        <w:tc>
          <w:tcPr>
            <w:tcW w:type="dxa" w:w="1701"/>
            <w:shd w:val="clear" w:color="auto" w:fill="EBF3F8"/>
          </w:tcPr>
          <w:p>
            <w:pPr>
              <w:jc w:val="center"/>
            </w:pPr>
            <w:r>
              <w:rPr>
                <w:sz w:val="20"/>
              </w:rPr>
              <w:t>class_weight</w:t>
            </w:r>
          </w:p>
        </w:tc>
        <w:tc>
          <w:tcPr>
            <w:tcW w:type="dxa" w:w="1417"/>
            <w:shd w:val="clear" w:color="auto" w:fill="EBF3F8"/>
          </w:tcPr>
          <w:p>
            <w:pPr>
              <w:jc w:val="center"/>
            </w:pPr>
            <w:r>
              <w:rPr>
                <w:sz w:val="20"/>
              </w:rPr>
              <w:t>90.04%</w:t>
            </w:r>
          </w:p>
        </w:tc>
        <w:tc>
          <w:tcPr>
            <w:tcW w:type="dxa" w:w="1417"/>
            <w:shd w:val="clear" w:color="auto" w:fill="EBF3F8"/>
          </w:tcPr>
          <w:p>
            <w:pPr>
              <w:jc w:val="center"/>
            </w:pPr>
            <w:r>
              <w:rPr>
                <w:sz w:val="20"/>
              </w:rPr>
              <w:t>90.17%</w:t>
            </w:r>
          </w:p>
        </w:tc>
        <w:tc>
          <w:tcPr>
            <w:tcW w:type="dxa" w:w="1417"/>
            <w:shd w:val="clear" w:color="auto" w:fill="EBF3F8"/>
          </w:tcPr>
          <w:p>
            <w:pPr>
              <w:jc w:val="center"/>
            </w:pPr>
            <w:r>
              <w:rPr>
                <w:sz w:val="20"/>
              </w:rPr>
              <w:t>90.04%</w:t>
            </w:r>
          </w:p>
        </w:tc>
        <w:tc>
          <w:tcPr>
            <w:tcW w:type="dxa" w:w="1417"/>
            <w:shd w:val="clear" w:color="auto" w:fill="EBF3F8"/>
          </w:tcPr>
          <w:p>
            <w:pPr>
              <w:jc w:val="center"/>
            </w:pPr>
            <w:r>
              <w:rPr>
                <w:sz w:val="20"/>
              </w:rPr>
              <w:t>90.10%</w:t>
            </w:r>
          </w:p>
        </w:tc>
        <w:tc>
          <w:tcPr>
            <w:tcW w:type="dxa" w:w="1134"/>
            <w:shd w:val="clear" w:color="auto" w:fill="EBF3F8"/>
          </w:tcPr>
          <w:p>
            <w:pPr>
              <w:jc w:val="center"/>
            </w:pPr>
            <w:r>
              <w:rPr>
                <w:sz w:val="20"/>
              </w:rPr>
              <w:t>0.6334</w:t>
            </w:r>
          </w:p>
        </w:tc>
      </w:tr>
      <w:tr>
        <w:tc>
          <w:tcPr>
            <w:tcW w:type="dxa" w:w="1701"/>
            <w:shd w:val="clear" w:color="auto" w:fill="FFFFFF"/>
          </w:tcPr>
          <w:p>
            <w:pPr>
              <w:jc w:val="center"/>
            </w:pPr>
            <w:r>
              <w:rPr>
                <w:sz w:val="20"/>
              </w:rPr>
              <w:t>ResNet-1D</w:t>
            </w:r>
          </w:p>
        </w:tc>
        <w:tc>
          <w:tcPr>
            <w:tcW w:type="dxa" w:w="1701"/>
            <w:shd w:val="clear" w:color="auto" w:fill="FFFFFF"/>
          </w:tcPr>
          <w:p>
            <w:pPr>
              <w:jc w:val="center"/>
            </w:pPr>
            <w:r>
              <w:rPr>
                <w:sz w:val="20"/>
              </w:rPr>
              <w:t>SMOTE</w:t>
            </w:r>
          </w:p>
        </w:tc>
        <w:tc>
          <w:tcPr>
            <w:tcW w:type="dxa" w:w="1417"/>
            <w:shd w:val="clear" w:color="auto" w:fill="FFFFFF"/>
          </w:tcPr>
          <w:p>
            <w:pPr>
              <w:jc w:val="center"/>
            </w:pPr>
            <w:r>
              <w:rPr>
                <w:sz w:val="20"/>
              </w:rPr>
              <w:t>90.38%</w:t>
            </w:r>
          </w:p>
        </w:tc>
        <w:tc>
          <w:tcPr>
            <w:tcW w:type="dxa" w:w="1417"/>
            <w:shd w:val="clear" w:color="auto" w:fill="FFFFFF"/>
          </w:tcPr>
          <w:p>
            <w:pPr>
              <w:jc w:val="center"/>
            </w:pPr>
            <w:r>
              <w:rPr>
                <w:sz w:val="20"/>
              </w:rPr>
              <w:t>91.00%</w:t>
            </w:r>
          </w:p>
        </w:tc>
        <w:tc>
          <w:tcPr>
            <w:tcW w:type="dxa" w:w="1417"/>
            <w:shd w:val="clear" w:color="auto" w:fill="FFFFFF"/>
          </w:tcPr>
          <w:p>
            <w:pPr>
              <w:jc w:val="center"/>
            </w:pPr>
            <w:r>
              <w:rPr>
                <w:sz w:val="20"/>
              </w:rPr>
              <w:t>90.38%</w:t>
            </w:r>
          </w:p>
        </w:tc>
        <w:tc>
          <w:tcPr>
            <w:tcW w:type="dxa" w:w="1417"/>
            <w:shd w:val="clear" w:color="auto" w:fill="FFFFFF"/>
          </w:tcPr>
          <w:p>
            <w:pPr>
              <w:jc w:val="center"/>
            </w:pPr>
            <w:r>
              <w:rPr>
                <w:sz w:val="20"/>
              </w:rPr>
              <w:t>90.67%</w:t>
            </w:r>
          </w:p>
        </w:tc>
        <w:tc>
          <w:tcPr>
            <w:tcW w:type="dxa" w:w="1134"/>
            <w:shd w:val="clear" w:color="auto" w:fill="FFFFFF"/>
          </w:tcPr>
          <w:p>
            <w:pPr>
              <w:jc w:val="center"/>
            </w:pPr>
            <w:r>
              <w:rPr>
                <w:sz w:val="20"/>
              </w:rPr>
              <w:t>0.6249</w:t>
            </w:r>
          </w:p>
        </w:tc>
      </w:tr>
    </w:tbl>
    <w:p/>
    <w:p>
      <w:pPr>
        <w:spacing w:after="80" w:before="0"/>
      </w:pPr>
      <w:r>
        <w:rPr>
          <w:rFonts w:ascii="Calibri" w:hAnsi="Calibri"/>
          <w:b w:val="0"/>
          <w:i/>
          <w:sz w:val="22"/>
        </w:rPr>
        <w:t>ResNet-1D avec SMOTE obtient les meilleures performances sur tous les indicateurs. L'écart de F1-score est de +0.57% en sa faveur, et son RMSE est inférieur (-0.0085), indiquant des erreurs de classification d'amplitude légèrement plus faible.</w:t>
      </w:r>
    </w:p>
    <w:p>
      <w:pPr>
        <w:pStyle w:val="Heading2"/>
      </w:pPr>
      <w:r>
        <w:rPr>
          <w:color w:val="2E7DA8"/>
          <w:sz w:val="26"/>
        </w:rPr>
        <w:t>7.2 Rapport de classification par classe</w:t>
      </w:r>
    </w:p>
    <w:p>
      <w:pPr>
        <w:spacing w:after="80" w:before="0"/>
      </w:pPr>
      <w:r>
        <w:rPr>
          <w:rFonts w:ascii="Calibri" w:hAnsi="Calibri"/>
          <w:b/>
          <w:i w:val="0"/>
          <w:sz w:val="22"/>
        </w:rPr>
        <w:t>AlexNet-1D — Rapport détaillé (meilleure époque : 2)</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2268"/>
            <w:shd w:val="clear" w:color="auto" w:fill="1A537A"/>
          </w:tcPr>
          <w:p>
            <w:pPr>
              <w:jc w:val="center"/>
            </w:pPr>
            <w:r>
              <w:rPr>
                <w:b/>
                <w:color w:val="FFFFFF"/>
                <w:sz w:val="20"/>
              </w:rPr>
              <w:t>Classe</w:t>
            </w:r>
          </w:p>
        </w:tc>
        <w:tc>
          <w:tcPr>
            <w:tcW w:type="dxa" w:w="1417"/>
            <w:shd w:val="clear" w:color="auto" w:fill="1A537A"/>
          </w:tcPr>
          <w:p>
            <w:pPr>
              <w:jc w:val="center"/>
            </w:pPr>
            <w:r>
              <w:rPr>
                <w:b/>
                <w:color w:val="FFFFFF"/>
                <w:sz w:val="20"/>
              </w:rPr>
              <w:t>Précision</w:t>
            </w:r>
          </w:p>
        </w:tc>
        <w:tc>
          <w:tcPr>
            <w:tcW w:type="dxa" w:w="1417"/>
            <w:shd w:val="clear" w:color="auto" w:fill="1A537A"/>
          </w:tcPr>
          <w:p>
            <w:pPr>
              <w:jc w:val="center"/>
            </w:pPr>
            <w:r>
              <w:rPr>
                <w:b/>
                <w:color w:val="FFFFFF"/>
                <w:sz w:val="20"/>
              </w:rPr>
              <w:t>Rappel</w:t>
            </w:r>
          </w:p>
        </w:tc>
        <w:tc>
          <w:tcPr>
            <w:tcW w:type="dxa" w:w="1417"/>
            <w:shd w:val="clear" w:color="auto" w:fill="1A537A"/>
          </w:tcPr>
          <w:p>
            <w:pPr>
              <w:jc w:val="center"/>
            </w:pPr>
            <w:r>
              <w:rPr>
                <w:b/>
                <w:color w:val="FFFFFF"/>
                <w:sz w:val="20"/>
              </w:rPr>
              <w:t>F1-score</w:t>
            </w:r>
          </w:p>
        </w:tc>
        <w:tc>
          <w:tcPr>
            <w:tcW w:type="dxa" w:w="1417"/>
            <w:shd w:val="clear" w:color="auto" w:fill="1A537A"/>
          </w:tcPr>
          <w:p>
            <w:pPr>
              <w:jc w:val="center"/>
            </w:pPr>
            <w:r>
              <w:rPr>
                <w:b/>
                <w:color w:val="FFFFFF"/>
                <w:sz w:val="20"/>
              </w:rPr>
              <w:t>Support</w:t>
            </w:r>
          </w:p>
        </w:tc>
      </w:tr>
      <w:tr>
        <w:tc>
          <w:tcPr>
            <w:tcW w:type="dxa" w:w="2268"/>
            <w:shd w:val="clear" w:color="auto" w:fill="EBF3F8"/>
          </w:tcPr>
          <w:p>
            <w:pPr>
              <w:jc w:val="center"/>
            </w:pPr>
            <w:r>
              <w:rPr>
                <w:sz w:val="20"/>
              </w:rPr>
              <w:t>0 — Végétation</w:t>
            </w:r>
          </w:p>
        </w:tc>
        <w:tc>
          <w:tcPr>
            <w:tcW w:type="dxa" w:w="1417"/>
            <w:shd w:val="clear" w:color="auto" w:fill="EBF3F8"/>
          </w:tcPr>
          <w:p>
            <w:pPr>
              <w:jc w:val="center"/>
            </w:pPr>
            <w:r>
              <w:rPr>
                <w:sz w:val="20"/>
              </w:rPr>
              <w:t>0.95</w:t>
            </w:r>
          </w:p>
        </w:tc>
        <w:tc>
          <w:tcPr>
            <w:tcW w:type="dxa" w:w="1417"/>
            <w:shd w:val="clear" w:color="auto" w:fill="EBF3F8"/>
          </w:tcPr>
          <w:p>
            <w:pPr>
              <w:jc w:val="center"/>
            </w:pPr>
            <w:r>
              <w:rPr>
                <w:sz w:val="20"/>
              </w:rPr>
              <w:t>0.95</w:t>
            </w:r>
          </w:p>
        </w:tc>
        <w:tc>
          <w:tcPr>
            <w:tcW w:type="dxa" w:w="1417"/>
            <w:shd w:val="clear" w:color="auto" w:fill="EBF3F8"/>
          </w:tcPr>
          <w:p>
            <w:pPr>
              <w:jc w:val="center"/>
            </w:pPr>
            <w:r>
              <w:rPr>
                <w:sz w:val="20"/>
              </w:rPr>
              <w:t>0.95</w:t>
            </w:r>
          </w:p>
        </w:tc>
        <w:tc>
          <w:tcPr>
            <w:tcW w:type="dxa" w:w="1417"/>
            <w:shd w:val="clear" w:color="auto" w:fill="EBF3F8"/>
          </w:tcPr>
          <w:p>
            <w:pPr>
              <w:jc w:val="center"/>
            </w:pPr>
            <w:r>
              <w:rPr>
                <w:sz w:val="20"/>
              </w:rPr>
              <w:t>1 642</w:t>
            </w:r>
          </w:p>
        </w:tc>
      </w:tr>
      <w:tr>
        <w:tc>
          <w:tcPr>
            <w:tcW w:type="dxa" w:w="2268"/>
            <w:shd w:val="clear" w:color="auto" w:fill="FFFFFF"/>
          </w:tcPr>
          <w:p>
            <w:pPr>
              <w:jc w:val="center"/>
            </w:pPr>
            <w:r>
              <w:rPr>
                <w:sz w:val="20"/>
              </w:rPr>
              <w:t>2 — Volcan</w:t>
            </w:r>
          </w:p>
        </w:tc>
        <w:tc>
          <w:tcPr>
            <w:tcW w:type="dxa" w:w="1417"/>
            <w:shd w:val="clear" w:color="auto" w:fill="FFFFFF"/>
          </w:tcPr>
          <w:p>
            <w:pPr>
              <w:jc w:val="center"/>
            </w:pPr>
            <w:r>
              <w:rPr>
                <w:sz w:val="20"/>
              </w:rPr>
              <w:t>0.30</w:t>
            </w:r>
          </w:p>
        </w:tc>
        <w:tc>
          <w:tcPr>
            <w:tcW w:type="dxa" w:w="1417"/>
            <w:shd w:val="clear" w:color="auto" w:fill="FFFFFF"/>
          </w:tcPr>
          <w:p>
            <w:pPr>
              <w:jc w:val="center"/>
            </w:pPr>
            <w:r>
              <w:rPr>
                <w:sz w:val="20"/>
              </w:rPr>
              <w:t>0.31</w:t>
            </w:r>
          </w:p>
        </w:tc>
        <w:tc>
          <w:tcPr>
            <w:tcW w:type="dxa" w:w="1417"/>
            <w:shd w:val="clear" w:color="auto" w:fill="FFFFFF"/>
          </w:tcPr>
          <w:p>
            <w:pPr>
              <w:jc w:val="center"/>
            </w:pPr>
            <w:r>
              <w:rPr>
                <w:sz w:val="20"/>
              </w:rPr>
              <w:t>0.31</w:t>
            </w:r>
          </w:p>
        </w:tc>
        <w:tc>
          <w:tcPr>
            <w:tcW w:type="dxa" w:w="1417"/>
            <w:shd w:val="clear" w:color="auto" w:fill="FFFFFF"/>
          </w:tcPr>
          <w:p>
            <w:pPr>
              <w:jc w:val="center"/>
            </w:pPr>
            <w:r>
              <w:rPr>
                <w:sz w:val="20"/>
              </w:rPr>
              <w:t>124</w:t>
            </w:r>
          </w:p>
        </w:tc>
      </w:tr>
      <w:tr>
        <w:tc>
          <w:tcPr>
            <w:tcW w:type="dxa" w:w="2268"/>
            <w:shd w:val="clear" w:color="auto" w:fill="EBF3F8"/>
          </w:tcPr>
          <w:p>
            <w:pPr>
              <w:jc w:val="center"/>
            </w:pPr>
            <w:r>
              <w:rPr>
                <w:sz w:val="20"/>
              </w:rPr>
              <w:t>3 — Autre</w:t>
            </w:r>
          </w:p>
        </w:tc>
        <w:tc>
          <w:tcPr>
            <w:tcW w:type="dxa" w:w="1417"/>
            <w:shd w:val="clear" w:color="auto" w:fill="EBF3F8"/>
          </w:tcPr>
          <w:p>
            <w:pPr>
              <w:jc w:val="center"/>
            </w:pPr>
            <w:r>
              <w:rPr>
                <w:sz w:val="20"/>
              </w:rPr>
              <w:t>0.00</w:t>
            </w:r>
          </w:p>
        </w:tc>
        <w:tc>
          <w:tcPr>
            <w:tcW w:type="dxa" w:w="1417"/>
            <w:shd w:val="clear" w:color="auto" w:fill="EBF3F8"/>
          </w:tcPr>
          <w:p>
            <w:pPr>
              <w:jc w:val="center"/>
            </w:pPr>
            <w:r>
              <w:rPr>
                <w:sz w:val="20"/>
              </w:rPr>
              <w:t>0.00</w:t>
            </w:r>
          </w:p>
        </w:tc>
        <w:tc>
          <w:tcPr>
            <w:tcW w:type="dxa" w:w="1417"/>
            <w:shd w:val="clear" w:color="auto" w:fill="EBF3F8"/>
          </w:tcPr>
          <w:p>
            <w:pPr>
              <w:jc w:val="center"/>
            </w:pPr>
            <w:r>
              <w:rPr>
                <w:sz w:val="20"/>
              </w:rPr>
              <w:t>0.00</w:t>
            </w:r>
          </w:p>
        </w:tc>
        <w:tc>
          <w:tcPr>
            <w:tcW w:type="dxa" w:w="1417"/>
            <w:shd w:val="clear" w:color="auto" w:fill="EBF3F8"/>
          </w:tcPr>
          <w:p>
            <w:pPr>
              <w:jc w:val="center"/>
            </w:pPr>
            <w:r>
              <w:rPr>
                <w:sz w:val="20"/>
              </w:rPr>
              <w:t>1</w:t>
            </w:r>
          </w:p>
        </w:tc>
      </w:tr>
      <w:tr>
        <w:tc>
          <w:tcPr>
            <w:tcW w:type="dxa" w:w="2268"/>
            <w:shd w:val="clear" w:color="auto" w:fill="FFFFFF"/>
          </w:tcPr>
          <w:p>
            <w:pPr>
              <w:jc w:val="center"/>
            </w:pPr>
            <w:r>
              <w:rPr>
                <w:sz w:val="20"/>
              </w:rPr>
              <w:t>Weighted avg</w:t>
            </w:r>
          </w:p>
        </w:tc>
        <w:tc>
          <w:tcPr>
            <w:tcW w:type="dxa" w:w="1417"/>
            <w:shd w:val="clear" w:color="auto" w:fill="FFFFFF"/>
          </w:tcPr>
          <w:p>
            <w:pPr>
              <w:jc w:val="center"/>
            </w:pPr>
            <w:r>
              <w:rPr>
                <w:sz w:val="20"/>
              </w:rPr>
              <w:t>0.90</w:t>
            </w:r>
          </w:p>
        </w:tc>
        <w:tc>
          <w:tcPr>
            <w:tcW w:type="dxa" w:w="1417"/>
            <w:shd w:val="clear" w:color="auto" w:fill="FFFFFF"/>
          </w:tcPr>
          <w:p>
            <w:pPr>
              <w:jc w:val="center"/>
            </w:pPr>
            <w:r>
              <w:rPr>
                <w:sz w:val="20"/>
              </w:rPr>
              <w:t>0.90</w:t>
            </w:r>
          </w:p>
        </w:tc>
        <w:tc>
          <w:tcPr>
            <w:tcW w:type="dxa" w:w="1417"/>
            <w:shd w:val="clear" w:color="auto" w:fill="FFFFFF"/>
          </w:tcPr>
          <w:p>
            <w:pPr>
              <w:jc w:val="center"/>
            </w:pPr>
            <w:r>
              <w:rPr>
                <w:sz w:val="20"/>
              </w:rPr>
              <w:t>0.90</w:t>
            </w:r>
          </w:p>
        </w:tc>
        <w:tc>
          <w:tcPr>
            <w:tcW w:type="dxa" w:w="1417"/>
            <w:shd w:val="clear" w:color="auto" w:fill="FFFFFF"/>
          </w:tcPr>
          <w:p>
            <w:pPr>
              <w:jc w:val="center"/>
            </w:pPr>
            <w:r>
              <w:rPr>
                <w:sz w:val="20"/>
              </w:rPr>
              <w:t>1 767</w:t>
            </w:r>
          </w:p>
        </w:tc>
      </w:tr>
    </w:tbl>
    <w:p/>
    <w:p/>
    <w:p>
      <w:pPr>
        <w:spacing w:after="80" w:before="0"/>
      </w:pPr>
      <w:r>
        <w:rPr>
          <w:rFonts w:ascii="Calibri" w:hAnsi="Calibri"/>
          <w:b/>
          <w:i w:val="0"/>
          <w:sz w:val="22"/>
        </w:rPr>
        <w:t>ResNet-1D — Rapport détaillé (50 époques, best epoch = 50)</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2268"/>
            <w:shd w:val="clear" w:color="auto" w:fill="1A537A"/>
          </w:tcPr>
          <w:p>
            <w:pPr>
              <w:jc w:val="center"/>
            </w:pPr>
            <w:r>
              <w:rPr>
                <w:b/>
                <w:color w:val="FFFFFF"/>
                <w:sz w:val="20"/>
              </w:rPr>
              <w:t>Classe</w:t>
            </w:r>
          </w:p>
        </w:tc>
        <w:tc>
          <w:tcPr>
            <w:tcW w:type="dxa" w:w="1417"/>
            <w:shd w:val="clear" w:color="auto" w:fill="1A537A"/>
          </w:tcPr>
          <w:p>
            <w:pPr>
              <w:jc w:val="center"/>
            </w:pPr>
            <w:r>
              <w:rPr>
                <w:b/>
                <w:color w:val="FFFFFF"/>
                <w:sz w:val="20"/>
              </w:rPr>
              <w:t>Précision</w:t>
            </w:r>
          </w:p>
        </w:tc>
        <w:tc>
          <w:tcPr>
            <w:tcW w:type="dxa" w:w="1417"/>
            <w:shd w:val="clear" w:color="auto" w:fill="1A537A"/>
          </w:tcPr>
          <w:p>
            <w:pPr>
              <w:jc w:val="center"/>
            </w:pPr>
            <w:r>
              <w:rPr>
                <w:b/>
                <w:color w:val="FFFFFF"/>
                <w:sz w:val="20"/>
              </w:rPr>
              <w:t>Rappel</w:t>
            </w:r>
          </w:p>
        </w:tc>
        <w:tc>
          <w:tcPr>
            <w:tcW w:type="dxa" w:w="1417"/>
            <w:shd w:val="clear" w:color="auto" w:fill="1A537A"/>
          </w:tcPr>
          <w:p>
            <w:pPr>
              <w:jc w:val="center"/>
            </w:pPr>
            <w:r>
              <w:rPr>
                <w:b/>
                <w:color w:val="FFFFFF"/>
                <w:sz w:val="20"/>
              </w:rPr>
              <w:t>F1-score</w:t>
            </w:r>
          </w:p>
        </w:tc>
        <w:tc>
          <w:tcPr>
            <w:tcW w:type="dxa" w:w="1417"/>
            <w:shd w:val="clear" w:color="auto" w:fill="1A537A"/>
          </w:tcPr>
          <w:p>
            <w:pPr>
              <w:jc w:val="center"/>
            </w:pPr>
            <w:r>
              <w:rPr>
                <w:b/>
                <w:color w:val="FFFFFF"/>
                <w:sz w:val="20"/>
              </w:rPr>
              <w:t>Support</w:t>
            </w:r>
          </w:p>
        </w:tc>
      </w:tr>
      <w:tr>
        <w:tc>
          <w:tcPr>
            <w:tcW w:type="dxa" w:w="2268"/>
            <w:shd w:val="clear" w:color="auto" w:fill="EBF3F8"/>
          </w:tcPr>
          <w:p>
            <w:pPr>
              <w:jc w:val="center"/>
            </w:pPr>
            <w:r>
              <w:rPr>
                <w:sz w:val="20"/>
              </w:rPr>
              <w:t>0 — Végétation</w:t>
            </w:r>
          </w:p>
        </w:tc>
        <w:tc>
          <w:tcPr>
            <w:tcW w:type="dxa" w:w="1417"/>
            <w:shd w:val="clear" w:color="auto" w:fill="EBF3F8"/>
          </w:tcPr>
          <w:p>
            <w:pPr>
              <w:jc w:val="center"/>
            </w:pPr>
            <w:r>
              <w:rPr>
                <w:sz w:val="20"/>
              </w:rPr>
              <w:t>0.95</w:t>
            </w:r>
          </w:p>
        </w:tc>
        <w:tc>
          <w:tcPr>
            <w:tcW w:type="dxa" w:w="1417"/>
            <w:shd w:val="clear" w:color="auto" w:fill="EBF3F8"/>
          </w:tcPr>
          <w:p>
            <w:pPr>
              <w:jc w:val="center"/>
            </w:pPr>
            <w:r>
              <w:rPr>
                <w:sz w:val="20"/>
              </w:rPr>
              <w:t>0.94</w:t>
            </w:r>
          </w:p>
        </w:tc>
        <w:tc>
          <w:tcPr>
            <w:tcW w:type="dxa" w:w="1417"/>
            <w:shd w:val="clear" w:color="auto" w:fill="EBF3F8"/>
          </w:tcPr>
          <w:p>
            <w:pPr>
              <w:jc w:val="center"/>
            </w:pPr>
            <w:r>
              <w:rPr>
                <w:sz w:val="20"/>
              </w:rPr>
              <w:t>0.95</w:t>
            </w:r>
          </w:p>
        </w:tc>
        <w:tc>
          <w:tcPr>
            <w:tcW w:type="dxa" w:w="1417"/>
            <w:shd w:val="clear" w:color="auto" w:fill="EBF3F8"/>
          </w:tcPr>
          <w:p>
            <w:pPr>
              <w:jc w:val="center"/>
            </w:pPr>
            <w:r>
              <w:rPr>
                <w:sz w:val="20"/>
              </w:rPr>
              <w:t>1 642</w:t>
            </w:r>
          </w:p>
        </w:tc>
      </w:tr>
      <w:tr>
        <w:tc>
          <w:tcPr>
            <w:tcW w:type="dxa" w:w="2268"/>
            <w:shd w:val="clear" w:color="auto" w:fill="FFFFFF"/>
          </w:tcPr>
          <w:p>
            <w:pPr>
              <w:jc w:val="center"/>
            </w:pPr>
            <w:r>
              <w:rPr>
                <w:sz w:val="20"/>
              </w:rPr>
              <w:t>2 — Volcan</w:t>
            </w:r>
          </w:p>
        </w:tc>
        <w:tc>
          <w:tcPr>
            <w:tcW w:type="dxa" w:w="1417"/>
            <w:shd w:val="clear" w:color="auto" w:fill="FFFFFF"/>
          </w:tcPr>
          <w:p>
            <w:pPr>
              <w:jc w:val="center"/>
            </w:pPr>
            <w:r>
              <w:rPr>
                <w:sz w:val="20"/>
              </w:rPr>
              <w:t>0.35</w:t>
            </w:r>
          </w:p>
        </w:tc>
        <w:tc>
          <w:tcPr>
            <w:tcW w:type="dxa" w:w="1417"/>
            <w:shd w:val="clear" w:color="auto" w:fill="FFFFFF"/>
          </w:tcPr>
          <w:p>
            <w:pPr>
              <w:jc w:val="center"/>
            </w:pPr>
            <w:r>
              <w:rPr>
                <w:sz w:val="20"/>
              </w:rPr>
              <w:t>0.40</w:t>
            </w:r>
          </w:p>
        </w:tc>
        <w:tc>
          <w:tcPr>
            <w:tcW w:type="dxa" w:w="1417"/>
            <w:shd w:val="clear" w:color="auto" w:fill="FFFFFF"/>
          </w:tcPr>
          <w:p>
            <w:pPr>
              <w:jc w:val="center"/>
            </w:pPr>
            <w:r>
              <w:rPr>
                <w:sz w:val="20"/>
              </w:rPr>
              <w:t>0.37</w:t>
            </w:r>
          </w:p>
        </w:tc>
        <w:tc>
          <w:tcPr>
            <w:tcW w:type="dxa" w:w="1417"/>
            <w:shd w:val="clear" w:color="auto" w:fill="FFFFFF"/>
          </w:tcPr>
          <w:p>
            <w:pPr>
              <w:jc w:val="center"/>
            </w:pPr>
            <w:r>
              <w:rPr>
                <w:sz w:val="20"/>
              </w:rPr>
              <w:t>124</w:t>
            </w:r>
          </w:p>
        </w:tc>
      </w:tr>
      <w:tr>
        <w:tc>
          <w:tcPr>
            <w:tcW w:type="dxa" w:w="2268"/>
            <w:shd w:val="clear" w:color="auto" w:fill="EBF3F8"/>
          </w:tcPr>
          <w:p>
            <w:pPr>
              <w:jc w:val="center"/>
            </w:pPr>
            <w:r>
              <w:rPr>
                <w:sz w:val="20"/>
              </w:rPr>
              <w:t>3 — Autre</w:t>
            </w:r>
          </w:p>
        </w:tc>
        <w:tc>
          <w:tcPr>
            <w:tcW w:type="dxa" w:w="1417"/>
            <w:shd w:val="clear" w:color="auto" w:fill="EBF3F8"/>
          </w:tcPr>
          <w:p>
            <w:pPr>
              <w:jc w:val="center"/>
            </w:pPr>
            <w:r>
              <w:rPr>
                <w:sz w:val="20"/>
              </w:rPr>
              <w:t>0.00</w:t>
            </w:r>
          </w:p>
        </w:tc>
        <w:tc>
          <w:tcPr>
            <w:tcW w:type="dxa" w:w="1417"/>
            <w:shd w:val="clear" w:color="auto" w:fill="EBF3F8"/>
          </w:tcPr>
          <w:p>
            <w:pPr>
              <w:jc w:val="center"/>
            </w:pPr>
            <w:r>
              <w:rPr>
                <w:sz w:val="20"/>
              </w:rPr>
              <w:t>0.00</w:t>
            </w:r>
          </w:p>
        </w:tc>
        <w:tc>
          <w:tcPr>
            <w:tcW w:type="dxa" w:w="1417"/>
            <w:shd w:val="clear" w:color="auto" w:fill="EBF3F8"/>
          </w:tcPr>
          <w:p>
            <w:pPr>
              <w:jc w:val="center"/>
            </w:pPr>
            <w:r>
              <w:rPr>
                <w:sz w:val="20"/>
              </w:rPr>
              <w:t>0.00</w:t>
            </w:r>
          </w:p>
        </w:tc>
        <w:tc>
          <w:tcPr>
            <w:tcW w:type="dxa" w:w="1417"/>
            <w:shd w:val="clear" w:color="auto" w:fill="EBF3F8"/>
          </w:tcPr>
          <w:p>
            <w:pPr>
              <w:jc w:val="center"/>
            </w:pPr>
            <w:r>
              <w:rPr>
                <w:sz w:val="20"/>
              </w:rPr>
              <w:t>1</w:t>
            </w:r>
          </w:p>
        </w:tc>
      </w:tr>
      <w:tr>
        <w:tc>
          <w:tcPr>
            <w:tcW w:type="dxa" w:w="2268"/>
            <w:shd w:val="clear" w:color="auto" w:fill="FFFFFF"/>
          </w:tcPr>
          <w:p>
            <w:pPr>
              <w:jc w:val="center"/>
            </w:pPr>
            <w:r>
              <w:rPr>
                <w:sz w:val="20"/>
              </w:rPr>
              <w:t>Weighted avg</w:t>
            </w:r>
          </w:p>
        </w:tc>
        <w:tc>
          <w:tcPr>
            <w:tcW w:type="dxa" w:w="1417"/>
            <w:shd w:val="clear" w:color="auto" w:fill="FFFFFF"/>
          </w:tcPr>
          <w:p>
            <w:pPr>
              <w:jc w:val="center"/>
            </w:pPr>
            <w:r>
              <w:rPr>
                <w:sz w:val="20"/>
              </w:rPr>
              <w:t>0.91</w:t>
            </w:r>
          </w:p>
        </w:tc>
        <w:tc>
          <w:tcPr>
            <w:tcW w:type="dxa" w:w="1417"/>
            <w:shd w:val="clear" w:color="auto" w:fill="FFFFFF"/>
          </w:tcPr>
          <w:p>
            <w:pPr>
              <w:jc w:val="center"/>
            </w:pPr>
            <w:r>
              <w:rPr>
                <w:sz w:val="20"/>
              </w:rPr>
              <w:t>0.90</w:t>
            </w:r>
          </w:p>
        </w:tc>
        <w:tc>
          <w:tcPr>
            <w:tcW w:type="dxa" w:w="1417"/>
            <w:shd w:val="clear" w:color="auto" w:fill="FFFFFF"/>
          </w:tcPr>
          <w:p>
            <w:pPr>
              <w:jc w:val="center"/>
            </w:pPr>
            <w:r>
              <w:rPr>
                <w:sz w:val="20"/>
              </w:rPr>
              <w:t>0.91</w:t>
            </w:r>
          </w:p>
        </w:tc>
        <w:tc>
          <w:tcPr>
            <w:tcW w:type="dxa" w:w="1417"/>
            <w:shd w:val="clear" w:color="auto" w:fill="FFFFFF"/>
          </w:tcPr>
          <w:p>
            <w:pPr>
              <w:jc w:val="center"/>
            </w:pPr>
            <w:r>
              <w:rPr>
                <w:sz w:val="20"/>
              </w:rPr>
              <w:t>1 767</w:t>
            </w:r>
          </w:p>
        </w:tc>
      </w:tr>
    </w:tbl>
    <w:p/>
    <w:p>
      <w:pPr>
        <w:pStyle w:val="Heading2"/>
      </w:pPr>
      <w:r>
        <w:rPr>
          <w:color w:val="2E7DA8"/>
          <w:sz w:val="26"/>
        </w:rPr>
        <w:t>7.3 Matrices de confusion</w:t>
      </w:r>
    </w:p>
    <w:p>
      <w:pPr>
        <w:spacing w:after="80" w:before="0"/>
      </w:pPr>
      <w:r>
        <w:rPr>
          <w:rFonts w:ascii="Calibri" w:hAnsi="Calibri"/>
          <w:b w:val="0"/>
          <w:i w:val="0"/>
          <w:sz w:val="22"/>
        </w:rPr>
        <w:t>Les matrices de confusion (Figures 9a et 9b) permettent d'analyser les erreurs par classe. La version normalisée (droite) montre les taux de recall par classe, indépendamment des effectifs.</w:t>
      </w:r>
    </w:p>
    <w:p>
      <w:pPr>
        <w:jc w:val="center"/>
      </w:pPr>
      <w:r>
        <w:drawing>
          <wp:inline xmlns:a="http://schemas.openxmlformats.org/drawingml/2006/main" xmlns:pic="http://schemas.openxmlformats.org/drawingml/2006/picture">
            <wp:extent cx="5040000" cy="1991244"/>
            <wp:docPr id="10" name="Picture 10"/>
            <wp:cNvGraphicFramePr>
              <a:graphicFrameLocks noChangeAspect="1"/>
            </wp:cNvGraphicFramePr>
            <a:graphic>
              <a:graphicData uri="http://schemas.openxmlformats.org/drawingml/2006/picture">
                <pic:pic>
                  <pic:nvPicPr>
                    <pic:cNvPr id="0" name="09_confusion_alexnet_1d.png"/>
                    <pic:cNvPicPr/>
                  </pic:nvPicPr>
                  <pic:blipFill>
                    <a:blip r:embed="rId18"/>
                    <a:stretch>
                      <a:fillRect/>
                    </a:stretch>
                  </pic:blipFill>
                  <pic:spPr>
                    <a:xfrm>
                      <a:off x="0" y="0"/>
                      <a:ext cx="5040000" cy="1991244"/>
                    </a:xfrm>
                    <a:prstGeom prst="rect"/>
                  </pic:spPr>
                </pic:pic>
              </a:graphicData>
            </a:graphic>
          </wp:inline>
        </w:drawing>
      </w:r>
    </w:p>
    <w:p>
      <w:pPr>
        <w:spacing w:after="200"/>
        <w:jc w:val="center"/>
      </w:pPr>
      <w:r>
        <w:rPr>
          <w:i/>
          <w:color w:val="555555"/>
          <w:sz w:val="18"/>
        </w:rPr>
        <w:t>Figure 9a — Matrices de confusion AlexNet-1D (brute et normalisée)</w:t>
      </w:r>
    </w:p>
    <w:p>
      <w:pPr>
        <w:jc w:val="center"/>
      </w:pPr>
      <w:r>
        <w:drawing>
          <wp:inline xmlns:a="http://schemas.openxmlformats.org/drawingml/2006/main" xmlns:pic="http://schemas.openxmlformats.org/drawingml/2006/picture">
            <wp:extent cx="5040000" cy="1991244"/>
            <wp:docPr id="11" name="Picture 11"/>
            <wp:cNvGraphicFramePr>
              <a:graphicFrameLocks noChangeAspect="1"/>
            </wp:cNvGraphicFramePr>
            <a:graphic>
              <a:graphicData uri="http://schemas.openxmlformats.org/drawingml/2006/picture">
                <pic:pic>
                  <pic:nvPicPr>
                    <pic:cNvPr id="0" name="09_confusion_resnet_1d.png"/>
                    <pic:cNvPicPr/>
                  </pic:nvPicPr>
                  <pic:blipFill>
                    <a:blip r:embed="rId19"/>
                    <a:stretch>
                      <a:fillRect/>
                    </a:stretch>
                  </pic:blipFill>
                  <pic:spPr>
                    <a:xfrm>
                      <a:off x="0" y="0"/>
                      <a:ext cx="5040000" cy="1991244"/>
                    </a:xfrm>
                    <a:prstGeom prst="rect"/>
                  </pic:spPr>
                </pic:pic>
              </a:graphicData>
            </a:graphic>
          </wp:inline>
        </w:drawing>
      </w:r>
    </w:p>
    <w:p>
      <w:pPr>
        <w:spacing w:after="200"/>
        <w:jc w:val="center"/>
      </w:pPr>
      <w:r>
        <w:rPr>
          <w:i/>
          <w:color w:val="555555"/>
          <w:sz w:val="18"/>
        </w:rPr>
        <w:t>Figure 9b — Matrices de confusion ResNet-1D (brute et normalisée)</w:t>
      </w:r>
    </w:p>
    <w:p>
      <w:pPr>
        <w:pStyle w:val="Heading2"/>
      </w:pPr>
      <w:r>
        <w:rPr>
          <w:color w:val="2E7DA8"/>
          <w:sz w:val="26"/>
        </w:rPr>
        <w:t>7.4 Tableau comparatif final</w:t>
      </w:r>
    </w:p>
    <w:p>
      <w:pPr>
        <w:jc w:val="center"/>
      </w:pPr>
      <w:r>
        <w:drawing>
          <wp:inline xmlns:a="http://schemas.openxmlformats.org/drawingml/2006/main" xmlns:pic="http://schemas.openxmlformats.org/drawingml/2006/picture">
            <wp:extent cx="5400000" cy="3680184"/>
            <wp:docPr id="12" name="Picture 12"/>
            <wp:cNvGraphicFramePr>
              <a:graphicFrameLocks noChangeAspect="1"/>
            </wp:cNvGraphicFramePr>
            <a:graphic>
              <a:graphicData uri="http://schemas.openxmlformats.org/drawingml/2006/picture">
                <pic:pic>
                  <pic:nvPicPr>
                    <pic:cNvPr id="0" name="10_comparaison_finale.png"/>
                    <pic:cNvPicPr/>
                  </pic:nvPicPr>
                  <pic:blipFill>
                    <a:blip r:embed="rId20"/>
                    <a:stretch>
                      <a:fillRect/>
                    </a:stretch>
                  </pic:blipFill>
                  <pic:spPr>
                    <a:xfrm>
                      <a:off x="0" y="0"/>
                      <a:ext cx="5400000" cy="3680184"/>
                    </a:xfrm>
                    <a:prstGeom prst="rect"/>
                  </pic:spPr>
                </pic:pic>
              </a:graphicData>
            </a:graphic>
          </wp:inline>
        </w:drawing>
      </w:r>
    </w:p>
    <w:p>
      <w:pPr>
        <w:spacing w:after="200"/>
        <w:jc w:val="center"/>
      </w:pPr>
      <w:r>
        <w:rPr>
          <w:i/>
          <w:color w:val="555555"/>
          <w:sz w:val="18"/>
        </w:rPr>
        <w:t>Figure 10 — Tableau et graphique comparatifs des deux architectures CNN</w:t>
      </w:r>
    </w:p>
    <w:p>
      <w:r>
        <w:br w:type="page"/>
      </w:r>
    </w:p>
    <w:p>
      <w:pPr>
        <w:pStyle w:val="Heading1"/>
      </w:pPr>
      <w:r>
        <w:rPr>
          <w:color w:val="1A537A"/>
          <w:sz w:val="32"/>
        </w:rPr>
        <w:t>8. Discussion</w:t>
      </w:r>
    </w:p>
    <w:p>
      <w:pPr>
        <w:pStyle w:val="Heading2"/>
      </w:pPr>
      <w:r>
        <w:rPr>
          <w:color w:val="2E7DA8"/>
          <w:sz w:val="26"/>
        </w:rPr>
        <w:t>8.1 Analyse des résultats</w:t>
      </w:r>
    </w:p>
    <w:p>
      <w:pPr>
        <w:spacing w:after="80" w:before="0"/>
      </w:pPr>
      <w:r>
        <w:rPr>
          <w:rFonts w:ascii="Calibri" w:hAnsi="Calibri"/>
          <w:b w:val="0"/>
          <w:i w:val="0"/>
          <w:sz w:val="22"/>
        </w:rPr>
        <w:t>Les deux architectures obtiennent des performances similaires (~90% F1 pondéré), ce qui s'explique principalement par la domination de la classe 0 dans le calcul du weighted average. L'écart entre les modèles est plus significatif lorsqu'on analyse la classe 2 (volcans) :</w:t>
      </w:r>
    </w:p>
    <w:p>
      <w:pPr>
        <w:pStyle w:val="ListBullet"/>
        <w:ind w:left="850"/>
      </w:pPr>
      <w:r>
        <w:rPr>
          <w:sz w:val="22"/>
        </w:rPr>
        <w:t>AlexNet-1D : recall classe 2 = 0.31 → 31% des volcans sont correctement identifiés</w:t>
      </w:r>
    </w:p>
    <w:p>
      <w:pPr>
        <w:pStyle w:val="ListBullet"/>
        <w:ind w:left="850"/>
      </w:pPr>
      <w:r>
        <w:rPr>
          <w:sz w:val="22"/>
        </w:rPr>
        <w:t>ResNet-1D  : recall classe 2 = 0.40 → 40% des volcans détectés — gain de +29% relatif</w:t>
      </w:r>
    </w:p>
    <w:p>
      <w:pPr>
        <w:pStyle w:val="ListBullet"/>
        <w:ind w:left="850"/>
      </w:pPr>
      <w:r>
        <w:rPr>
          <w:sz w:val="22"/>
        </w:rPr>
        <w:t>Les connexions résiduelles de ResNet permettent un apprentissage plus robuste des features discriminantes des volcans (brightness élevée, FRP modéré)</w:t>
      </w:r>
    </w:p>
    <w:p>
      <w:pPr>
        <w:pStyle w:val="Heading2"/>
      </w:pPr>
      <w:r>
        <w:rPr>
          <w:color w:val="2E7DA8"/>
          <w:sz w:val="26"/>
        </w:rPr>
        <w:t>8.2 Limites identifiées</w:t>
      </w:r>
    </w:p>
    <w:p>
      <w:pPr>
        <w:pStyle w:val="ListBullet"/>
        <w:ind w:left="850"/>
      </w:pPr>
      <w:r>
        <w:rPr>
          <w:b/>
          <w:sz w:val="22"/>
        </w:rPr>
        <w:t xml:space="preserve">Classe 3 indétectable : </w:t>
      </w:r>
      <w:r>
        <w:rPr>
          <w:sz w:val="22"/>
        </w:rPr>
        <w:t>Avec seulement 7 exemples dans l'ensemble complet (1 en test), cette classe est statistiquement impossible à apprendre. F1 = 0.00 pour les deux modèles.</w:t>
      </w:r>
    </w:p>
    <w:p>
      <w:pPr>
        <w:pStyle w:val="ListBullet"/>
        <w:ind w:left="850"/>
      </w:pPr>
      <w:r>
        <w:rPr>
          <w:b/>
          <w:sz w:val="22"/>
        </w:rPr>
        <w:t xml:space="preserve">Limite de SMOTE sur données mixtes : </w:t>
      </w:r>
      <w:r>
        <w:rPr>
          <w:sz w:val="22"/>
        </w:rPr>
        <w:t>Les features binaires (satellite, daynight, mois) génèrent des valeurs interpolées non réalistes lors de SMOTE (ex. satellite = 0.37). SMOTE-NC serait plus approprié pour les données mixtes continues/catégorielles.</w:t>
      </w:r>
    </w:p>
    <w:p>
      <w:pPr>
        <w:pStyle w:val="ListBullet"/>
        <w:ind w:left="850"/>
      </w:pPr>
      <w:r>
        <w:rPr>
          <w:b/>
          <w:sz w:val="22"/>
        </w:rPr>
        <w:t xml:space="preserve">Séquence courte (12 features) : </w:t>
      </w:r>
      <w:r>
        <w:rPr>
          <w:sz w:val="22"/>
        </w:rPr>
        <w:t>La longueur de séquence limite la profondeur effective des CNN 1D. Les poolings réduisent la dimension à 3 dès le bloc 2 d'AlexNet, ce qui peut affecter la capacité d'extraction de features.</w:t>
      </w:r>
    </w:p>
    <w:p>
      <w:pPr>
        <w:pStyle w:val="ListBullet"/>
        <w:ind w:left="850"/>
      </w:pPr>
      <w:r>
        <w:rPr>
          <w:b/>
          <w:sz w:val="22"/>
        </w:rPr>
        <w:t xml:space="preserve">Absence de GPU : </w:t>
      </w:r>
      <w:r>
        <w:rPr>
          <w:sz w:val="22"/>
        </w:rPr>
        <w:t>L'entraînement sur CPU (TensorFlow ≥ 2.11 ne supporte pas le GPU natif sur Windows) a limité la possibilité d'explorer des hyperparamètres plus fins ou des architectures plus profondes.</w:t>
      </w:r>
    </w:p>
    <w:p>
      <w:pPr>
        <w:pStyle w:val="Heading2"/>
      </w:pPr>
      <w:r>
        <w:rPr>
          <w:color w:val="2E7DA8"/>
          <w:sz w:val="26"/>
        </w:rPr>
        <w:t>8.3 Perspectives d'amélioration</w:t>
      </w:r>
    </w:p>
    <w:p>
      <w:pPr>
        <w:pStyle w:val="ListBullet"/>
        <w:ind w:left="850"/>
      </w:pPr>
      <w:r>
        <w:rPr>
          <w:sz w:val="22"/>
        </w:rPr>
        <w:t>SMOTE-NC (Nominal+Continuous) : gère correctement les features catégorielles en ne les interpolant pas</w:t>
      </w:r>
    </w:p>
    <w:p>
      <w:pPr>
        <w:pStyle w:val="ListBullet"/>
        <w:ind w:left="850"/>
      </w:pPr>
      <w:r>
        <w:rPr>
          <w:sz w:val="22"/>
        </w:rPr>
        <w:t>TabTransformer ou FT-Transformer : architectures Transformer spécialement conçues pour données tabulaires</w:t>
      </w:r>
    </w:p>
    <w:p>
      <w:pPr>
        <w:pStyle w:val="ListBullet"/>
        <w:ind w:left="850"/>
      </w:pPr>
      <w:r>
        <w:rPr>
          <w:sz w:val="22"/>
        </w:rPr>
        <w:t>Collecte de données supplémentaires de classe 3 : indispensable pour rendre la classe détectable</w:t>
      </w:r>
    </w:p>
    <w:p>
      <w:pPr>
        <w:pStyle w:val="ListBullet"/>
        <w:ind w:left="850"/>
      </w:pPr>
      <w:r>
        <w:rPr>
          <w:sz w:val="22"/>
        </w:rPr>
        <w:t>Validation croisée stratifiée k-fold : évaluation plus robuste sur un dataset de taille modeste</w:t>
      </w:r>
    </w:p>
    <w:p>
      <w:pPr>
        <w:pStyle w:val="ListBullet"/>
        <w:ind w:left="850"/>
      </w:pPr>
      <w:r>
        <w:rPr>
          <w:sz w:val="22"/>
        </w:rPr>
        <w:t>Recherche d'hyperparamètres (Optuna/Keras Tuner) : optimisation du learning rate, batch size, profondeur</w:t>
      </w:r>
    </w:p>
    <w:p>
      <w:r>
        <w:br w:type="page"/>
      </w:r>
    </w:p>
    <w:p>
      <w:pPr>
        <w:pStyle w:val="Heading1"/>
      </w:pPr>
      <w:r>
        <w:rPr>
          <w:color w:val="1A537A"/>
          <w:sz w:val="32"/>
        </w:rPr>
        <w:t>9. Conclusion</w:t>
      </w:r>
    </w:p>
    <w:p>
      <w:pPr>
        <w:spacing w:after="80" w:before="0"/>
      </w:pPr>
      <w:r>
        <w:rPr>
          <w:rFonts w:ascii="Calibri" w:hAnsi="Calibri"/>
          <w:b w:val="0"/>
          <w:i w:val="0"/>
          <w:sz w:val="22"/>
        </w:rPr>
        <w:t>Ce projet a permis de concevoir et d'évaluer un pipeline complet de classification des feux de forêt à partir de données satellitaires MODIS, en s'appuyant sur des architectures CNN 1D adaptées aux données tabulaires.</w:t>
      </w:r>
    </w:p>
    <w:p>
      <w:pPr>
        <w:spacing w:after="80" w:before="0"/>
      </w:pPr>
      <w:r>
        <w:rPr>
          <w:rFonts w:ascii="Calibri" w:hAnsi="Calibri"/>
          <w:b w:val="0"/>
          <w:i w:val="0"/>
          <w:sz w:val="22"/>
        </w:rPr>
        <w:t>Les principaux apports sont :</w:t>
      </w:r>
    </w:p>
    <w:p>
      <w:pPr>
        <w:pStyle w:val="ListBullet"/>
        <w:ind w:left="850"/>
      </w:pPr>
      <w:r>
        <w:rPr>
          <w:sz w:val="22"/>
        </w:rPr>
        <w:t>La démonstration de la faisabilité des CNN 1D sur données tabulaires via le reshape (n, 12) → (n, 12, 1)</w:t>
      </w:r>
    </w:p>
    <w:p>
      <w:pPr>
        <w:pStyle w:val="ListBullet"/>
        <w:ind w:left="850"/>
      </w:pPr>
      <w:r>
        <w:rPr>
          <w:sz w:val="22"/>
        </w:rPr>
        <w:t>La comparaison rigoureuse de deux stratégies anti-déséquilibre : class_weight (plus simple) et SMOTE (plus efficace)</w:t>
      </w:r>
    </w:p>
    <w:p>
      <w:pPr>
        <w:pStyle w:val="ListBullet"/>
        <w:ind w:left="850"/>
      </w:pPr>
      <w:r>
        <w:rPr>
          <w:sz w:val="22"/>
        </w:rPr>
        <w:t>ResNet-1D avec SMOTE s'impose comme la meilleure configuration : F1 = 90.67%, RMSE = 0.6249, recall volcans = 40%</w:t>
      </w:r>
    </w:p>
    <w:p>
      <w:pPr>
        <w:pStyle w:val="ListBullet"/>
        <w:ind w:left="850"/>
      </w:pPr>
      <w:r>
        <w:rPr>
          <w:sz w:val="22"/>
        </w:rPr>
        <w:t>AlexNet-1D avec class_weight reste compétitif malgré sa convergence ultra-rapide (2 époques), avec F1 = 90.10%</w:t>
      </w:r>
    </w:p>
    <w:p>
      <w:pPr>
        <w:spacing w:after="80" w:before="120"/>
      </w:pPr>
      <w:r>
        <w:rPr>
          <w:rFonts w:ascii="Calibri" w:hAnsi="Calibri"/>
          <w:b w:val="0"/>
          <w:i w:val="0"/>
          <w:sz w:val="22"/>
        </w:rPr>
        <w:t>Les deux modèles atteignent leurs limites sur les classes très minoritaires (classe 3 : 7 exemples), ce qui constitue la principale piste d'amélioration future : enrichir le dataset avec davantage d'exemples de feux non-végétaux et adopter des techniques de rééquilibrage plus adaptées aux données mixtes comme SMOTE-NC ou les méthodes d'augmentation basées sur les GANs (CTGAN).</w:t>
      </w:r>
    </w:p>
    <w:p>
      <w:r>
        <w:br w:type="page"/>
      </w:r>
    </w:p>
    <w:p>
      <w:pPr>
        <w:pStyle w:val="Heading1"/>
      </w:pPr>
      <w:r>
        <w:rPr>
          <w:color w:val="1A537A"/>
          <w:sz w:val="32"/>
        </w:rPr>
        <w:t>Références Bibliographiques</w:t>
      </w:r>
    </w:p>
    <w:p>
      <w:pPr>
        <w:spacing w:after="100"/>
        <w:ind w:left="567" w:hanging="567"/>
      </w:pPr>
      <w:r>
        <w:rPr>
          <w:sz w:val="20"/>
        </w:rPr>
        <w:t>[1] Krizhevsky, A., Sutskever, I., &amp; Hinton, G. E. (2012). ImageNet classification with deep convolutional neural networks. Advances in Neural Information Processing Systems, 25, 1097–1105.</w:t>
      </w:r>
    </w:p>
    <w:p>
      <w:pPr>
        <w:spacing w:after="100"/>
        <w:ind w:left="567" w:hanging="567"/>
      </w:pPr>
      <w:r>
        <w:rPr>
          <w:sz w:val="20"/>
        </w:rPr>
        <w:t>[2] He, K., Zhang, X., Ren, S., &amp; Sun, J. (2016). Deep residual learning for image recognition. In Proceedings of the IEEE CVPR 2016 (pp. 770–778).</w:t>
      </w:r>
    </w:p>
    <w:p>
      <w:pPr>
        <w:spacing w:after="100"/>
        <w:ind w:left="567" w:hanging="567"/>
      </w:pPr>
      <w:r>
        <w:rPr>
          <w:sz w:val="20"/>
        </w:rPr>
        <w:t>[3] Chawla, N. V., Bowyer, K. W., Hall, L. O., &amp; Kegelmeyer, W. P. (2002). SMOTE: Synthetic minority over-sampling technique. Journal of Artificial Intelligence Research, 16, 321–357.</w:t>
      </w:r>
    </w:p>
    <w:p>
      <w:pPr>
        <w:spacing w:after="100"/>
        <w:ind w:left="567" w:hanging="567"/>
      </w:pPr>
      <w:r>
        <w:rPr>
          <w:sz w:val="20"/>
        </w:rPr>
        <w:t>[4] Giglio, L., Schroeder, W., &amp; Justice, C. O. (2016). The collection 6 MODIS active fire detection algorithm and fire products. Remote Sensing of Environment, 178, 31–41.</w:t>
      </w:r>
    </w:p>
    <w:p>
      <w:pPr>
        <w:spacing w:after="100"/>
        <w:ind w:left="567" w:hanging="567"/>
      </w:pPr>
      <w:r>
        <w:rPr>
          <w:sz w:val="20"/>
        </w:rPr>
        <w:t>[5] Kiranyaz, S., Avci, O., Abdeljaber, O., Ince, T., Gabbouj, M., &amp; Inman, D. J. (2021). 1D convolutional neural networks and applications: A survey. Mechanical Systems and Signal Processing, 151, 107398.</w:t>
      </w:r>
    </w:p>
    <w:p>
      <w:pPr>
        <w:spacing w:after="100"/>
        <w:ind w:left="567" w:hanging="567"/>
      </w:pPr>
      <w:r>
        <w:rPr>
          <w:sz w:val="20"/>
        </w:rPr>
        <w:t>[6] He, H., &amp; Garcia, E. A. (2009). Learning from imbalanced data. IEEE Transactions on Knowledge and Data Engineering, 21(9), 1263–1284.</w:t>
      </w:r>
    </w:p>
    <w:p>
      <w:pPr>
        <w:spacing w:after="100"/>
        <w:ind w:left="567" w:hanging="567"/>
      </w:pPr>
      <w:r>
        <w:rPr>
          <w:sz w:val="20"/>
        </w:rPr>
        <w:t>[7] Chollet, F. (2021). Deep Learning with Python (2nd ed.). Manning Publications.</w:t>
      </w:r>
    </w:p>
    <w:p>
      <w:pPr>
        <w:spacing w:after="100"/>
        <w:ind w:left="567" w:hanging="567"/>
      </w:pPr>
      <w:r>
        <w:rPr>
          <w:sz w:val="20"/>
        </w:rPr>
        <w:t>[8] Pedregosa, F., et al. (2011). Scikit-learn: Machine learning in Python. Journal of Machine Learning Research, 12, 2825–2830.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