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26" w:rsidRDefault="00E00226" w:rsidP="00E00226">
      <w:pPr>
        <w:pStyle w:val="berschrift1"/>
      </w:pPr>
      <w:r>
        <w:t>4. Haushalt 2023</w:t>
      </w:r>
    </w:p>
    <w:p w:rsidR="00E00226" w:rsidRDefault="00E00226" w:rsidP="00E00226"/>
    <w:p w:rsidR="00E00226" w:rsidRDefault="00E00226" w:rsidP="00E00226">
      <w:r>
        <w:t>Aufgeführt werden, außer im Finanzbereich, zunächst die wesentlichen (Abweichung größer als 10.000 €) Veränderungen gegenüber der Vorjahresplanung</w:t>
      </w:r>
    </w:p>
    <w:p w:rsidR="00E00226" w:rsidRDefault="00E00226" w:rsidP="00E00226"/>
    <w:p w:rsidR="00E00226" w:rsidRDefault="00E00226" w:rsidP="00E00226">
      <w:pPr>
        <w:pStyle w:val="berschrift2"/>
      </w:pPr>
      <w:r>
        <w:t>4.1 Überblick über den Ergebnishaushalt 2023</w:t>
      </w:r>
    </w:p>
    <w:p w:rsidR="00E00226" w:rsidRDefault="00E00226" w:rsidP="00E00226"/>
    <w:p w:rsidR="00E00226" w:rsidRDefault="00E00226" w:rsidP="00E00226">
      <w:r>
        <w:t xml:space="preserve">Der Ergebnishaushalt umfasst alle Erträge und Aufwendungen, die die Gemeinde im Haushaltsjahr </w:t>
      </w:r>
    </w:p>
    <w:p w:rsidR="00E00226" w:rsidRDefault="00E00226" w:rsidP="00E00226"/>
    <w:tbl>
      <w:tblPr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833"/>
        <w:gridCol w:w="1589"/>
        <w:gridCol w:w="1589"/>
        <w:gridCol w:w="1588"/>
      </w:tblGrid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Zeile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Beschreibung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Haushaltsansatz</w:t>
            </w:r>
          </w:p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2023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Haushaltsansatz</w:t>
            </w:r>
          </w:p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2022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Vorl.</w:t>
            </w:r>
          </w:p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Rechnungserg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Steuern und ähnliche Abgaben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5.007.000,00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4.406.950,00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4.368.496,56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Zuwendungen, allgemeine Umlagen und sonstige Transfererträge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1.336.853,00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1.553.200,00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1.152.948,97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Öffentlich-rechtliche Leistungsentgelte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176.967,00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170.190,00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168.998,28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E5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Privatrechtliche Leistungsentgelte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106.780,00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90.780,00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87.983,05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E6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Kostenerstattungen und Kostenumlagen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59.050,00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186.920,00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94.077,45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E7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Sonstige laufende Erträge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149.950,00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152.820,00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155.060,07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E8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6.836.600,00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6.560.860,00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6.027.564,38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E9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Personal- und Versorgungsaufwendungen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1.498.250,00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1.488.300,00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1.270.806,68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E10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Aufwendungen für Sach- und Dienstleistungen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736.140,00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769.060,00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542.004,98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E11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Abschreibungen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622.404,00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798.980,00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615.169,51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Zuwendungen, Umlagen und sonstige Transferaufwendungen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3.733.720,00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3.613.520,00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3.631.990,83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Sonstige laufende Aufwendungen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128.840,00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565.635,00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105.112,37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E15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6.719.354,00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7.235.495,00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6.165.084,37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E16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117.246,00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-674.635,00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-137.519,99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E17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6.000,00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5.000,00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-3.598,81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E18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122.600,00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128.000,00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132.532,16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E19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-116.600,00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-123.000,00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-136.130,97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E20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Ordentliches Ergebnis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646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-797.635,00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-273.650,96</w:t>
            </w:r>
          </w:p>
        </w:tc>
      </w:tr>
      <w:tr w:rsidR="00E00226" w:rsidRPr="002D4B58" w:rsidTr="002C256C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E23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Jahresergebnis (Jahresüberschuss / Jahresfehlbetrag) des Teilhaushalts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646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-797.635,00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2D4B58" w:rsidRDefault="00E00226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-273.650,96</w:t>
            </w:r>
          </w:p>
        </w:tc>
      </w:tr>
    </w:tbl>
    <w:p w:rsidR="0015474A" w:rsidRPr="00E00226" w:rsidRDefault="0015474A" w:rsidP="00E00226">
      <w:bookmarkStart w:id="0" w:name="_GoBack"/>
      <w:bookmarkEnd w:id="0"/>
    </w:p>
    <w:sectPr w:rsidR="0015474A" w:rsidRPr="00E002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26"/>
    <w:rsid w:val="0015474A"/>
    <w:rsid w:val="00D36551"/>
    <w:rsid w:val="00D92536"/>
    <w:rsid w:val="00E0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2</cp:revision>
  <dcterms:created xsi:type="dcterms:W3CDTF">2023-04-19T07:52:00Z</dcterms:created>
  <dcterms:modified xsi:type="dcterms:W3CDTF">2023-04-19T07:52:00Z</dcterms:modified>
</cp:coreProperties>
</file>